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136" w:rsidRPr="005C5E31" w:rsidRDefault="00177136" w:rsidP="00177136">
      <w:pPr>
        <w:adjustRightInd w:val="0"/>
        <w:spacing w:after="120" w:line="520" w:lineRule="exact"/>
        <w:jc w:val="center"/>
        <w:textAlignment w:val="baseline"/>
        <w:rPr>
          <w:rFonts w:ascii="標楷體" w:eastAsia="標楷體" w:hAnsi="標楷體"/>
          <w:b/>
          <w:kern w:val="0"/>
          <w:sz w:val="50"/>
          <w:szCs w:val="50"/>
        </w:rPr>
      </w:pPr>
      <w:r w:rsidRPr="005C5E31">
        <w:rPr>
          <w:rFonts w:ascii="標楷體" w:eastAsia="標楷體" w:hAnsi="標楷體" w:hint="eastAsia"/>
          <w:b/>
          <w:kern w:val="0"/>
          <w:sz w:val="50"/>
          <w:szCs w:val="50"/>
        </w:rPr>
        <w:t>中華民國</w:t>
      </w:r>
      <w:r w:rsidR="00E17694">
        <w:rPr>
          <w:rFonts w:ascii="標楷體" w:eastAsia="標楷體" w:hAnsi="標楷體" w:hint="eastAsia"/>
          <w:b/>
          <w:kern w:val="0"/>
          <w:sz w:val="50"/>
          <w:szCs w:val="50"/>
        </w:rPr>
        <w:t>111年度</w:t>
      </w:r>
    </w:p>
    <w:p w:rsidR="00177136" w:rsidRPr="005C5E31" w:rsidRDefault="00177136" w:rsidP="00177136">
      <w:pPr>
        <w:adjustRightInd w:val="0"/>
        <w:spacing w:after="120" w:line="520" w:lineRule="exact"/>
        <w:jc w:val="center"/>
        <w:textAlignment w:val="baseline"/>
        <w:rPr>
          <w:rFonts w:ascii="標楷體" w:eastAsia="標楷體" w:hAnsi="標楷體"/>
          <w:b/>
          <w:kern w:val="0"/>
          <w:sz w:val="50"/>
          <w:szCs w:val="50"/>
        </w:rPr>
      </w:pPr>
      <w:r w:rsidRPr="005C5E31">
        <w:rPr>
          <w:rFonts w:ascii="標楷體" w:eastAsia="標楷體" w:hAnsi="標楷體" w:hint="eastAsia"/>
          <w:b/>
          <w:kern w:val="0"/>
          <w:sz w:val="50"/>
          <w:szCs w:val="50"/>
        </w:rPr>
        <w:t>中央政府總決算附屬單位決算及綜計表</w:t>
      </w:r>
    </w:p>
    <w:p w:rsidR="00177136" w:rsidRPr="005C5E31" w:rsidRDefault="00177136" w:rsidP="00177136">
      <w:pPr>
        <w:adjustRightInd w:val="0"/>
        <w:spacing w:after="360" w:line="520" w:lineRule="exact"/>
        <w:jc w:val="center"/>
        <w:textAlignment w:val="baseline"/>
        <w:rPr>
          <w:rFonts w:ascii="標楷體" w:eastAsia="標楷體" w:hAnsi="標楷體"/>
          <w:b/>
          <w:kern w:val="0"/>
          <w:sz w:val="50"/>
          <w:szCs w:val="50"/>
        </w:rPr>
      </w:pPr>
      <w:r w:rsidRPr="005C5E31">
        <w:rPr>
          <w:rFonts w:ascii="標楷體" w:eastAsia="標楷體" w:hAnsi="標楷體" w:hint="eastAsia"/>
          <w:b/>
          <w:kern w:val="0"/>
          <w:sz w:val="50"/>
          <w:szCs w:val="50"/>
        </w:rPr>
        <w:t>（營業部分）總說明</w:t>
      </w:r>
    </w:p>
    <w:p w:rsidR="00932143" w:rsidRPr="005C5E31" w:rsidRDefault="00E17694" w:rsidP="00932143">
      <w:pPr>
        <w:spacing w:line="560" w:lineRule="exact"/>
        <w:ind w:left="425" w:firstLine="709"/>
        <w:jc w:val="both"/>
        <w:rPr>
          <w:rFonts w:eastAsia="標楷體"/>
          <w:spacing w:val="20"/>
          <w:sz w:val="30"/>
        </w:rPr>
      </w:pPr>
      <w:r>
        <w:rPr>
          <w:rFonts w:eastAsia="標楷體" w:hint="eastAsia"/>
          <w:spacing w:val="20"/>
          <w:sz w:val="30"/>
        </w:rPr>
        <w:t>111</w:t>
      </w:r>
      <w:r>
        <w:rPr>
          <w:rFonts w:eastAsia="標楷體" w:hint="eastAsia"/>
          <w:spacing w:val="20"/>
          <w:sz w:val="30"/>
        </w:rPr>
        <w:t>年度</w:t>
      </w:r>
      <w:r w:rsidR="00932143" w:rsidRPr="005C5E31">
        <w:rPr>
          <w:rFonts w:eastAsia="標楷體" w:hint="eastAsia"/>
          <w:spacing w:val="20"/>
          <w:sz w:val="30"/>
        </w:rPr>
        <w:t>（以下簡稱本年度）國營事業共有</w:t>
      </w:r>
      <w:r w:rsidR="00932143" w:rsidRPr="005C5E31">
        <w:rPr>
          <w:rFonts w:eastAsia="標楷體" w:hint="eastAsia"/>
          <w:spacing w:val="20"/>
          <w:sz w:val="30"/>
        </w:rPr>
        <w:t>2</w:t>
      </w:r>
      <w:r w:rsidR="00CA2F9B">
        <w:rPr>
          <w:rFonts w:eastAsia="標楷體"/>
          <w:spacing w:val="20"/>
          <w:sz w:val="30"/>
        </w:rPr>
        <w:t>2</w:t>
      </w:r>
      <w:r w:rsidR="00932143" w:rsidRPr="005C5E31">
        <w:rPr>
          <w:rFonts w:eastAsia="標楷體" w:hint="eastAsia"/>
          <w:spacing w:val="20"/>
          <w:sz w:val="30"/>
        </w:rPr>
        <w:t>單位（其中屬附屬單位決算者</w:t>
      </w:r>
      <w:r w:rsidR="00932143" w:rsidRPr="005C5E31">
        <w:rPr>
          <w:rFonts w:eastAsia="標楷體" w:hint="eastAsia"/>
          <w:spacing w:val="20"/>
          <w:sz w:val="30"/>
        </w:rPr>
        <w:t>15</w:t>
      </w:r>
      <w:r w:rsidR="00932143" w:rsidRPr="005C5E31">
        <w:rPr>
          <w:rFonts w:eastAsia="標楷體" w:hint="eastAsia"/>
          <w:spacing w:val="20"/>
          <w:sz w:val="30"/>
        </w:rPr>
        <w:t>單位，屬附屬單位決算之分決算者</w:t>
      </w:r>
      <w:r w:rsidR="00CA2F9B">
        <w:rPr>
          <w:rFonts w:eastAsia="標楷體" w:hint="eastAsia"/>
          <w:spacing w:val="20"/>
          <w:sz w:val="30"/>
        </w:rPr>
        <w:t>7</w:t>
      </w:r>
      <w:r w:rsidR="00932143" w:rsidRPr="005C5E31">
        <w:rPr>
          <w:rFonts w:eastAsia="標楷體" w:hint="eastAsia"/>
          <w:spacing w:val="20"/>
          <w:sz w:val="30"/>
        </w:rPr>
        <w:t>單位），</w:t>
      </w:r>
      <w:r w:rsidR="00B31455">
        <w:rPr>
          <w:rFonts w:eastAsia="標楷體" w:hint="eastAsia"/>
          <w:spacing w:val="20"/>
          <w:sz w:val="30"/>
        </w:rPr>
        <w:t>與上年度相同</w:t>
      </w:r>
      <w:r w:rsidR="00932143" w:rsidRPr="005C5E31">
        <w:rPr>
          <w:rFonts w:eastAsia="標楷體" w:hint="eastAsia"/>
          <w:spacing w:val="20"/>
          <w:sz w:val="30"/>
        </w:rPr>
        <w:t>。</w:t>
      </w:r>
    </w:p>
    <w:p w:rsidR="00177136" w:rsidRDefault="00932143" w:rsidP="00932143">
      <w:pPr>
        <w:overflowPunct w:val="0"/>
        <w:spacing w:line="560" w:lineRule="exact"/>
        <w:ind w:left="425" w:firstLine="709"/>
        <w:jc w:val="both"/>
        <w:rPr>
          <w:rFonts w:eastAsia="標楷體"/>
          <w:spacing w:val="20"/>
          <w:sz w:val="30"/>
        </w:rPr>
      </w:pPr>
      <w:r w:rsidRPr="005C5E31">
        <w:rPr>
          <w:rFonts w:eastAsia="標楷體" w:hint="eastAsia"/>
          <w:spacing w:val="20"/>
          <w:sz w:val="30"/>
        </w:rPr>
        <w:t>本</w:t>
      </w:r>
      <w:r w:rsidR="00177136" w:rsidRPr="005C5E31">
        <w:rPr>
          <w:rFonts w:eastAsia="標楷體" w:hint="eastAsia"/>
          <w:spacing w:val="20"/>
          <w:sz w:val="30"/>
        </w:rPr>
        <w:t>年度國營事業決算，依決算法第</w:t>
      </w:r>
      <w:r w:rsidR="00177136" w:rsidRPr="005C5E31">
        <w:rPr>
          <w:rFonts w:eastAsia="標楷體" w:hint="eastAsia"/>
          <w:spacing w:val="20"/>
          <w:sz w:val="30"/>
        </w:rPr>
        <w:t>3</w:t>
      </w:r>
      <w:r w:rsidR="00177136" w:rsidRPr="005C5E31">
        <w:rPr>
          <w:rFonts w:eastAsia="標楷體" w:hint="eastAsia"/>
          <w:spacing w:val="20"/>
          <w:sz w:val="30"/>
        </w:rPr>
        <w:t>條規定，包括附屬單位決算及附屬單位決算之分決算，經各事業主管機關及本院主計總處依同法第</w:t>
      </w:r>
      <w:r w:rsidR="00177136" w:rsidRPr="005C5E31">
        <w:rPr>
          <w:rFonts w:eastAsia="標楷體" w:hint="eastAsia"/>
          <w:spacing w:val="20"/>
          <w:sz w:val="30"/>
        </w:rPr>
        <w:t>20</w:t>
      </w:r>
      <w:r w:rsidR="00177136" w:rsidRPr="005C5E31">
        <w:rPr>
          <w:rFonts w:eastAsia="標楷體" w:hint="eastAsia"/>
          <w:spacing w:val="20"/>
          <w:sz w:val="30"/>
        </w:rPr>
        <w:t>條規定查核修正，並依同法第</w:t>
      </w:r>
      <w:r w:rsidR="00177136" w:rsidRPr="005C5E31">
        <w:rPr>
          <w:rFonts w:eastAsia="標楷體" w:hint="eastAsia"/>
          <w:spacing w:val="20"/>
          <w:sz w:val="30"/>
        </w:rPr>
        <w:t>21</w:t>
      </w:r>
      <w:r w:rsidR="00177136" w:rsidRPr="005C5E31">
        <w:rPr>
          <w:rFonts w:eastAsia="標楷體" w:hint="eastAsia"/>
          <w:spacing w:val="20"/>
          <w:sz w:val="30"/>
        </w:rPr>
        <w:t>條規定，參照本年度中央政府總預算附屬單位預算及綜</w:t>
      </w:r>
      <w:r w:rsidR="00F36324" w:rsidRPr="005C5E31">
        <w:rPr>
          <w:rFonts w:eastAsia="標楷體" w:hint="eastAsia"/>
          <w:spacing w:val="20"/>
          <w:sz w:val="30"/>
        </w:rPr>
        <w:t>計表（營業部分）之彙編方式，就查核後之附屬單位決算（營業部分）</w:t>
      </w:r>
      <w:r w:rsidR="00177136" w:rsidRPr="005C5E31">
        <w:rPr>
          <w:rFonts w:eastAsia="標楷體" w:hint="eastAsia"/>
          <w:spacing w:val="20"/>
          <w:sz w:val="30"/>
        </w:rPr>
        <w:t>彙案編成本年度中央政府總決算附屬單位決算及綜計表（營業部分），隨同總決算提出於貴院。另附屬單位決算（營業部分）之分決算，循例以編製合併報表方式併入原投資事業附屬單位決算彙計表達</w:t>
      </w:r>
      <w:r w:rsidR="009F0A5B" w:rsidRPr="005C5E31">
        <w:rPr>
          <w:rFonts w:eastAsia="標楷體" w:hint="eastAsia"/>
          <w:spacing w:val="20"/>
          <w:sz w:val="30"/>
        </w:rPr>
        <w:t>，其決算相關內容</w:t>
      </w:r>
      <w:r w:rsidR="009F0A5B">
        <w:rPr>
          <w:rFonts w:eastAsia="標楷體" w:hint="eastAsia"/>
          <w:spacing w:val="20"/>
          <w:sz w:val="30"/>
        </w:rPr>
        <w:t>亦於</w:t>
      </w:r>
      <w:r w:rsidR="009F0A5B" w:rsidRPr="005C5E31">
        <w:rPr>
          <w:rFonts w:eastAsia="標楷體" w:hint="eastAsia"/>
          <w:spacing w:val="20"/>
          <w:sz w:val="30"/>
        </w:rPr>
        <w:t>該事業決算附錄表達</w:t>
      </w:r>
      <w:r w:rsidR="003F4D59" w:rsidRPr="005C5E31">
        <w:rPr>
          <w:rFonts w:eastAsia="標楷體" w:hint="eastAsia"/>
          <w:spacing w:val="12"/>
          <w:sz w:val="30"/>
        </w:rPr>
        <w:t>，</w:t>
      </w:r>
      <w:r w:rsidR="00177136" w:rsidRPr="005C5E31">
        <w:rPr>
          <w:rFonts w:eastAsia="標楷體" w:hint="eastAsia"/>
          <w:spacing w:val="20"/>
          <w:sz w:val="30"/>
        </w:rPr>
        <w:t>不另單獨列示。至繼續清理單位，則於附錄表達，不與其他國營事業綜計。</w:t>
      </w:r>
    </w:p>
    <w:p w:rsidR="007F53B6" w:rsidRPr="005C5E31" w:rsidRDefault="007F53B6" w:rsidP="007F53B6">
      <w:pPr>
        <w:overflowPunct w:val="0"/>
        <w:spacing w:line="560" w:lineRule="exact"/>
        <w:jc w:val="both"/>
        <w:rPr>
          <w:rFonts w:eastAsia="標楷體"/>
          <w:spacing w:val="20"/>
          <w:sz w:val="30"/>
        </w:rPr>
      </w:pPr>
    </w:p>
    <w:p w:rsidR="00177136" w:rsidRPr="005C5E31" w:rsidRDefault="00177136" w:rsidP="00177136">
      <w:pPr>
        <w:spacing w:beforeLines="200" w:before="480" w:afterLines="50" w:after="120" w:line="360" w:lineRule="auto"/>
        <w:rPr>
          <w:rFonts w:eastAsia="標楷體"/>
          <w:b/>
          <w:spacing w:val="20"/>
          <w:sz w:val="50"/>
          <w:szCs w:val="50"/>
        </w:rPr>
      </w:pPr>
      <w:bookmarkStart w:id="0" w:name="壹"/>
      <w:r w:rsidRPr="005C5E31">
        <w:rPr>
          <w:rFonts w:eastAsia="標楷體" w:hint="eastAsia"/>
          <w:b/>
          <w:spacing w:val="20"/>
          <w:sz w:val="50"/>
          <w:szCs w:val="50"/>
        </w:rPr>
        <w:t>壹、決算概要</w:t>
      </w:r>
      <w:bookmarkEnd w:id="0"/>
    </w:p>
    <w:p w:rsidR="00177136" w:rsidRPr="005C5E31" w:rsidRDefault="00177136" w:rsidP="004516B7">
      <w:pPr>
        <w:spacing w:line="560" w:lineRule="exact"/>
        <w:ind w:left="425" w:firstLine="709"/>
        <w:jc w:val="both"/>
        <w:rPr>
          <w:rFonts w:ascii="標楷體" w:eastAsia="標楷體" w:cs="標楷體"/>
          <w:kern w:val="0"/>
          <w:sz w:val="30"/>
          <w:szCs w:val="30"/>
          <w:lang w:val="zh-TW"/>
        </w:rPr>
      </w:pPr>
      <w:r w:rsidRPr="005C5E31">
        <w:rPr>
          <w:rFonts w:eastAsia="標楷體" w:hint="eastAsia"/>
          <w:spacing w:val="20"/>
          <w:sz w:val="30"/>
          <w:szCs w:val="30"/>
        </w:rPr>
        <w:t>茲就本年度國營事業主要產銷營運實績、營業收支損益情形、盈虧撥補實況、現金流量情形及資產負債狀況等，分別說明如下</w:t>
      </w:r>
      <w:r w:rsidRPr="005C5E31">
        <w:rPr>
          <w:rFonts w:eastAsia="標楷體"/>
          <w:spacing w:val="20"/>
          <w:sz w:val="30"/>
          <w:szCs w:val="30"/>
        </w:rPr>
        <w:t>：</w:t>
      </w:r>
      <w:r w:rsidRPr="005C5E31">
        <w:rPr>
          <w:rFonts w:ascii="標楷體" w:eastAsia="標楷體" w:cs="標楷體" w:hint="eastAsia"/>
          <w:kern w:val="0"/>
          <w:sz w:val="30"/>
          <w:szCs w:val="30"/>
          <w:lang w:val="zh-TW"/>
        </w:rPr>
        <w:t xml:space="preserve"> </w:t>
      </w:r>
    </w:p>
    <w:p w:rsidR="00177136" w:rsidRPr="005C5E31" w:rsidRDefault="00177136" w:rsidP="00177136">
      <w:pPr>
        <w:spacing w:beforeLines="100" w:before="240" w:line="360" w:lineRule="auto"/>
        <w:outlineLvl w:val="0"/>
        <w:rPr>
          <w:rFonts w:eastAsia="標楷體"/>
          <w:b/>
          <w:spacing w:val="20"/>
          <w:sz w:val="40"/>
        </w:rPr>
      </w:pPr>
      <w:bookmarkStart w:id="1" w:name="壹、一"/>
      <w:r w:rsidRPr="005C5E31">
        <w:rPr>
          <w:rFonts w:eastAsia="標楷體" w:hint="eastAsia"/>
          <w:b/>
          <w:spacing w:val="20"/>
          <w:sz w:val="40"/>
        </w:rPr>
        <w:t>一、</w:t>
      </w:r>
      <w:bookmarkEnd w:id="1"/>
      <w:r w:rsidRPr="005C5E31">
        <w:rPr>
          <w:rFonts w:eastAsia="標楷體" w:hint="eastAsia"/>
          <w:b/>
          <w:spacing w:val="20"/>
          <w:sz w:val="40"/>
        </w:rPr>
        <w:t>主要產銷營運實績</w:t>
      </w:r>
    </w:p>
    <w:p w:rsidR="00177136" w:rsidRPr="005C5E31" w:rsidRDefault="00177136" w:rsidP="004516B7">
      <w:pPr>
        <w:spacing w:line="360" w:lineRule="auto"/>
        <w:ind w:left="1066" w:firstLine="720"/>
        <w:jc w:val="both"/>
        <w:rPr>
          <w:rFonts w:eastAsia="標楷體"/>
          <w:spacing w:val="20"/>
          <w:sz w:val="30"/>
        </w:rPr>
      </w:pPr>
      <w:r w:rsidRPr="005C5E31">
        <w:rPr>
          <w:rFonts w:eastAsia="標楷體" w:hint="eastAsia"/>
          <w:spacing w:val="20"/>
          <w:sz w:val="30"/>
        </w:rPr>
        <w:lastRenderedPageBreak/>
        <w:t>國營事業之產銷營運項目繁多，茲擇其主要者，分述其本年度決算數與預算數之比較情形如下：</w:t>
      </w:r>
    </w:p>
    <w:p w:rsidR="00FD4352" w:rsidRPr="005C5E31" w:rsidRDefault="00FD4352" w:rsidP="00FD4352">
      <w:pPr>
        <w:spacing w:beforeLines="100" w:before="240" w:line="360" w:lineRule="auto"/>
        <w:ind w:left="482"/>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一</w:t>
      </w:r>
      <w:r w:rsidRPr="005C5E31">
        <w:rPr>
          <w:rFonts w:eastAsia="標楷體" w:hint="eastAsia"/>
          <w:b/>
          <w:spacing w:val="20"/>
          <w:sz w:val="30"/>
          <w:szCs w:val="30"/>
        </w:rPr>
        <w:t>)</w:t>
      </w:r>
      <w:r w:rsidRPr="005C5E31">
        <w:rPr>
          <w:rFonts w:eastAsia="標楷體" w:hint="eastAsia"/>
          <w:b/>
          <w:spacing w:val="20"/>
          <w:sz w:val="30"/>
          <w:szCs w:val="30"/>
        </w:rPr>
        <w:t>電力</w:t>
      </w:r>
      <w:r w:rsidR="00943FB9">
        <w:rPr>
          <w:rFonts w:ascii="標楷體" w:eastAsia="標楷體" w:hAnsi="標楷體" w:hint="eastAsia"/>
          <w:b/>
          <w:color w:val="000000"/>
          <w:sz w:val="20"/>
        </w:rPr>
        <w:t>（</w:t>
      </w:r>
      <w:r w:rsidR="00943FB9" w:rsidRPr="00FD4352">
        <w:rPr>
          <w:rFonts w:ascii="標楷體" w:eastAsia="標楷體" w:hAnsi="標楷體" w:hint="eastAsia"/>
          <w:b/>
          <w:color w:val="000000"/>
          <w:sz w:val="20"/>
        </w:rPr>
        <w:t>台灣電力</w:t>
      </w:r>
      <w:r w:rsidR="00943FB9">
        <w:rPr>
          <w:rFonts w:ascii="標楷體" w:eastAsia="標楷體" w:hAnsi="標楷體" w:hint="eastAsia"/>
          <w:b/>
          <w:color w:val="000000"/>
          <w:sz w:val="20"/>
        </w:rPr>
        <w:t>股份有限</w:t>
      </w:r>
      <w:r w:rsidR="00943FB9" w:rsidRPr="00593FCB">
        <w:rPr>
          <w:rFonts w:ascii="標楷體" w:eastAsia="標楷體" w:hAnsi="標楷體" w:hint="eastAsia"/>
          <w:b/>
          <w:color w:val="000000"/>
          <w:sz w:val="20"/>
        </w:rPr>
        <w:t>公司</w:t>
      </w:r>
      <w:r w:rsidR="00943FB9">
        <w:rPr>
          <w:rFonts w:ascii="標楷體" w:eastAsia="標楷體" w:hAnsi="標楷體" w:hint="eastAsia"/>
          <w:b/>
          <w:color w:val="000000"/>
          <w:sz w:val="20"/>
        </w:rPr>
        <w:t>）</w:t>
      </w:r>
    </w:p>
    <w:p w:rsidR="00177136" w:rsidRPr="00FD4352" w:rsidRDefault="00E17694" w:rsidP="004516B7">
      <w:pPr>
        <w:adjustRightInd w:val="0"/>
        <w:spacing w:line="360" w:lineRule="auto"/>
        <w:ind w:left="1064" w:hanging="1"/>
        <w:jc w:val="both"/>
        <w:rPr>
          <w:rFonts w:eastAsia="標楷體"/>
          <w:spacing w:val="20"/>
          <w:sz w:val="30"/>
        </w:rPr>
      </w:pPr>
      <w:r w:rsidRPr="00E17694">
        <w:rPr>
          <w:rFonts w:eastAsia="標楷體" w:hint="eastAsia"/>
          <w:spacing w:val="20"/>
          <w:sz w:val="30"/>
        </w:rPr>
        <w:t>供電量</w:t>
      </w:r>
      <w:r w:rsidRPr="00E17694">
        <w:rPr>
          <w:rFonts w:eastAsia="標楷體" w:hint="eastAsia"/>
          <w:spacing w:val="20"/>
          <w:sz w:val="30"/>
        </w:rPr>
        <w:t>2,470</w:t>
      </w:r>
      <w:r w:rsidRPr="00E17694">
        <w:rPr>
          <w:rFonts w:eastAsia="標楷體" w:hint="eastAsia"/>
          <w:spacing w:val="20"/>
          <w:sz w:val="30"/>
        </w:rPr>
        <w:t>億</w:t>
      </w:r>
      <w:r w:rsidRPr="00E17694">
        <w:rPr>
          <w:rFonts w:eastAsia="標楷體" w:hint="eastAsia"/>
          <w:spacing w:val="20"/>
          <w:sz w:val="30"/>
        </w:rPr>
        <w:t>7,703</w:t>
      </w:r>
      <w:r w:rsidRPr="00E17694">
        <w:rPr>
          <w:rFonts w:eastAsia="標楷體" w:hint="eastAsia"/>
          <w:spacing w:val="20"/>
          <w:sz w:val="30"/>
        </w:rPr>
        <w:t>萬餘度，較預算數</w:t>
      </w:r>
      <w:r w:rsidRPr="00E17694">
        <w:rPr>
          <w:rFonts w:eastAsia="標楷體" w:hint="eastAsia"/>
          <w:spacing w:val="20"/>
          <w:sz w:val="30"/>
        </w:rPr>
        <w:t>2,419</w:t>
      </w:r>
      <w:r w:rsidRPr="00E17694">
        <w:rPr>
          <w:rFonts w:eastAsia="標楷體" w:hint="eastAsia"/>
          <w:spacing w:val="20"/>
          <w:sz w:val="30"/>
        </w:rPr>
        <w:t>億</w:t>
      </w:r>
      <w:r w:rsidRPr="00E17694">
        <w:rPr>
          <w:rFonts w:eastAsia="標楷體" w:hint="eastAsia"/>
          <w:spacing w:val="20"/>
          <w:sz w:val="30"/>
        </w:rPr>
        <w:t>7,374</w:t>
      </w:r>
      <w:r w:rsidRPr="00E17694">
        <w:rPr>
          <w:rFonts w:eastAsia="標楷體" w:hint="eastAsia"/>
          <w:spacing w:val="20"/>
          <w:sz w:val="30"/>
        </w:rPr>
        <w:t>萬餘度，增加</w:t>
      </w:r>
      <w:r w:rsidRPr="00E17694">
        <w:rPr>
          <w:rFonts w:eastAsia="標楷體" w:hint="eastAsia"/>
          <w:spacing w:val="20"/>
          <w:sz w:val="30"/>
        </w:rPr>
        <w:t>2.1</w:t>
      </w:r>
      <w:r w:rsidRPr="00E17694">
        <w:rPr>
          <w:rFonts w:eastAsia="標楷體" w:hint="eastAsia"/>
          <w:spacing w:val="20"/>
          <w:sz w:val="30"/>
        </w:rPr>
        <w:t>％；售電量</w:t>
      </w:r>
      <w:r w:rsidRPr="00E17694">
        <w:rPr>
          <w:rFonts w:eastAsia="標楷體" w:hint="eastAsia"/>
          <w:spacing w:val="20"/>
          <w:sz w:val="30"/>
        </w:rPr>
        <w:t>2,367</w:t>
      </w:r>
      <w:r w:rsidRPr="00E17694">
        <w:rPr>
          <w:rFonts w:eastAsia="標楷體" w:hint="eastAsia"/>
          <w:spacing w:val="20"/>
          <w:sz w:val="30"/>
        </w:rPr>
        <w:t>億</w:t>
      </w:r>
      <w:r w:rsidRPr="00E17694">
        <w:rPr>
          <w:rFonts w:eastAsia="標楷體" w:hint="eastAsia"/>
          <w:spacing w:val="20"/>
          <w:sz w:val="30"/>
        </w:rPr>
        <w:t>6,271</w:t>
      </w:r>
      <w:r w:rsidRPr="00E17694">
        <w:rPr>
          <w:rFonts w:eastAsia="標楷體" w:hint="eastAsia"/>
          <w:spacing w:val="20"/>
          <w:sz w:val="30"/>
        </w:rPr>
        <w:t>萬餘度，較預算數</w:t>
      </w:r>
      <w:r w:rsidRPr="00E17694">
        <w:rPr>
          <w:rFonts w:eastAsia="標楷體" w:hint="eastAsia"/>
          <w:spacing w:val="20"/>
          <w:sz w:val="30"/>
        </w:rPr>
        <w:t>2,306</w:t>
      </w:r>
      <w:r w:rsidRPr="00E17694">
        <w:rPr>
          <w:rFonts w:eastAsia="標楷體" w:hint="eastAsia"/>
          <w:spacing w:val="20"/>
          <w:sz w:val="30"/>
        </w:rPr>
        <w:t>億</w:t>
      </w:r>
      <w:r w:rsidRPr="00E17694">
        <w:rPr>
          <w:rFonts w:eastAsia="標楷體" w:hint="eastAsia"/>
          <w:spacing w:val="20"/>
          <w:sz w:val="30"/>
        </w:rPr>
        <w:t>8,344</w:t>
      </w:r>
      <w:r w:rsidRPr="00E17694">
        <w:rPr>
          <w:rFonts w:eastAsia="標楷體" w:hint="eastAsia"/>
          <w:spacing w:val="20"/>
          <w:sz w:val="30"/>
        </w:rPr>
        <w:t>萬度，增加</w:t>
      </w:r>
      <w:r w:rsidRPr="00E17694">
        <w:rPr>
          <w:rFonts w:eastAsia="標楷體" w:hint="eastAsia"/>
          <w:spacing w:val="20"/>
          <w:sz w:val="30"/>
        </w:rPr>
        <w:t>2.6</w:t>
      </w:r>
      <w:r w:rsidRPr="00E17694">
        <w:rPr>
          <w:rFonts w:eastAsia="標楷體" w:hint="eastAsia"/>
          <w:spacing w:val="20"/>
          <w:sz w:val="30"/>
        </w:rPr>
        <w:t>％；供售電量較預算數增加，係因市場用電需求較預期增加所致。</w:t>
      </w:r>
    </w:p>
    <w:p w:rsidR="00177136" w:rsidRPr="005C5E31" w:rsidRDefault="00177136" w:rsidP="00177136">
      <w:pPr>
        <w:spacing w:beforeLines="100" w:before="240" w:line="360" w:lineRule="auto"/>
        <w:ind w:left="482"/>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二</w:t>
      </w:r>
      <w:r w:rsidRPr="005C5E31">
        <w:rPr>
          <w:rFonts w:eastAsia="標楷體" w:hint="eastAsia"/>
          <w:b/>
          <w:spacing w:val="20"/>
          <w:sz w:val="30"/>
          <w:szCs w:val="30"/>
        </w:rPr>
        <w:t>)</w:t>
      </w:r>
      <w:r w:rsidR="00AD38A4" w:rsidRPr="005C5E31">
        <w:rPr>
          <w:rFonts w:eastAsia="標楷體" w:hint="eastAsia"/>
          <w:b/>
          <w:spacing w:val="20"/>
          <w:sz w:val="30"/>
          <w:szCs w:val="30"/>
        </w:rPr>
        <w:t>成品天然氣</w:t>
      </w:r>
      <w:r w:rsidR="00943FB9">
        <w:rPr>
          <w:rFonts w:ascii="標楷體" w:eastAsia="標楷體" w:hAnsi="標楷體" w:hint="eastAsia"/>
          <w:b/>
          <w:color w:val="000000"/>
          <w:sz w:val="20"/>
        </w:rPr>
        <w:t>（</w:t>
      </w:r>
      <w:r w:rsidR="00943FB9" w:rsidRPr="00FD4352">
        <w:rPr>
          <w:rFonts w:ascii="標楷體" w:eastAsia="標楷體" w:hAnsi="標楷體" w:hint="eastAsia"/>
          <w:b/>
          <w:color w:val="000000"/>
          <w:sz w:val="20"/>
        </w:rPr>
        <w:t>台灣中油</w:t>
      </w:r>
      <w:r w:rsidR="00943FB9">
        <w:rPr>
          <w:rFonts w:ascii="標楷體" w:eastAsia="標楷體" w:hAnsi="標楷體" w:hint="eastAsia"/>
          <w:b/>
          <w:color w:val="000000"/>
          <w:sz w:val="20"/>
        </w:rPr>
        <w:t>股份有限</w:t>
      </w:r>
      <w:r w:rsidR="00943FB9" w:rsidRPr="00593FCB">
        <w:rPr>
          <w:rFonts w:ascii="標楷體" w:eastAsia="標楷體" w:hAnsi="標楷體" w:hint="eastAsia"/>
          <w:b/>
          <w:color w:val="000000"/>
          <w:sz w:val="20"/>
        </w:rPr>
        <w:t>公司</w:t>
      </w:r>
      <w:r w:rsidR="00943FB9">
        <w:rPr>
          <w:rFonts w:ascii="標楷體" w:eastAsia="標楷體" w:hAnsi="標楷體" w:hint="eastAsia"/>
          <w:b/>
          <w:color w:val="000000"/>
          <w:sz w:val="20"/>
        </w:rPr>
        <w:t>）</w:t>
      </w:r>
    </w:p>
    <w:p w:rsidR="00177136" w:rsidRPr="005C5E31" w:rsidRDefault="00E17694" w:rsidP="004516B7">
      <w:pPr>
        <w:adjustRightInd w:val="0"/>
        <w:spacing w:line="360" w:lineRule="auto"/>
        <w:ind w:left="1066"/>
        <w:jc w:val="both"/>
        <w:rPr>
          <w:rFonts w:eastAsia="標楷體"/>
          <w:spacing w:val="20"/>
          <w:sz w:val="30"/>
        </w:rPr>
      </w:pPr>
      <w:r w:rsidRPr="00E17694">
        <w:rPr>
          <w:rFonts w:eastAsia="標楷體" w:hint="eastAsia"/>
          <w:spacing w:val="20"/>
          <w:sz w:val="30"/>
        </w:rPr>
        <w:t>生產</w:t>
      </w:r>
      <w:r w:rsidRPr="00E17694">
        <w:rPr>
          <w:rFonts w:eastAsia="標楷體" w:hint="eastAsia"/>
          <w:spacing w:val="20"/>
          <w:sz w:val="30"/>
        </w:rPr>
        <w:t>272</w:t>
      </w:r>
      <w:r w:rsidRPr="00E17694">
        <w:rPr>
          <w:rFonts w:eastAsia="標楷體" w:hint="eastAsia"/>
          <w:spacing w:val="20"/>
          <w:sz w:val="30"/>
        </w:rPr>
        <w:t>億</w:t>
      </w:r>
      <w:r w:rsidRPr="00E17694">
        <w:rPr>
          <w:rFonts w:eastAsia="標楷體" w:hint="eastAsia"/>
          <w:spacing w:val="20"/>
          <w:sz w:val="30"/>
        </w:rPr>
        <w:t>7,291</w:t>
      </w:r>
      <w:r w:rsidRPr="00E17694">
        <w:rPr>
          <w:rFonts w:eastAsia="標楷體" w:hint="eastAsia"/>
          <w:spacing w:val="20"/>
          <w:sz w:val="30"/>
        </w:rPr>
        <w:t>萬餘立方公尺，較預算數</w:t>
      </w:r>
      <w:r w:rsidRPr="00E17694">
        <w:rPr>
          <w:rFonts w:eastAsia="標楷體" w:hint="eastAsia"/>
          <w:spacing w:val="20"/>
          <w:sz w:val="30"/>
        </w:rPr>
        <w:t>238</w:t>
      </w:r>
      <w:r w:rsidRPr="00E17694">
        <w:rPr>
          <w:rFonts w:eastAsia="標楷體" w:hint="eastAsia"/>
          <w:spacing w:val="20"/>
          <w:sz w:val="30"/>
        </w:rPr>
        <w:t>億</w:t>
      </w:r>
      <w:r w:rsidRPr="00E17694">
        <w:rPr>
          <w:rFonts w:eastAsia="標楷體" w:hint="eastAsia"/>
          <w:spacing w:val="20"/>
          <w:sz w:val="30"/>
        </w:rPr>
        <w:t>7,239</w:t>
      </w:r>
      <w:r w:rsidRPr="00E17694">
        <w:rPr>
          <w:rFonts w:eastAsia="標楷體" w:hint="eastAsia"/>
          <w:spacing w:val="20"/>
          <w:sz w:val="30"/>
        </w:rPr>
        <w:t>萬餘立方公尺，增加</w:t>
      </w:r>
      <w:r w:rsidRPr="00E17694">
        <w:rPr>
          <w:rFonts w:eastAsia="標楷體" w:hint="eastAsia"/>
          <w:spacing w:val="20"/>
          <w:sz w:val="30"/>
        </w:rPr>
        <w:t>14.2</w:t>
      </w:r>
      <w:r w:rsidRPr="00E17694">
        <w:rPr>
          <w:rFonts w:eastAsia="標楷體" w:hint="eastAsia"/>
          <w:spacing w:val="20"/>
          <w:sz w:val="30"/>
        </w:rPr>
        <w:t>％；銷售</w:t>
      </w:r>
      <w:r w:rsidRPr="00E17694">
        <w:rPr>
          <w:rFonts w:eastAsia="標楷體" w:hint="eastAsia"/>
          <w:spacing w:val="20"/>
          <w:sz w:val="30"/>
        </w:rPr>
        <w:t>265</w:t>
      </w:r>
      <w:r w:rsidRPr="00E17694">
        <w:rPr>
          <w:rFonts w:eastAsia="標楷體" w:hint="eastAsia"/>
          <w:spacing w:val="20"/>
          <w:sz w:val="30"/>
        </w:rPr>
        <w:t>億</w:t>
      </w:r>
      <w:r w:rsidRPr="00E17694">
        <w:rPr>
          <w:rFonts w:eastAsia="標楷體" w:hint="eastAsia"/>
          <w:spacing w:val="20"/>
          <w:sz w:val="30"/>
        </w:rPr>
        <w:t>3,945</w:t>
      </w:r>
      <w:r w:rsidRPr="00E17694">
        <w:rPr>
          <w:rFonts w:eastAsia="標楷體" w:hint="eastAsia"/>
          <w:spacing w:val="20"/>
          <w:sz w:val="30"/>
        </w:rPr>
        <w:t>萬餘立方公尺，較預算數</w:t>
      </w:r>
      <w:r w:rsidRPr="00E17694">
        <w:rPr>
          <w:rFonts w:eastAsia="標楷體" w:hint="eastAsia"/>
          <w:spacing w:val="20"/>
          <w:sz w:val="30"/>
        </w:rPr>
        <w:t>234</w:t>
      </w:r>
      <w:r w:rsidRPr="00E17694">
        <w:rPr>
          <w:rFonts w:eastAsia="標楷體" w:hint="eastAsia"/>
          <w:spacing w:val="20"/>
          <w:sz w:val="30"/>
        </w:rPr>
        <w:t>億</w:t>
      </w:r>
      <w:r w:rsidRPr="00E17694">
        <w:rPr>
          <w:rFonts w:eastAsia="標楷體" w:hint="eastAsia"/>
          <w:spacing w:val="20"/>
          <w:sz w:val="30"/>
        </w:rPr>
        <w:t>3,339</w:t>
      </w:r>
      <w:r w:rsidRPr="00E17694">
        <w:rPr>
          <w:rFonts w:eastAsia="標楷體" w:hint="eastAsia"/>
          <w:spacing w:val="20"/>
          <w:sz w:val="30"/>
        </w:rPr>
        <w:t>萬立方公尺，增加</w:t>
      </w:r>
      <w:r w:rsidRPr="00E17694">
        <w:rPr>
          <w:rFonts w:eastAsia="標楷體" w:hint="eastAsia"/>
          <w:spacing w:val="20"/>
          <w:sz w:val="30"/>
        </w:rPr>
        <w:t>13.3</w:t>
      </w:r>
      <w:r w:rsidRPr="00E17694">
        <w:rPr>
          <w:rFonts w:eastAsia="標楷體" w:hint="eastAsia"/>
          <w:spacing w:val="20"/>
          <w:sz w:val="30"/>
        </w:rPr>
        <w:t>％；產銷量較預算數增加，係因發電用天然氣需求增加所致。</w:t>
      </w:r>
    </w:p>
    <w:p w:rsidR="00177136" w:rsidRPr="005C5E31" w:rsidRDefault="00177136" w:rsidP="00177136">
      <w:pPr>
        <w:spacing w:beforeLines="100" w:before="240" w:line="360" w:lineRule="auto"/>
        <w:ind w:left="482"/>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三</w:t>
      </w:r>
      <w:r w:rsidRPr="005C5E31">
        <w:rPr>
          <w:rFonts w:eastAsia="標楷體" w:hint="eastAsia"/>
          <w:b/>
          <w:spacing w:val="20"/>
          <w:sz w:val="30"/>
          <w:szCs w:val="30"/>
        </w:rPr>
        <w:t>)</w:t>
      </w:r>
      <w:r w:rsidR="00AD38A4" w:rsidRPr="005C5E31">
        <w:rPr>
          <w:rFonts w:eastAsia="標楷體" w:hint="eastAsia"/>
          <w:b/>
          <w:spacing w:val="20"/>
          <w:sz w:val="30"/>
          <w:szCs w:val="30"/>
        </w:rPr>
        <w:t>液化石油氣</w:t>
      </w:r>
      <w:r w:rsidR="00943FB9">
        <w:rPr>
          <w:rFonts w:ascii="標楷體" w:eastAsia="標楷體" w:hAnsi="標楷體" w:hint="eastAsia"/>
          <w:b/>
          <w:color w:val="000000"/>
          <w:sz w:val="20"/>
        </w:rPr>
        <w:t>（</w:t>
      </w:r>
      <w:r w:rsidR="00943FB9" w:rsidRPr="00FD4352">
        <w:rPr>
          <w:rFonts w:ascii="標楷體" w:eastAsia="標楷體" w:hAnsi="標楷體" w:hint="eastAsia"/>
          <w:b/>
          <w:color w:val="000000"/>
          <w:sz w:val="20"/>
        </w:rPr>
        <w:t>台灣中油</w:t>
      </w:r>
      <w:r w:rsidR="00943FB9">
        <w:rPr>
          <w:rFonts w:ascii="標楷體" w:eastAsia="標楷體" w:hAnsi="標楷體" w:hint="eastAsia"/>
          <w:b/>
          <w:color w:val="000000"/>
          <w:sz w:val="20"/>
        </w:rPr>
        <w:t>股份有限</w:t>
      </w:r>
      <w:r w:rsidR="00943FB9" w:rsidRPr="00593FCB">
        <w:rPr>
          <w:rFonts w:ascii="標楷體" w:eastAsia="標楷體" w:hAnsi="標楷體" w:hint="eastAsia"/>
          <w:b/>
          <w:color w:val="000000"/>
          <w:sz w:val="20"/>
        </w:rPr>
        <w:t>公司</w:t>
      </w:r>
      <w:r w:rsidR="00943FB9">
        <w:rPr>
          <w:rFonts w:ascii="標楷體" w:eastAsia="標楷體" w:hAnsi="標楷體" w:hint="eastAsia"/>
          <w:b/>
          <w:color w:val="000000"/>
          <w:sz w:val="20"/>
        </w:rPr>
        <w:t>）</w:t>
      </w:r>
    </w:p>
    <w:p w:rsidR="00177136" w:rsidRPr="005C5E31" w:rsidRDefault="00E17694" w:rsidP="004516B7">
      <w:pPr>
        <w:adjustRightInd w:val="0"/>
        <w:spacing w:line="360" w:lineRule="auto"/>
        <w:ind w:left="1066"/>
        <w:jc w:val="both"/>
        <w:rPr>
          <w:rFonts w:eastAsia="標楷體"/>
          <w:spacing w:val="12"/>
          <w:sz w:val="30"/>
        </w:rPr>
      </w:pPr>
      <w:r w:rsidRPr="00E17694">
        <w:rPr>
          <w:rFonts w:eastAsia="標楷體" w:hint="eastAsia"/>
          <w:spacing w:val="12"/>
          <w:sz w:val="30"/>
        </w:rPr>
        <w:t>生產</w:t>
      </w:r>
      <w:r w:rsidRPr="00E17694">
        <w:rPr>
          <w:rFonts w:eastAsia="標楷體" w:hint="eastAsia"/>
          <w:spacing w:val="12"/>
          <w:sz w:val="30"/>
        </w:rPr>
        <w:t>36</w:t>
      </w:r>
      <w:r w:rsidRPr="00E17694">
        <w:rPr>
          <w:rFonts w:eastAsia="標楷體" w:hint="eastAsia"/>
          <w:spacing w:val="12"/>
          <w:sz w:val="30"/>
        </w:rPr>
        <w:t>萬</w:t>
      </w:r>
      <w:r w:rsidRPr="00E17694">
        <w:rPr>
          <w:rFonts w:eastAsia="標楷體" w:hint="eastAsia"/>
          <w:spacing w:val="12"/>
          <w:sz w:val="30"/>
        </w:rPr>
        <w:t>6,710</w:t>
      </w:r>
      <w:r w:rsidRPr="00E17694">
        <w:rPr>
          <w:rFonts w:eastAsia="標楷體" w:hint="eastAsia"/>
          <w:spacing w:val="12"/>
          <w:sz w:val="30"/>
        </w:rPr>
        <w:t>公噸，較預算數</w:t>
      </w:r>
      <w:r w:rsidRPr="00E17694">
        <w:rPr>
          <w:rFonts w:eastAsia="標楷體" w:hint="eastAsia"/>
          <w:spacing w:val="12"/>
          <w:sz w:val="30"/>
        </w:rPr>
        <w:t>33</w:t>
      </w:r>
      <w:r w:rsidRPr="00E17694">
        <w:rPr>
          <w:rFonts w:eastAsia="標楷體" w:hint="eastAsia"/>
          <w:spacing w:val="12"/>
          <w:sz w:val="30"/>
        </w:rPr>
        <w:t>萬</w:t>
      </w:r>
      <w:r w:rsidRPr="00E17694">
        <w:rPr>
          <w:rFonts w:eastAsia="標楷體" w:hint="eastAsia"/>
          <w:spacing w:val="12"/>
          <w:sz w:val="30"/>
        </w:rPr>
        <w:t>4,176</w:t>
      </w:r>
      <w:r w:rsidRPr="00E17694">
        <w:rPr>
          <w:rFonts w:eastAsia="標楷體" w:hint="eastAsia"/>
          <w:spacing w:val="12"/>
          <w:sz w:val="30"/>
        </w:rPr>
        <w:t>公噸，增加</w:t>
      </w:r>
      <w:r w:rsidRPr="00E17694">
        <w:rPr>
          <w:rFonts w:eastAsia="標楷體" w:hint="eastAsia"/>
          <w:spacing w:val="12"/>
          <w:sz w:val="30"/>
        </w:rPr>
        <w:t>9.7</w:t>
      </w:r>
      <w:r w:rsidRPr="00E17694">
        <w:rPr>
          <w:rFonts w:eastAsia="標楷體" w:hint="eastAsia"/>
          <w:spacing w:val="12"/>
          <w:sz w:val="30"/>
        </w:rPr>
        <w:t>％，係因調整生產結構增加自產量所致；銷售</w:t>
      </w:r>
      <w:r w:rsidRPr="00E17694">
        <w:rPr>
          <w:rFonts w:eastAsia="標楷體" w:hint="eastAsia"/>
          <w:spacing w:val="12"/>
          <w:sz w:val="30"/>
        </w:rPr>
        <w:t>58</w:t>
      </w:r>
      <w:r w:rsidRPr="00E17694">
        <w:rPr>
          <w:rFonts w:eastAsia="標楷體" w:hint="eastAsia"/>
          <w:spacing w:val="12"/>
          <w:sz w:val="30"/>
        </w:rPr>
        <w:t>萬</w:t>
      </w:r>
      <w:r w:rsidRPr="00E17694">
        <w:rPr>
          <w:rFonts w:eastAsia="標楷體" w:hint="eastAsia"/>
          <w:spacing w:val="12"/>
          <w:sz w:val="30"/>
        </w:rPr>
        <w:t>7,592</w:t>
      </w:r>
      <w:r w:rsidRPr="00E17694">
        <w:rPr>
          <w:rFonts w:eastAsia="標楷體" w:hint="eastAsia"/>
          <w:spacing w:val="12"/>
          <w:sz w:val="30"/>
        </w:rPr>
        <w:t>公噸，較預算數</w:t>
      </w:r>
      <w:r w:rsidRPr="00E17694">
        <w:rPr>
          <w:rFonts w:eastAsia="標楷體" w:hint="eastAsia"/>
          <w:spacing w:val="12"/>
          <w:sz w:val="30"/>
        </w:rPr>
        <w:t>52</w:t>
      </w:r>
      <w:r w:rsidRPr="00E17694">
        <w:rPr>
          <w:rFonts w:eastAsia="標楷體" w:hint="eastAsia"/>
          <w:spacing w:val="12"/>
          <w:sz w:val="30"/>
        </w:rPr>
        <w:t>萬</w:t>
      </w:r>
      <w:r w:rsidRPr="00E17694">
        <w:rPr>
          <w:rFonts w:eastAsia="標楷體" w:hint="eastAsia"/>
          <w:spacing w:val="12"/>
          <w:sz w:val="30"/>
        </w:rPr>
        <w:t>8,600</w:t>
      </w:r>
      <w:r w:rsidRPr="00E17694">
        <w:rPr>
          <w:rFonts w:eastAsia="標楷體" w:hint="eastAsia"/>
          <w:spacing w:val="12"/>
          <w:sz w:val="30"/>
        </w:rPr>
        <w:t>公噸，增加</w:t>
      </w:r>
      <w:r w:rsidRPr="00E17694">
        <w:rPr>
          <w:rFonts w:eastAsia="標楷體" w:hint="eastAsia"/>
          <w:spacing w:val="12"/>
          <w:sz w:val="30"/>
        </w:rPr>
        <w:t>11.2</w:t>
      </w:r>
      <w:r w:rsidRPr="00E17694">
        <w:rPr>
          <w:rFonts w:eastAsia="標楷體" w:hint="eastAsia"/>
          <w:spacing w:val="12"/>
          <w:sz w:val="30"/>
        </w:rPr>
        <w:t>％，係因民用液化石油氣等需求增加所致。</w:t>
      </w:r>
    </w:p>
    <w:p w:rsidR="00177136" w:rsidRPr="005C5E31" w:rsidRDefault="00177136" w:rsidP="00177136">
      <w:pPr>
        <w:spacing w:beforeLines="100" w:before="240" w:line="360" w:lineRule="auto"/>
        <w:ind w:left="482"/>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四</w:t>
      </w:r>
      <w:r w:rsidRPr="005C5E31">
        <w:rPr>
          <w:rFonts w:eastAsia="標楷體" w:hint="eastAsia"/>
          <w:b/>
          <w:spacing w:val="20"/>
          <w:sz w:val="30"/>
          <w:szCs w:val="30"/>
        </w:rPr>
        <w:t>)</w:t>
      </w:r>
      <w:r w:rsidR="00AD38A4" w:rsidRPr="005C5E31">
        <w:rPr>
          <w:rFonts w:eastAsia="標楷體" w:hint="eastAsia"/>
          <w:b/>
          <w:spacing w:val="20"/>
          <w:sz w:val="30"/>
          <w:szCs w:val="30"/>
        </w:rPr>
        <w:t>石油燃料</w:t>
      </w:r>
      <w:r w:rsidR="00943FB9">
        <w:rPr>
          <w:rFonts w:ascii="標楷體" w:eastAsia="標楷體" w:hAnsi="標楷體" w:hint="eastAsia"/>
          <w:b/>
          <w:color w:val="000000"/>
          <w:sz w:val="20"/>
        </w:rPr>
        <w:t>（</w:t>
      </w:r>
      <w:r w:rsidR="00943FB9" w:rsidRPr="00FD4352">
        <w:rPr>
          <w:rFonts w:ascii="標楷體" w:eastAsia="標楷體" w:hAnsi="標楷體" w:hint="eastAsia"/>
          <w:b/>
          <w:color w:val="000000"/>
          <w:sz w:val="20"/>
        </w:rPr>
        <w:t>台灣中油</w:t>
      </w:r>
      <w:r w:rsidR="00943FB9">
        <w:rPr>
          <w:rFonts w:ascii="標楷體" w:eastAsia="標楷體" w:hAnsi="標楷體" w:hint="eastAsia"/>
          <w:b/>
          <w:color w:val="000000"/>
          <w:sz w:val="20"/>
        </w:rPr>
        <w:t>股份有限</w:t>
      </w:r>
      <w:r w:rsidR="00943FB9" w:rsidRPr="00593FCB">
        <w:rPr>
          <w:rFonts w:ascii="標楷體" w:eastAsia="標楷體" w:hAnsi="標楷體" w:hint="eastAsia"/>
          <w:b/>
          <w:color w:val="000000"/>
          <w:sz w:val="20"/>
        </w:rPr>
        <w:t>公司</w:t>
      </w:r>
      <w:r w:rsidR="00943FB9">
        <w:rPr>
          <w:rFonts w:ascii="標楷體" w:eastAsia="標楷體" w:hAnsi="標楷體" w:hint="eastAsia"/>
          <w:b/>
          <w:color w:val="000000"/>
          <w:sz w:val="20"/>
        </w:rPr>
        <w:t>）</w:t>
      </w:r>
    </w:p>
    <w:p w:rsidR="00177136" w:rsidRPr="005C5E31" w:rsidRDefault="00E17694" w:rsidP="004516B7">
      <w:pPr>
        <w:adjustRightInd w:val="0"/>
        <w:spacing w:line="360" w:lineRule="auto"/>
        <w:ind w:left="1066"/>
        <w:jc w:val="both"/>
        <w:rPr>
          <w:rFonts w:eastAsia="標楷體"/>
          <w:spacing w:val="20"/>
          <w:sz w:val="30"/>
        </w:rPr>
      </w:pPr>
      <w:r w:rsidRPr="00E17694">
        <w:rPr>
          <w:rFonts w:eastAsia="標楷體" w:hint="eastAsia"/>
          <w:spacing w:val="20"/>
          <w:sz w:val="30"/>
        </w:rPr>
        <w:t>生產</w:t>
      </w:r>
      <w:r w:rsidRPr="00E17694">
        <w:rPr>
          <w:rFonts w:eastAsia="標楷體" w:hint="eastAsia"/>
          <w:spacing w:val="20"/>
          <w:sz w:val="30"/>
        </w:rPr>
        <w:t>1,980</w:t>
      </w:r>
      <w:r w:rsidRPr="00E17694">
        <w:rPr>
          <w:rFonts w:eastAsia="標楷體" w:hint="eastAsia"/>
          <w:spacing w:val="20"/>
          <w:sz w:val="30"/>
        </w:rPr>
        <w:t>萬餘公秉，較預算數</w:t>
      </w:r>
      <w:r w:rsidRPr="00E17694">
        <w:rPr>
          <w:rFonts w:eastAsia="標楷體" w:hint="eastAsia"/>
          <w:spacing w:val="20"/>
          <w:sz w:val="30"/>
        </w:rPr>
        <w:t>1,902</w:t>
      </w:r>
      <w:r w:rsidRPr="00E17694">
        <w:rPr>
          <w:rFonts w:eastAsia="標楷體" w:hint="eastAsia"/>
          <w:spacing w:val="20"/>
          <w:sz w:val="30"/>
        </w:rPr>
        <w:t>萬餘公秉，增加</w:t>
      </w:r>
      <w:r w:rsidRPr="00E17694">
        <w:rPr>
          <w:rFonts w:eastAsia="標楷體" w:hint="eastAsia"/>
          <w:spacing w:val="20"/>
          <w:sz w:val="30"/>
        </w:rPr>
        <w:t>4.1</w:t>
      </w:r>
      <w:r w:rsidRPr="00E17694">
        <w:rPr>
          <w:rFonts w:eastAsia="標楷體" w:hint="eastAsia"/>
          <w:spacing w:val="20"/>
          <w:sz w:val="30"/>
        </w:rPr>
        <w:t>％，係因配合產銷調度增加產量所致；銷售</w:t>
      </w:r>
      <w:r w:rsidRPr="00E17694">
        <w:rPr>
          <w:rFonts w:eastAsia="標楷體" w:hint="eastAsia"/>
          <w:spacing w:val="20"/>
          <w:sz w:val="30"/>
        </w:rPr>
        <w:t>2,041</w:t>
      </w:r>
      <w:r w:rsidRPr="00E17694">
        <w:rPr>
          <w:rFonts w:eastAsia="標楷體" w:hint="eastAsia"/>
          <w:spacing w:val="20"/>
          <w:sz w:val="30"/>
        </w:rPr>
        <w:t>萬餘公秉，較預算數</w:t>
      </w:r>
      <w:r w:rsidRPr="00E17694">
        <w:rPr>
          <w:rFonts w:eastAsia="標楷體" w:hint="eastAsia"/>
          <w:spacing w:val="20"/>
          <w:sz w:val="30"/>
        </w:rPr>
        <w:t>2,034</w:t>
      </w:r>
      <w:r w:rsidRPr="00E17694">
        <w:rPr>
          <w:rFonts w:eastAsia="標楷體" w:hint="eastAsia"/>
          <w:spacing w:val="20"/>
          <w:sz w:val="30"/>
        </w:rPr>
        <w:t>萬餘公秉，增加</w:t>
      </w:r>
      <w:r w:rsidRPr="00E17694">
        <w:rPr>
          <w:rFonts w:eastAsia="標楷體" w:hint="eastAsia"/>
          <w:spacing w:val="20"/>
          <w:sz w:val="30"/>
        </w:rPr>
        <w:t>0.3</w:t>
      </w:r>
      <w:r w:rsidRPr="00E17694">
        <w:rPr>
          <w:rFonts w:eastAsia="標楷體" w:hint="eastAsia"/>
          <w:spacing w:val="20"/>
          <w:sz w:val="30"/>
        </w:rPr>
        <w:t>％，係因煤油及燃料油實際銷量較預期增加所致。</w:t>
      </w:r>
    </w:p>
    <w:p w:rsidR="00177136" w:rsidRPr="005C5E31" w:rsidRDefault="00177136" w:rsidP="00177136">
      <w:pPr>
        <w:spacing w:beforeLines="100" w:before="240" w:line="360" w:lineRule="auto"/>
        <w:ind w:left="482"/>
        <w:outlineLvl w:val="0"/>
        <w:rPr>
          <w:rFonts w:eastAsia="標楷體"/>
          <w:b/>
          <w:spacing w:val="20"/>
          <w:sz w:val="30"/>
          <w:szCs w:val="30"/>
        </w:rPr>
      </w:pPr>
      <w:r w:rsidRPr="005C5E31">
        <w:rPr>
          <w:rFonts w:eastAsia="標楷體" w:hint="eastAsia"/>
          <w:b/>
          <w:spacing w:val="20"/>
          <w:sz w:val="30"/>
          <w:szCs w:val="30"/>
        </w:rPr>
        <w:lastRenderedPageBreak/>
        <w:t>(</w:t>
      </w:r>
      <w:r w:rsidRPr="005C5E31">
        <w:rPr>
          <w:rFonts w:eastAsia="標楷體" w:hint="eastAsia"/>
          <w:b/>
          <w:spacing w:val="20"/>
          <w:sz w:val="30"/>
          <w:szCs w:val="30"/>
        </w:rPr>
        <w:t>五</w:t>
      </w:r>
      <w:r w:rsidRPr="005C5E31">
        <w:rPr>
          <w:rFonts w:eastAsia="標楷體" w:hint="eastAsia"/>
          <w:b/>
          <w:spacing w:val="20"/>
          <w:sz w:val="30"/>
          <w:szCs w:val="30"/>
        </w:rPr>
        <w:t>)</w:t>
      </w:r>
      <w:r w:rsidR="00AD38A4" w:rsidRPr="005C5E31">
        <w:rPr>
          <w:rFonts w:eastAsia="標楷體" w:hint="eastAsia"/>
          <w:b/>
          <w:spacing w:val="20"/>
          <w:sz w:val="30"/>
          <w:szCs w:val="30"/>
        </w:rPr>
        <w:t>石油化學品</w:t>
      </w:r>
      <w:r w:rsidR="00943FB9">
        <w:rPr>
          <w:rFonts w:ascii="標楷體" w:eastAsia="標楷體" w:hAnsi="標楷體" w:hint="eastAsia"/>
          <w:b/>
          <w:color w:val="000000"/>
          <w:sz w:val="20"/>
        </w:rPr>
        <w:t>（</w:t>
      </w:r>
      <w:r w:rsidR="00943FB9" w:rsidRPr="00FD4352">
        <w:rPr>
          <w:rFonts w:ascii="標楷體" w:eastAsia="標楷體" w:hAnsi="標楷體" w:hint="eastAsia"/>
          <w:b/>
          <w:color w:val="000000"/>
          <w:sz w:val="20"/>
        </w:rPr>
        <w:t>台灣中油</w:t>
      </w:r>
      <w:r w:rsidR="00943FB9">
        <w:rPr>
          <w:rFonts w:ascii="標楷體" w:eastAsia="標楷體" w:hAnsi="標楷體" w:hint="eastAsia"/>
          <w:b/>
          <w:color w:val="000000"/>
          <w:sz w:val="20"/>
        </w:rPr>
        <w:t>股份有限</w:t>
      </w:r>
      <w:r w:rsidR="00943FB9" w:rsidRPr="00593FCB">
        <w:rPr>
          <w:rFonts w:ascii="標楷體" w:eastAsia="標楷體" w:hAnsi="標楷體" w:hint="eastAsia"/>
          <w:b/>
          <w:color w:val="000000"/>
          <w:sz w:val="20"/>
        </w:rPr>
        <w:t>公司</w:t>
      </w:r>
      <w:r w:rsidR="00943FB9">
        <w:rPr>
          <w:rFonts w:ascii="標楷體" w:eastAsia="標楷體" w:hAnsi="標楷體" w:hint="eastAsia"/>
          <w:b/>
          <w:color w:val="000000"/>
          <w:sz w:val="20"/>
        </w:rPr>
        <w:t>）</w:t>
      </w:r>
    </w:p>
    <w:p w:rsidR="00177136" w:rsidRPr="005C5E31" w:rsidRDefault="00E17694" w:rsidP="004516B7">
      <w:pPr>
        <w:adjustRightInd w:val="0"/>
        <w:spacing w:line="360" w:lineRule="auto"/>
        <w:ind w:left="1066"/>
        <w:jc w:val="both"/>
        <w:rPr>
          <w:rFonts w:eastAsia="標楷體"/>
          <w:spacing w:val="20"/>
          <w:sz w:val="30"/>
        </w:rPr>
      </w:pPr>
      <w:r w:rsidRPr="00E17694">
        <w:rPr>
          <w:rFonts w:eastAsia="標楷體" w:hint="eastAsia"/>
          <w:spacing w:val="20"/>
          <w:sz w:val="30"/>
        </w:rPr>
        <w:t>生產</w:t>
      </w:r>
      <w:r w:rsidRPr="00E17694">
        <w:rPr>
          <w:rFonts w:eastAsia="標楷體" w:hint="eastAsia"/>
          <w:spacing w:val="20"/>
          <w:sz w:val="30"/>
        </w:rPr>
        <w:t>337</w:t>
      </w:r>
      <w:r w:rsidRPr="00E17694">
        <w:rPr>
          <w:rFonts w:eastAsia="標楷體" w:hint="eastAsia"/>
          <w:spacing w:val="20"/>
          <w:sz w:val="30"/>
        </w:rPr>
        <w:t>萬餘公噸，較預算數</w:t>
      </w:r>
      <w:r w:rsidRPr="00E17694">
        <w:rPr>
          <w:rFonts w:eastAsia="標楷體" w:hint="eastAsia"/>
          <w:spacing w:val="20"/>
          <w:sz w:val="30"/>
        </w:rPr>
        <w:t>346</w:t>
      </w:r>
      <w:r w:rsidRPr="00E17694">
        <w:rPr>
          <w:rFonts w:eastAsia="標楷體" w:hint="eastAsia"/>
          <w:spacing w:val="20"/>
          <w:sz w:val="30"/>
        </w:rPr>
        <w:t>萬餘公噸，減少</w:t>
      </w:r>
      <w:r w:rsidRPr="00E17694">
        <w:rPr>
          <w:rFonts w:eastAsia="標楷體" w:hint="eastAsia"/>
          <w:spacing w:val="20"/>
          <w:sz w:val="30"/>
        </w:rPr>
        <w:t>2.6</w:t>
      </w:r>
      <w:r w:rsidRPr="00E17694">
        <w:rPr>
          <w:rFonts w:eastAsia="標楷體" w:hint="eastAsia"/>
          <w:spacing w:val="20"/>
          <w:sz w:val="30"/>
        </w:rPr>
        <w:t>％，係因配合產銷調度減少產量所致；銷售</w:t>
      </w:r>
      <w:r w:rsidRPr="00E17694">
        <w:rPr>
          <w:rFonts w:eastAsia="標楷體" w:hint="eastAsia"/>
          <w:spacing w:val="20"/>
          <w:sz w:val="30"/>
        </w:rPr>
        <w:t>380</w:t>
      </w:r>
      <w:r w:rsidRPr="00E17694">
        <w:rPr>
          <w:rFonts w:eastAsia="標楷體" w:hint="eastAsia"/>
          <w:spacing w:val="20"/>
          <w:sz w:val="30"/>
        </w:rPr>
        <w:t>萬餘公噸，較預算數</w:t>
      </w:r>
      <w:r w:rsidRPr="00E17694">
        <w:rPr>
          <w:rFonts w:eastAsia="標楷體" w:hint="eastAsia"/>
          <w:spacing w:val="20"/>
          <w:sz w:val="30"/>
        </w:rPr>
        <w:t>381</w:t>
      </w:r>
      <w:r w:rsidRPr="00E17694">
        <w:rPr>
          <w:rFonts w:eastAsia="標楷體" w:hint="eastAsia"/>
          <w:spacing w:val="20"/>
          <w:sz w:val="30"/>
        </w:rPr>
        <w:t>萬餘公噸，減少</w:t>
      </w:r>
      <w:r w:rsidRPr="00E17694">
        <w:rPr>
          <w:rFonts w:eastAsia="標楷體" w:hint="eastAsia"/>
          <w:spacing w:val="20"/>
          <w:sz w:val="30"/>
        </w:rPr>
        <w:t>0.3</w:t>
      </w:r>
      <w:r w:rsidRPr="00E17694">
        <w:rPr>
          <w:rFonts w:eastAsia="標楷體" w:hint="eastAsia"/>
          <w:spacing w:val="20"/>
          <w:sz w:val="30"/>
        </w:rPr>
        <w:t>％，係因主要烯烴類、主要芳香烴類及次要烷烴類實際銷量較預期減少所致。</w:t>
      </w:r>
    </w:p>
    <w:p w:rsidR="00177136" w:rsidRPr="005C5E31" w:rsidRDefault="00177136" w:rsidP="00177136">
      <w:pPr>
        <w:spacing w:beforeLines="100" w:before="240" w:line="360" w:lineRule="auto"/>
        <w:ind w:left="482"/>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六</w:t>
      </w:r>
      <w:r w:rsidRPr="005C5E31">
        <w:rPr>
          <w:rFonts w:eastAsia="標楷體" w:hint="eastAsia"/>
          <w:b/>
          <w:spacing w:val="20"/>
          <w:sz w:val="30"/>
          <w:szCs w:val="30"/>
        </w:rPr>
        <w:t>)</w:t>
      </w:r>
      <w:r w:rsidR="00AD38A4" w:rsidRPr="005C5E31">
        <w:rPr>
          <w:rFonts w:eastAsia="標楷體" w:hint="eastAsia"/>
          <w:b/>
          <w:spacing w:val="20"/>
          <w:sz w:val="30"/>
          <w:szCs w:val="30"/>
        </w:rPr>
        <w:t>給水</w:t>
      </w:r>
      <w:r w:rsidR="00943FB9">
        <w:rPr>
          <w:rFonts w:ascii="標楷體" w:eastAsia="標楷體" w:hAnsi="標楷體" w:hint="eastAsia"/>
          <w:b/>
          <w:color w:val="000000"/>
          <w:sz w:val="20"/>
        </w:rPr>
        <w:t>（</w:t>
      </w:r>
      <w:r w:rsidR="00943FB9" w:rsidRPr="00FD4352">
        <w:rPr>
          <w:rFonts w:ascii="標楷體" w:eastAsia="標楷體" w:hAnsi="標楷體" w:hint="eastAsia"/>
          <w:b/>
          <w:color w:val="000000"/>
          <w:sz w:val="20"/>
        </w:rPr>
        <w:t>台灣自來水</w:t>
      </w:r>
      <w:r w:rsidR="00943FB9">
        <w:rPr>
          <w:rFonts w:ascii="標楷體" w:eastAsia="標楷體" w:hAnsi="標楷體" w:hint="eastAsia"/>
          <w:b/>
          <w:color w:val="000000"/>
          <w:sz w:val="20"/>
        </w:rPr>
        <w:t>股份有限</w:t>
      </w:r>
      <w:r w:rsidR="00943FB9" w:rsidRPr="00593FCB">
        <w:rPr>
          <w:rFonts w:ascii="標楷體" w:eastAsia="標楷體" w:hAnsi="標楷體" w:hint="eastAsia"/>
          <w:b/>
          <w:color w:val="000000"/>
          <w:sz w:val="20"/>
        </w:rPr>
        <w:t>公司</w:t>
      </w:r>
      <w:r w:rsidR="00943FB9">
        <w:rPr>
          <w:rFonts w:ascii="標楷體" w:eastAsia="標楷體" w:hAnsi="標楷體" w:hint="eastAsia"/>
          <w:b/>
          <w:color w:val="000000"/>
          <w:sz w:val="20"/>
        </w:rPr>
        <w:t>）</w:t>
      </w:r>
    </w:p>
    <w:p w:rsidR="00177136" w:rsidRPr="005C5E31" w:rsidRDefault="00E17694" w:rsidP="004516B7">
      <w:pPr>
        <w:spacing w:line="360" w:lineRule="auto"/>
        <w:ind w:left="1066"/>
        <w:jc w:val="both"/>
        <w:outlineLvl w:val="0"/>
        <w:rPr>
          <w:rFonts w:eastAsia="標楷體"/>
          <w:b/>
          <w:spacing w:val="20"/>
          <w:sz w:val="28"/>
        </w:rPr>
      </w:pPr>
      <w:r w:rsidRPr="00E17694">
        <w:rPr>
          <w:rFonts w:eastAsia="標楷體" w:hint="eastAsia"/>
          <w:spacing w:val="20"/>
          <w:sz w:val="30"/>
        </w:rPr>
        <w:t>生產量</w:t>
      </w:r>
      <w:r w:rsidRPr="00E17694">
        <w:rPr>
          <w:rFonts w:eastAsia="標楷體" w:hint="eastAsia"/>
          <w:spacing w:val="20"/>
          <w:sz w:val="30"/>
        </w:rPr>
        <w:t>32</w:t>
      </w:r>
      <w:r w:rsidRPr="00E17694">
        <w:rPr>
          <w:rFonts w:eastAsia="標楷體" w:hint="eastAsia"/>
          <w:spacing w:val="20"/>
          <w:sz w:val="30"/>
        </w:rPr>
        <w:t>億</w:t>
      </w:r>
      <w:r w:rsidRPr="00E17694">
        <w:rPr>
          <w:rFonts w:eastAsia="標楷體" w:hint="eastAsia"/>
          <w:spacing w:val="20"/>
          <w:sz w:val="30"/>
        </w:rPr>
        <w:t>4,650</w:t>
      </w:r>
      <w:r w:rsidRPr="00E17694">
        <w:rPr>
          <w:rFonts w:eastAsia="標楷體" w:hint="eastAsia"/>
          <w:spacing w:val="20"/>
          <w:sz w:val="30"/>
        </w:rPr>
        <w:t>萬餘立方公尺，較預算數</w:t>
      </w:r>
      <w:r w:rsidRPr="00E17694">
        <w:rPr>
          <w:rFonts w:eastAsia="標楷體" w:hint="eastAsia"/>
          <w:spacing w:val="20"/>
          <w:sz w:val="30"/>
        </w:rPr>
        <w:t>33</w:t>
      </w:r>
      <w:r w:rsidRPr="00E17694">
        <w:rPr>
          <w:rFonts w:eastAsia="標楷體" w:hint="eastAsia"/>
          <w:spacing w:val="20"/>
          <w:sz w:val="30"/>
        </w:rPr>
        <w:t>億</w:t>
      </w:r>
      <w:r w:rsidRPr="00E17694">
        <w:rPr>
          <w:rFonts w:eastAsia="標楷體" w:hint="eastAsia"/>
          <w:spacing w:val="20"/>
          <w:sz w:val="30"/>
        </w:rPr>
        <w:t>4,236</w:t>
      </w:r>
      <w:r w:rsidRPr="00E17694">
        <w:rPr>
          <w:rFonts w:eastAsia="標楷體" w:hint="eastAsia"/>
          <w:spacing w:val="20"/>
          <w:sz w:val="30"/>
        </w:rPr>
        <w:t>萬餘立方公尺，減少</w:t>
      </w:r>
      <w:r w:rsidRPr="00E17694">
        <w:rPr>
          <w:rFonts w:eastAsia="標楷體" w:hint="eastAsia"/>
          <w:spacing w:val="20"/>
          <w:sz w:val="30"/>
        </w:rPr>
        <w:t>2.9</w:t>
      </w:r>
      <w:r w:rsidRPr="00E17694">
        <w:rPr>
          <w:rFonts w:eastAsia="標楷體" w:hint="eastAsia"/>
          <w:spacing w:val="20"/>
          <w:sz w:val="30"/>
        </w:rPr>
        <w:t>％；銷售量</w:t>
      </w:r>
      <w:r w:rsidRPr="00E17694">
        <w:rPr>
          <w:rFonts w:eastAsia="標楷體" w:hint="eastAsia"/>
          <w:spacing w:val="20"/>
          <w:sz w:val="30"/>
        </w:rPr>
        <w:t>25</w:t>
      </w:r>
      <w:r w:rsidRPr="00E17694">
        <w:rPr>
          <w:rFonts w:eastAsia="標楷體" w:hint="eastAsia"/>
          <w:spacing w:val="20"/>
          <w:sz w:val="30"/>
        </w:rPr>
        <w:t>億</w:t>
      </w:r>
      <w:r w:rsidRPr="00E17694">
        <w:rPr>
          <w:rFonts w:eastAsia="標楷體" w:hint="eastAsia"/>
          <w:spacing w:val="20"/>
          <w:sz w:val="30"/>
        </w:rPr>
        <w:t>5,808</w:t>
      </w:r>
      <w:r w:rsidRPr="00E17694">
        <w:rPr>
          <w:rFonts w:eastAsia="標楷體" w:hint="eastAsia"/>
          <w:spacing w:val="20"/>
          <w:sz w:val="30"/>
        </w:rPr>
        <w:t>萬餘立方公尺，較預算數</w:t>
      </w:r>
      <w:r w:rsidRPr="00E17694">
        <w:rPr>
          <w:rFonts w:eastAsia="標楷體" w:hint="eastAsia"/>
          <w:spacing w:val="20"/>
          <w:sz w:val="30"/>
        </w:rPr>
        <w:t>26</w:t>
      </w:r>
      <w:r w:rsidRPr="00E17694">
        <w:rPr>
          <w:rFonts w:eastAsia="標楷體" w:hint="eastAsia"/>
          <w:spacing w:val="20"/>
          <w:sz w:val="30"/>
        </w:rPr>
        <w:t>億</w:t>
      </w:r>
      <w:r w:rsidRPr="00E17694">
        <w:rPr>
          <w:rFonts w:eastAsia="標楷體" w:hint="eastAsia"/>
          <w:spacing w:val="20"/>
          <w:sz w:val="30"/>
        </w:rPr>
        <w:t>3,044</w:t>
      </w:r>
      <w:r w:rsidRPr="00E17694">
        <w:rPr>
          <w:rFonts w:eastAsia="標楷體" w:hint="eastAsia"/>
          <w:spacing w:val="20"/>
          <w:sz w:val="30"/>
        </w:rPr>
        <w:t>萬餘立方公尺，減少</w:t>
      </w:r>
      <w:r w:rsidRPr="00E17694">
        <w:rPr>
          <w:rFonts w:eastAsia="標楷體" w:hint="eastAsia"/>
          <w:spacing w:val="20"/>
          <w:sz w:val="30"/>
        </w:rPr>
        <w:t>2.8</w:t>
      </w:r>
      <w:r w:rsidRPr="00E17694">
        <w:rPr>
          <w:rFonts w:eastAsia="標楷體" w:hint="eastAsia"/>
          <w:spacing w:val="20"/>
          <w:sz w:val="30"/>
        </w:rPr>
        <w:t>％；產銷量較預算數減少，係受國內經濟活動趨緩及上半年新冠肺炎疫情影響用水需求減少所致。</w:t>
      </w:r>
    </w:p>
    <w:p w:rsidR="00177136" w:rsidRPr="005C5E31" w:rsidRDefault="00177136" w:rsidP="00177136">
      <w:pPr>
        <w:spacing w:beforeLines="100" w:before="240" w:line="360" w:lineRule="auto"/>
        <w:ind w:left="482"/>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七</w:t>
      </w:r>
      <w:r w:rsidRPr="005C5E31">
        <w:rPr>
          <w:rFonts w:eastAsia="標楷體" w:hint="eastAsia"/>
          <w:b/>
          <w:spacing w:val="20"/>
          <w:sz w:val="30"/>
          <w:szCs w:val="30"/>
        </w:rPr>
        <w:t>)</w:t>
      </w:r>
      <w:r w:rsidR="00AD38A4" w:rsidRPr="005C5E31">
        <w:rPr>
          <w:rFonts w:eastAsia="標楷體" w:hint="eastAsia"/>
          <w:b/>
          <w:spacing w:val="20"/>
          <w:sz w:val="30"/>
          <w:szCs w:val="30"/>
        </w:rPr>
        <w:t>砂糖</w:t>
      </w:r>
      <w:r w:rsidR="00943FB9">
        <w:rPr>
          <w:rFonts w:ascii="標楷體" w:eastAsia="標楷體" w:hAnsi="標楷體" w:hint="eastAsia"/>
          <w:b/>
          <w:color w:val="000000"/>
          <w:sz w:val="20"/>
        </w:rPr>
        <w:t>（台灣糖業股份有限</w:t>
      </w:r>
      <w:r w:rsidR="00943FB9" w:rsidRPr="00593FCB">
        <w:rPr>
          <w:rFonts w:ascii="標楷體" w:eastAsia="標楷體" w:hAnsi="標楷體" w:hint="eastAsia"/>
          <w:b/>
          <w:color w:val="000000"/>
          <w:sz w:val="20"/>
        </w:rPr>
        <w:t>公司</w:t>
      </w:r>
      <w:r w:rsidR="00943FB9">
        <w:rPr>
          <w:rFonts w:ascii="標楷體" w:eastAsia="標楷體" w:hAnsi="標楷體" w:hint="eastAsia"/>
          <w:b/>
          <w:color w:val="000000"/>
          <w:sz w:val="20"/>
        </w:rPr>
        <w:t>）</w:t>
      </w:r>
    </w:p>
    <w:p w:rsidR="00177136" w:rsidRPr="005C5E31" w:rsidRDefault="00E17694" w:rsidP="004516B7">
      <w:pPr>
        <w:adjustRightInd w:val="0"/>
        <w:spacing w:line="360" w:lineRule="auto"/>
        <w:ind w:left="1066"/>
        <w:jc w:val="both"/>
        <w:rPr>
          <w:rFonts w:eastAsia="標楷體"/>
          <w:spacing w:val="20"/>
          <w:sz w:val="30"/>
        </w:rPr>
      </w:pPr>
      <w:r w:rsidRPr="00E17694">
        <w:rPr>
          <w:rFonts w:eastAsia="標楷體" w:hint="eastAsia"/>
          <w:spacing w:val="20"/>
          <w:sz w:val="30"/>
        </w:rPr>
        <w:t>生產</w:t>
      </w:r>
      <w:r w:rsidRPr="00E17694">
        <w:rPr>
          <w:rFonts w:eastAsia="標楷體" w:hint="eastAsia"/>
          <w:spacing w:val="20"/>
          <w:sz w:val="30"/>
        </w:rPr>
        <w:t>30</w:t>
      </w:r>
      <w:r w:rsidRPr="00E17694">
        <w:rPr>
          <w:rFonts w:eastAsia="標楷體" w:hint="eastAsia"/>
          <w:spacing w:val="20"/>
          <w:sz w:val="30"/>
        </w:rPr>
        <w:t>萬餘公噸，較預算數</w:t>
      </w:r>
      <w:r w:rsidRPr="00E17694">
        <w:rPr>
          <w:rFonts w:eastAsia="標楷體" w:hint="eastAsia"/>
          <w:spacing w:val="20"/>
          <w:sz w:val="30"/>
        </w:rPr>
        <w:t>34</w:t>
      </w:r>
      <w:r w:rsidRPr="00E17694">
        <w:rPr>
          <w:rFonts w:eastAsia="標楷體" w:hint="eastAsia"/>
          <w:spacing w:val="20"/>
          <w:sz w:val="30"/>
        </w:rPr>
        <w:t>萬餘公噸，減少</w:t>
      </w:r>
      <w:r w:rsidRPr="00E17694">
        <w:rPr>
          <w:rFonts w:eastAsia="標楷體" w:hint="eastAsia"/>
          <w:spacing w:val="20"/>
          <w:sz w:val="30"/>
        </w:rPr>
        <w:t>11.1</w:t>
      </w:r>
      <w:r w:rsidRPr="00E17694">
        <w:rPr>
          <w:rFonts w:eastAsia="標楷體" w:hint="eastAsia"/>
          <w:spacing w:val="20"/>
          <w:sz w:val="30"/>
        </w:rPr>
        <w:t>％，係因國內進口糖量增加，調減產量所致；銷售</w:t>
      </w:r>
      <w:r w:rsidRPr="00E17694">
        <w:rPr>
          <w:rFonts w:eastAsia="標楷體" w:hint="eastAsia"/>
          <w:spacing w:val="20"/>
          <w:sz w:val="30"/>
        </w:rPr>
        <w:t>29</w:t>
      </w:r>
      <w:r w:rsidRPr="00E17694">
        <w:rPr>
          <w:rFonts w:eastAsia="標楷體" w:hint="eastAsia"/>
          <w:spacing w:val="20"/>
          <w:sz w:val="30"/>
        </w:rPr>
        <w:t>萬餘公噸，較預算數</w:t>
      </w:r>
      <w:r w:rsidRPr="00E17694">
        <w:rPr>
          <w:rFonts w:eastAsia="標楷體" w:hint="eastAsia"/>
          <w:spacing w:val="20"/>
          <w:sz w:val="30"/>
        </w:rPr>
        <w:t>35</w:t>
      </w:r>
      <w:r w:rsidRPr="00E17694">
        <w:rPr>
          <w:rFonts w:eastAsia="標楷體" w:hint="eastAsia"/>
          <w:spacing w:val="20"/>
          <w:sz w:val="30"/>
        </w:rPr>
        <w:t>萬公噸，減少</w:t>
      </w:r>
      <w:r w:rsidRPr="00E17694">
        <w:rPr>
          <w:rFonts w:eastAsia="標楷體" w:hint="eastAsia"/>
          <w:spacing w:val="20"/>
          <w:sz w:val="30"/>
        </w:rPr>
        <w:t>16.2</w:t>
      </w:r>
      <w:r w:rsidRPr="00E17694">
        <w:rPr>
          <w:rFonts w:eastAsia="標楷體" w:hint="eastAsia"/>
          <w:spacing w:val="20"/>
          <w:sz w:val="30"/>
        </w:rPr>
        <w:t>％，係因市場競爭激烈銷售不如預期所致。</w:t>
      </w:r>
    </w:p>
    <w:p w:rsidR="00177136" w:rsidRPr="005C5E31" w:rsidRDefault="00177136" w:rsidP="00177136">
      <w:pPr>
        <w:spacing w:beforeLines="100" w:before="240" w:line="360" w:lineRule="auto"/>
        <w:ind w:left="482"/>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八</w:t>
      </w:r>
      <w:r w:rsidRPr="005C5E31">
        <w:rPr>
          <w:rFonts w:eastAsia="標楷體" w:hint="eastAsia"/>
          <w:b/>
          <w:spacing w:val="20"/>
          <w:sz w:val="30"/>
          <w:szCs w:val="30"/>
        </w:rPr>
        <w:t>)</w:t>
      </w:r>
      <w:r w:rsidR="00AD38A4" w:rsidRPr="005C5E31">
        <w:rPr>
          <w:rFonts w:eastAsia="標楷體" w:hint="eastAsia"/>
          <w:b/>
          <w:spacing w:val="20"/>
          <w:sz w:val="30"/>
          <w:szCs w:val="30"/>
        </w:rPr>
        <w:t>豬隻</w:t>
      </w:r>
      <w:r w:rsidR="00943FB9">
        <w:rPr>
          <w:rFonts w:ascii="標楷體" w:eastAsia="標楷體" w:hAnsi="標楷體" w:hint="eastAsia"/>
          <w:b/>
          <w:color w:val="000000"/>
          <w:sz w:val="20"/>
        </w:rPr>
        <w:t>（台灣糖業股份有限</w:t>
      </w:r>
      <w:r w:rsidR="00943FB9" w:rsidRPr="00593FCB">
        <w:rPr>
          <w:rFonts w:ascii="標楷體" w:eastAsia="標楷體" w:hAnsi="標楷體" w:hint="eastAsia"/>
          <w:b/>
          <w:color w:val="000000"/>
          <w:sz w:val="20"/>
        </w:rPr>
        <w:t>公司</w:t>
      </w:r>
      <w:r w:rsidR="00943FB9">
        <w:rPr>
          <w:rFonts w:ascii="標楷體" w:eastAsia="標楷體" w:hAnsi="標楷體" w:hint="eastAsia"/>
          <w:b/>
          <w:color w:val="000000"/>
          <w:sz w:val="20"/>
        </w:rPr>
        <w:t>）</w:t>
      </w:r>
    </w:p>
    <w:p w:rsidR="00177136" w:rsidRPr="005C5E31" w:rsidRDefault="00E17694" w:rsidP="003F0824">
      <w:pPr>
        <w:overflowPunct w:val="0"/>
        <w:spacing w:line="360" w:lineRule="auto"/>
        <w:ind w:left="1066"/>
        <w:jc w:val="both"/>
        <w:outlineLvl w:val="0"/>
        <w:rPr>
          <w:rFonts w:eastAsia="標楷體"/>
          <w:spacing w:val="20"/>
          <w:sz w:val="30"/>
        </w:rPr>
      </w:pPr>
      <w:r w:rsidRPr="00E17694">
        <w:rPr>
          <w:rFonts w:eastAsia="標楷體" w:hint="eastAsia"/>
          <w:spacing w:val="20"/>
          <w:sz w:val="30"/>
        </w:rPr>
        <w:t>生產</w:t>
      </w:r>
      <w:r w:rsidRPr="00E17694">
        <w:rPr>
          <w:rFonts w:eastAsia="標楷體" w:hint="eastAsia"/>
          <w:spacing w:val="20"/>
          <w:sz w:val="30"/>
        </w:rPr>
        <w:t>2</w:t>
      </w:r>
      <w:r w:rsidRPr="00E17694">
        <w:rPr>
          <w:rFonts w:eastAsia="標楷體" w:hint="eastAsia"/>
          <w:spacing w:val="20"/>
          <w:sz w:val="30"/>
        </w:rPr>
        <w:t>萬</w:t>
      </w:r>
      <w:r w:rsidRPr="00E17694">
        <w:rPr>
          <w:rFonts w:eastAsia="標楷體" w:hint="eastAsia"/>
          <w:spacing w:val="20"/>
          <w:sz w:val="30"/>
        </w:rPr>
        <w:t>3,167</w:t>
      </w:r>
      <w:r w:rsidRPr="00E17694">
        <w:rPr>
          <w:rFonts w:eastAsia="標楷體" w:hint="eastAsia"/>
          <w:spacing w:val="20"/>
          <w:sz w:val="30"/>
        </w:rPr>
        <w:t>公噸，較預算數</w:t>
      </w:r>
      <w:r w:rsidRPr="00E17694">
        <w:rPr>
          <w:rFonts w:eastAsia="標楷體" w:hint="eastAsia"/>
          <w:spacing w:val="20"/>
          <w:sz w:val="30"/>
        </w:rPr>
        <w:t>3</w:t>
      </w:r>
      <w:r w:rsidRPr="00E17694">
        <w:rPr>
          <w:rFonts w:eastAsia="標楷體" w:hint="eastAsia"/>
          <w:spacing w:val="20"/>
          <w:sz w:val="30"/>
        </w:rPr>
        <w:t>萬</w:t>
      </w:r>
      <w:r w:rsidRPr="00E17694">
        <w:rPr>
          <w:rFonts w:eastAsia="標楷體" w:hint="eastAsia"/>
          <w:spacing w:val="20"/>
          <w:sz w:val="30"/>
        </w:rPr>
        <w:t>4,208</w:t>
      </w:r>
      <w:r w:rsidRPr="00E17694">
        <w:rPr>
          <w:rFonts w:eastAsia="標楷體" w:hint="eastAsia"/>
          <w:spacing w:val="20"/>
          <w:sz w:val="30"/>
        </w:rPr>
        <w:t>公噸，減少</w:t>
      </w:r>
      <w:r w:rsidRPr="00E17694">
        <w:rPr>
          <w:rFonts w:eastAsia="標楷體" w:hint="eastAsia"/>
          <w:spacing w:val="20"/>
          <w:sz w:val="30"/>
        </w:rPr>
        <w:t>32.3</w:t>
      </w:r>
      <w:r w:rsidRPr="00E17694">
        <w:rPr>
          <w:rFonts w:eastAsia="標楷體" w:hint="eastAsia"/>
          <w:spacing w:val="20"/>
          <w:sz w:val="30"/>
        </w:rPr>
        <w:t>％；銷售</w:t>
      </w:r>
      <w:r w:rsidRPr="00E17694">
        <w:rPr>
          <w:rFonts w:eastAsia="標楷體" w:hint="eastAsia"/>
          <w:spacing w:val="20"/>
          <w:sz w:val="30"/>
        </w:rPr>
        <w:t>1</w:t>
      </w:r>
      <w:r w:rsidRPr="00E17694">
        <w:rPr>
          <w:rFonts w:eastAsia="標楷體" w:hint="eastAsia"/>
          <w:spacing w:val="20"/>
          <w:sz w:val="30"/>
        </w:rPr>
        <w:t>萬</w:t>
      </w:r>
      <w:r w:rsidRPr="00E17694">
        <w:rPr>
          <w:rFonts w:eastAsia="標楷體" w:hint="eastAsia"/>
          <w:spacing w:val="20"/>
          <w:sz w:val="30"/>
        </w:rPr>
        <w:t>6,106</w:t>
      </w:r>
      <w:r w:rsidRPr="00E17694">
        <w:rPr>
          <w:rFonts w:eastAsia="標楷體" w:hint="eastAsia"/>
          <w:spacing w:val="20"/>
          <w:sz w:val="30"/>
        </w:rPr>
        <w:t>公噸，較預算數</w:t>
      </w:r>
      <w:r w:rsidRPr="00E17694">
        <w:rPr>
          <w:rFonts w:eastAsia="標楷體" w:hint="eastAsia"/>
          <w:spacing w:val="20"/>
          <w:sz w:val="30"/>
        </w:rPr>
        <w:t>2</w:t>
      </w:r>
      <w:r w:rsidRPr="00E17694">
        <w:rPr>
          <w:rFonts w:eastAsia="標楷體" w:hint="eastAsia"/>
          <w:spacing w:val="20"/>
          <w:sz w:val="30"/>
        </w:rPr>
        <w:t>萬</w:t>
      </w:r>
      <w:r w:rsidRPr="00E17694">
        <w:rPr>
          <w:rFonts w:eastAsia="標楷體" w:hint="eastAsia"/>
          <w:spacing w:val="20"/>
          <w:sz w:val="30"/>
        </w:rPr>
        <w:t>4,764</w:t>
      </w:r>
      <w:r w:rsidRPr="00E17694">
        <w:rPr>
          <w:rFonts w:eastAsia="標楷體" w:hint="eastAsia"/>
          <w:spacing w:val="20"/>
          <w:sz w:val="30"/>
        </w:rPr>
        <w:t>公噸，減少</w:t>
      </w:r>
      <w:r w:rsidRPr="00E17694">
        <w:rPr>
          <w:rFonts w:eastAsia="標楷體" w:hint="eastAsia"/>
          <w:spacing w:val="20"/>
          <w:sz w:val="30"/>
        </w:rPr>
        <w:t>35</w:t>
      </w:r>
      <w:r w:rsidRPr="00E17694">
        <w:rPr>
          <w:rFonts w:eastAsia="標楷體" w:hint="eastAsia"/>
          <w:spacing w:val="20"/>
          <w:sz w:val="30"/>
        </w:rPr>
        <w:t>％</w:t>
      </w:r>
      <w:r w:rsidR="003F7649" w:rsidRPr="00E17694">
        <w:rPr>
          <w:rFonts w:eastAsia="標楷體" w:hint="eastAsia"/>
          <w:spacing w:val="20"/>
          <w:sz w:val="30"/>
        </w:rPr>
        <w:t>；</w:t>
      </w:r>
      <w:r w:rsidRPr="00E17694">
        <w:rPr>
          <w:rFonts w:eastAsia="標楷體" w:hint="eastAsia"/>
          <w:spacing w:val="20"/>
          <w:sz w:val="30"/>
        </w:rPr>
        <w:t>產銷量較預算數減少，係因部分養豬場改建縮減飼養規模影響供需所致。</w:t>
      </w:r>
    </w:p>
    <w:p w:rsidR="00177136" w:rsidRPr="005C5E31" w:rsidRDefault="00177136" w:rsidP="00064288">
      <w:pPr>
        <w:spacing w:beforeLines="100" w:before="240" w:line="360" w:lineRule="auto"/>
        <w:ind w:left="482"/>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九</w:t>
      </w:r>
      <w:r w:rsidRPr="005C5E31">
        <w:rPr>
          <w:rFonts w:eastAsia="標楷體" w:hint="eastAsia"/>
          <w:b/>
          <w:spacing w:val="20"/>
          <w:sz w:val="30"/>
          <w:szCs w:val="30"/>
        </w:rPr>
        <w:t>)</w:t>
      </w:r>
      <w:r w:rsidR="00AD38A4" w:rsidRPr="005C5E31">
        <w:rPr>
          <w:rFonts w:eastAsia="標楷體" w:hint="eastAsia"/>
          <w:b/>
          <w:spacing w:val="20"/>
          <w:sz w:val="30"/>
          <w:szCs w:val="30"/>
        </w:rPr>
        <w:t>郵件</w:t>
      </w:r>
      <w:r w:rsidR="00943FB9">
        <w:rPr>
          <w:rFonts w:ascii="標楷體" w:eastAsia="標楷體" w:hAnsi="標楷體" w:hint="eastAsia"/>
          <w:b/>
          <w:color w:val="000000"/>
          <w:sz w:val="20"/>
        </w:rPr>
        <w:t>（</w:t>
      </w:r>
      <w:r w:rsidR="00943FB9" w:rsidRPr="00593FCB">
        <w:rPr>
          <w:rFonts w:ascii="標楷體" w:eastAsia="標楷體" w:hAnsi="標楷體" w:hint="eastAsia"/>
          <w:b/>
          <w:color w:val="000000"/>
          <w:sz w:val="20"/>
        </w:rPr>
        <w:t>中華郵政</w:t>
      </w:r>
      <w:r w:rsidR="00943FB9">
        <w:rPr>
          <w:rFonts w:ascii="標楷體" w:eastAsia="標楷體" w:hAnsi="標楷體" w:hint="eastAsia"/>
          <w:b/>
          <w:color w:val="000000"/>
          <w:sz w:val="20"/>
        </w:rPr>
        <w:t>股份有限</w:t>
      </w:r>
      <w:r w:rsidR="00943FB9" w:rsidRPr="00593FCB">
        <w:rPr>
          <w:rFonts w:ascii="標楷體" w:eastAsia="標楷體" w:hAnsi="標楷體" w:hint="eastAsia"/>
          <w:b/>
          <w:color w:val="000000"/>
          <w:sz w:val="20"/>
        </w:rPr>
        <w:t>公司</w:t>
      </w:r>
      <w:r w:rsidR="00943FB9">
        <w:rPr>
          <w:rFonts w:ascii="標楷體" w:eastAsia="標楷體" w:hAnsi="標楷體" w:hint="eastAsia"/>
          <w:b/>
          <w:color w:val="000000"/>
          <w:sz w:val="20"/>
        </w:rPr>
        <w:t>）</w:t>
      </w:r>
    </w:p>
    <w:p w:rsidR="00177136" w:rsidRPr="005C5E31" w:rsidRDefault="00E17694" w:rsidP="004516B7">
      <w:pPr>
        <w:adjustRightInd w:val="0"/>
        <w:spacing w:line="360" w:lineRule="auto"/>
        <w:ind w:left="1066"/>
        <w:jc w:val="both"/>
        <w:rPr>
          <w:rFonts w:eastAsia="標楷體"/>
          <w:spacing w:val="20"/>
          <w:sz w:val="30"/>
        </w:rPr>
      </w:pPr>
      <w:r w:rsidRPr="00E17694">
        <w:rPr>
          <w:rFonts w:eastAsia="標楷體" w:hint="eastAsia"/>
          <w:spacing w:val="20"/>
          <w:sz w:val="30"/>
        </w:rPr>
        <w:lastRenderedPageBreak/>
        <w:t>營運量</w:t>
      </w:r>
      <w:r w:rsidRPr="00E17694">
        <w:rPr>
          <w:rFonts w:eastAsia="標楷體" w:hint="eastAsia"/>
          <w:spacing w:val="20"/>
          <w:sz w:val="30"/>
        </w:rPr>
        <w:t>18</w:t>
      </w:r>
      <w:r w:rsidRPr="00E17694">
        <w:rPr>
          <w:rFonts w:eastAsia="標楷體" w:hint="eastAsia"/>
          <w:spacing w:val="20"/>
          <w:sz w:val="30"/>
        </w:rPr>
        <w:t>億</w:t>
      </w:r>
      <w:r w:rsidRPr="00E17694">
        <w:rPr>
          <w:rFonts w:eastAsia="標楷體" w:hint="eastAsia"/>
          <w:spacing w:val="20"/>
          <w:sz w:val="30"/>
        </w:rPr>
        <w:t>9,703</w:t>
      </w:r>
      <w:r w:rsidRPr="00E17694">
        <w:rPr>
          <w:rFonts w:eastAsia="標楷體" w:hint="eastAsia"/>
          <w:spacing w:val="20"/>
          <w:sz w:val="30"/>
        </w:rPr>
        <w:t>萬餘件，較預算數</w:t>
      </w:r>
      <w:r w:rsidRPr="00E17694">
        <w:rPr>
          <w:rFonts w:eastAsia="標楷體" w:hint="eastAsia"/>
          <w:spacing w:val="20"/>
          <w:sz w:val="30"/>
        </w:rPr>
        <w:t>17</w:t>
      </w:r>
      <w:r w:rsidRPr="00E17694">
        <w:rPr>
          <w:rFonts w:eastAsia="標楷體" w:hint="eastAsia"/>
          <w:spacing w:val="20"/>
          <w:sz w:val="30"/>
        </w:rPr>
        <w:t>億</w:t>
      </w:r>
      <w:r w:rsidRPr="00E17694">
        <w:rPr>
          <w:rFonts w:eastAsia="標楷體" w:hint="eastAsia"/>
          <w:spacing w:val="20"/>
          <w:sz w:val="30"/>
        </w:rPr>
        <w:t>9,773</w:t>
      </w:r>
      <w:r w:rsidRPr="00E17694">
        <w:rPr>
          <w:rFonts w:eastAsia="標楷體" w:hint="eastAsia"/>
          <w:spacing w:val="20"/>
          <w:sz w:val="30"/>
        </w:rPr>
        <w:t>萬餘件，增加</w:t>
      </w:r>
      <w:r w:rsidRPr="00E17694">
        <w:rPr>
          <w:rFonts w:eastAsia="標楷體" w:hint="eastAsia"/>
          <w:spacing w:val="20"/>
          <w:sz w:val="30"/>
        </w:rPr>
        <w:t>5.5</w:t>
      </w:r>
      <w:r w:rsidRPr="00E17694">
        <w:rPr>
          <w:rFonts w:eastAsia="標楷體" w:hint="eastAsia"/>
          <w:spacing w:val="20"/>
          <w:sz w:val="30"/>
        </w:rPr>
        <w:t>％，係因戮力招攬函件業務且持續推展包裹及快捷等業務，使營運量較預期增加所致。</w:t>
      </w:r>
    </w:p>
    <w:p w:rsidR="00177136" w:rsidRPr="005C5E31" w:rsidRDefault="00177136" w:rsidP="00593FCB">
      <w:pPr>
        <w:spacing w:beforeLines="100" w:before="240" w:line="360" w:lineRule="auto"/>
        <w:ind w:leftChars="177" w:left="1099" w:hangingChars="198" w:hanging="674"/>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十</w:t>
      </w:r>
      <w:r w:rsidRPr="005C5E31">
        <w:rPr>
          <w:rFonts w:eastAsia="標楷體" w:hint="eastAsia"/>
          <w:b/>
          <w:spacing w:val="20"/>
          <w:sz w:val="30"/>
          <w:szCs w:val="30"/>
        </w:rPr>
        <w:t>)</w:t>
      </w:r>
      <w:r w:rsidR="00943FB9" w:rsidRPr="00943FB9">
        <w:rPr>
          <w:rFonts w:eastAsia="標楷體"/>
          <w:b/>
          <w:spacing w:val="20"/>
          <w:sz w:val="12"/>
          <w:szCs w:val="30"/>
        </w:rPr>
        <w:t xml:space="preserve"> </w:t>
      </w:r>
      <w:r w:rsidR="00AD38A4" w:rsidRPr="005C5E31">
        <w:rPr>
          <w:rFonts w:eastAsia="標楷體" w:hint="eastAsia"/>
          <w:b/>
          <w:spacing w:val="20"/>
          <w:sz w:val="30"/>
          <w:szCs w:val="30"/>
        </w:rPr>
        <w:t>存款</w:t>
      </w:r>
      <w:r w:rsidR="00943FB9">
        <w:rPr>
          <w:rFonts w:ascii="標楷體" w:eastAsia="標楷體" w:hAnsi="標楷體" w:hint="eastAsia"/>
          <w:b/>
          <w:color w:val="000000"/>
          <w:sz w:val="20"/>
        </w:rPr>
        <w:t>（</w:t>
      </w:r>
      <w:r w:rsidR="00943FB9" w:rsidRPr="00593FCB">
        <w:rPr>
          <w:rFonts w:ascii="標楷體" w:eastAsia="標楷體" w:hAnsi="標楷體" w:hint="eastAsia"/>
          <w:b/>
          <w:color w:val="000000"/>
          <w:sz w:val="20"/>
        </w:rPr>
        <w:t>中央銀行</w:t>
      </w:r>
      <w:r w:rsidR="00943FB9">
        <w:rPr>
          <w:rFonts w:ascii="標楷體" w:eastAsia="標楷體" w:hAnsi="標楷體" w:hint="eastAsia"/>
          <w:b/>
          <w:color w:val="000000"/>
          <w:sz w:val="20"/>
        </w:rPr>
        <w:t>、臺灣金融控股股份有限公司、臺灣土地銀行股份有限公司、</w:t>
      </w:r>
      <w:r w:rsidR="00943FB9" w:rsidRPr="00593FCB">
        <w:rPr>
          <w:rFonts w:ascii="標楷體" w:eastAsia="標楷體" w:hAnsi="標楷體" w:hint="eastAsia"/>
          <w:b/>
          <w:color w:val="000000"/>
          <w:sz w:val="20"/>
        </w:rPr>
        <w:t>中華郵政</w:t>
      </w:r>
      <w:r w:rsidR="00943FB9">
        <w:rPr>
          <w:rFonts w:ascii="標楷體" w:eastAsia="標楷體" w:hAnsi="標楷體" w:hint="eastAsia"/>
          <w:b/>
          <w:color w:val="000000"/>
          <w:sz w:val="20"/>
        </w:rPr>
        <w:t>股份有限</w:t>
      </w:r>
      <w:r w:rsidR="00943FB9" w:rsidRPr="00593FCB">
        <w:rPr>
          <w:rFonts w:ascii="標楷體" w:eastAsia="標楷體" w:hAnsi="標楷體" w:hint="eastAsia"/>
          <w:b/>
          <w:color w:val="000000"/>
          <w:sz w:val="20"/>
        </w:rPr>
        <w:t>公司</w:t>
      </w:r>
      <w:r w:rsidR="00943FB9">
        <w:rPr>
          <w:rFonts w:ascii="標楷體" w:eastAsia="標楷體" w:hAnsi="標楷體" w:hint="eastAsia"/>
          <w:b/>
          <w:color w:val="000000"/>
          <w:sz w:val="20"/>
        </w:rPr>
        <w:t>）</w:t>
      </w:r>
    </w:p>
    <w:p w:rsidR="007F53B6" w:rsidRPr="005C5E31" w:rsidRDefault="00E17694" w:rsidP="00BB61D4">
      <w:pPr>
        <w:adjustRightInd w:val="0"/>
        <w:spacing w:line="360" w:lineRule="auto"/>
        <w:ind w:left="1066"/>
        <w:jc w:val="both"/>
        <w:rPr>
          <w:rFonts w:eastAsia="標楷體"/>
          <w:spacing w:val="20"/>
          <w:sz w:val="30"/>
        </w:rPr>
      </w:pPr>
      <w:r w:rsidRPr="00E17694">
        <w:rPr>
          <w:rFonts w:eastAsia="標楷體" w:hint="eastAsia"/>
          <w:spacing w:val="20"/>
          <w:sz w:val="30"/>
        </w:rPr>
        <w:t>平均餘額</w:t>
      </w:r>
      <w:r w:rsidRPr="00E17694">
        <w:rPr>
          <w:rFonts w:eastAsia="標楷體" w:hint="eastAsia"/>
          <w:spacing w:val="20"/>
          <w:sz w:val="30"/>
        </w:rPr>
        <w:t>28</w:t>
      </w:r>
      <w:r w:rsidRPr="00E17694">
        <w:rPr>
          <w:rFonts w:eastAsia="標楷體" w:hint="eastAsia"/>
          <w:spacing w:val="20"/>
          <w:sz w:val="30"/>
        </w:rPr>
        <w:t>兆</w:t>
      </w:r>
      <w:r w:rsidRPr="00E17694">
        <w:rPr>
          <w:rFonts w:eastAsia="標楷體" w:hint="eastAsia"/>
          <w:spacing w:val="20"/>
          <w:sz w:val="30"/>
        </w:rPr>
        <w:t>813</w:t>
      </w:r>
      <w:r w:rsidRPr="00E17694">
        <w:rPr>
          <w:rFonts w:eastAsia="標楷體" w:hint="eastAsia"/>
          <w:spacing w:val="20"/>
          <w:sz w:val="30"/>
        </w:rPr>
        <w:t>億餘元，較預算數</w:t>
      </w:r>
      <w:r w:rsidRPr="00E17694">
        <w:rPr>
          <w:rFonts w:eastAsia="標楷體" w:hint="eastAsia"/>
          <w:spacing w:val="20"/>
          <w:sz w:val="30"/>
        </w:rPr>
        <w:t>29</w:t>
      </w:r>
      <w:r w:rsidRPr="00E17694">
        <w:rPr>
          <w:rFonts w:eastAsia="標楷體" w:hint="eastAsia"/>
          <w:spacing w:val="20"/>
          <w:sz w:val="30"/>
        </w:rPr>
        <w:t>兆</w:t>
      </w:r>
      <w:r w:rsidRPr="00E17694">
        <w:rPr>
          <w:rFonts w:eastAsia="標楷體" w:hint="eastAsia"/>
          <w:spacing w:val="20"/>
          <w:sz w:val="30"/>
        </w:rPr>
        <w:t>4,679</w:t>
      </w:r>
      <w:r w:rsidRPr="00E17694">
        <w:rPr>
          <w:rFonts w:eastAsia="標楷體" w:hint="eastAsia"/>
          <w:spacing w:val="20"/>
          <w:sz w:val="30"/>
        </w:rPr>
        <w:t>億餘元，減少</w:t>
      </w:r>
      <w:r w:rsidRPr="00E17694">
        <w:rPr>
          <w:rFonts w:eastAsia="標楷體" w:hint="eastAsia"/>
          <w:spacing w:val="20"/>
          <w:sz w:val="30"/>
        </w:rPr>
        <w:t>4.7</w:t>
      </w:r>
      <w:r w:rsidRPr="00E17694">
        <w:rPr>
          <w:rFonts w:eastAsia="標楷體" w:hint="eastAsia"/>
          <w:spacing w:val="20"/>
          <w:sz w:val="30"/>
        </w:rPr>
        <w:t>％，係中央銀行收受銀行業存款較預期減少所致。</w:t>
      </w:r>
    </w:p>
    <w:p w:rsidR="00177136" w:rsidRPr="005C5E31" w:rsidRDefault="00177136" w:rsidP="00943FB9">
      <w:pPr>
        <w:spacing w:beforeLines="100" w:before="240" w:line="360" w:lineRule="auto"/>
        <w:ind w:leftChars="178" w:left="1329" w:hangingChars="265" w:hanging="902"/>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十一</w:t>
      </w:r>
      <w:r w:rsidRPr="005C5E31">
        <w:rPr>
          <w:rFonts w:eastAsia="標楷體" w:hint="eastAsia"/>
          <w:b/>
          <w:spacing w:val="20"/>
          <w:sz w:val="30"/>
          <w:szCs w:val="30"/>
        </w:rPr>
        <w:t>)</w:t>
      </w:r>
      <w:r w:rsidR="00AD38A4" w:rsidRPr="005C5E31">
        <w:rPr>
          <w:rFonts w:eastAsia="標楷體" w:hint="eastAsia"/>
          <w:b/>
          <w:spacing w:val="20"/>
          <w:sz w:val="30"/>
          <w:szCs w:val="30"/>
        </w:rPr>
        <w:t>放款</w:t>
      </w:r>
      <w:r w:rsidR="00943FB9">
        <w:rPr>
          <w:rFonts w:ascii="標楷體" w:eastAsia="標楷體" w:hAnsi="標楷體" w:hint="eastAsia"/>
          <w:b/>
          <w:color w:val="000000"/>
          <w:sz w:val="20"/>
        </w:rPr>
        <w:t>（</w:t>
      </w:r>
      <w:r w:rsidR="00943FB9" w:rsidRPr="00593FCB">
        <w:rPr>
          <w:rFonts w:ascii="標楷體" w:eastAsia="標楷體" w:hAnsi="標楷體" w:hint="eastAsia"/>
          <w:b/>
          <w:color w:val="000000"/>
          <w:sz w:val="20"/>
        </w:rPr>
        <w:t>中央銀行</w:t>
      </w:r>
      <w:r w:rsidR="00943FB9">
        <w:rPr>
          <w:rFonts w:ascii="標楷體" w:eastAsia="標楷體" w:hAnsi="標楷體" w:hint="eastAsia"/>
          <w:b/>
          <w:color w:val="000000"/>
          <w:sz w:val="20"/>
        </w:rPr>
        <w:t>、</w:t>
      </w:r>
      <w:r w:rsidR="00943FB9" w:rsidRPr="00593FCB">
        <w:rPr>
          <w:rFonts w:ascii="標楷體" w:eastAsia="標楷體" w:hAnsi="標楷體" w:hint="eastAsia"/>
          <w:b/>
          <w:color w:val="000000"/>
          <w:sz w:val="20"/>
        </w:rPr>
        <w:t>中國輸出入銀行</w:t>
      </w:r>
      <w:r w:rsidR="00943FB9">
        <w:rPr>
          <w:rFonts w:ascii="標楷體" w:eastAsia="標楷體" w:hAnsi="標楷體" w:hint="eastAsia"/>
          <w:b/>
          <w:color w:val="000000"/>
          <w:sz w:val="20"/>
        </w:rPr>
        <w:t>、臺灣金融控股股份有限公司、臺灣土地銀行股份有限公司、</w:t>
      </w:r>
      <w:r w:rsidR="00943FB9" w:rsidRPr="00593FCB">
        <w:rPr>
          <w:rFonts w:ascii="標楷體" w:eastAsia="標楷體" w:hAnsi="標楷體" w:hint="eastAsia"/>
          <w:b/>
          <w:color w:val="000000"/>
          <w:sz w:val="20"/>
        </w:rPr>
        <w:t>中華郵政</w:t>
      </w:r>
      <w:r w:rsidR="00943FB9">
        <w:rPr>
          <w:rFonts w:ascii="標楷體" w:eastAsia="標楷體" w:hAnsi="標楷體" w:hint="eastAsia"/>
          <w:b/>
          <w:color w:val="000000"/>
          <w:sz w:val="20"/>
        </w:rPr>
        <w:t>股份有限</w:t>
      </w:r>
      <w:r w:rsidR="00943FB9" w:rsidRPr="00593FCB">
        <w:rPr>
          <w:rFonts w:ascii="標楷體" w:eastAsia="標楷體" w:hAnsi="標楷體" w:hint="eastAsia"/>
          <w:b/>
          <w:color w:val="000000"/>
          <w:sz w:val="20"/>
        </w:rPr>
        <w:t>公司</w:t>
      </w:r>
      <w:r w:rsidR="00943FB9">
        <w:rPr>
          <w:rFonts w:ascii="標楷體" w:eastAsia="標楷體" w:hAnsi="標楷體" w:hint="eastAsia"/>
          <w:b/>
          <w:color w:val="000000"/>
          <w:sz w:val="20"/>
        </w:rPr>
        <w:t>）</w:t>
      </w:r>
    </w:p>
    <w:p w:rsidR="00177136" w:rsidRPr="005C5E31" w:rsidRDefault="00E17694" w:rsidP="00C36304">
      <w:pPr>
        <w:adjustRightInd w:val="0"/>
        <w:spacing w:line="360" w:lineRule="auto"/>
        <w:ind w:left="1304"/>
        <w:jc w:val="both"/>
        <w:rPr>
          <w:rFonts w:eastAsia="標楷體"/>
          <w:spacing w:val="20"/>
          <w:sz w:val="30"/>
        </w:rPr>
      </w:pPr>
      <w:r w:rsidRPr="00E17694">
        <w:rPr>
          <w:rFonts w:eastAsia="標楷體" w:hint="eastAsia"/>
          <w:spacing w:val="20"/>
          <w:sz w:val="30"/>
        </w:rPr>
        <w:t>平均餘額</w:t>
      </w:r>
      <w:r w:rsidRPr="00E17694">
        <w:rPr>
          <w:rFonts w:eastAsia="標楷體" w:hint="eastAsia"/>
          <w:spacing w:val="20"/>
          <w:sz w:val="30"/>
        </w:rPr>
        <w:t>10</w:t>
      </w:r>
      <w:r w:rsidRPr="00E17694">
        <w:rPr>
          <w:rFonts w:eastAsia="標楷體" w:hint="eastAsia"/>
          <w:spacing w:val="20"/>
          <w:sz w:val="30"/>
        </w:rPr>
        <w:t>兆</w:t>
      </w:r>
      <w:r w:rsidRPr="00E17694">
        <w:rPr>
          <w:rFonts w:eastAsia="標楷體" w:hint="eastAsia"/>
          <w:spacing w:val="20"/>
          <w:sz w:val="30"/>
        </w:rPr>
        <w:t>8,882</w:t>
      </w:r>
      <w:r w:rsidRPr="00E17694">
        <w:rPr>
          <w:rFonts w:eastAsia="標楷體" w:hint="eastAsia"/>
          <w:spacing w:val="20"/>
          <w:sz w:val="30"/>
        </w:rPr>
        <w:t>億餘元，較預算數</w:t>
      </w:r>
      <w:r w:rsidRPr="00E17694">
        <w:rPr>
          <w:rFonts w:eastAsia="標楷體" w:hint="eastAsia"/>
          <w:spacing w:val="20"/>
          <w:sz w:val="30"/>
        </w:rPr>
        <w:t>9</w:t>
      </w:r>
      <w:r w:rsidRPr="00E17694">
        <w:rPr>
          <w:rFonts w:eastAsia="標楷體" w:hint="eastAsia"/>
          <w:spacing w:val="20"/>
          <w:sz w:val="30"/>
        </w:rPr>
        <w:t>兆</w:t>
      </w:r>
      <w:r w:rsidRPr="00E17694">
        <w:rPr>
          <w:rFonts w:eastAsia="標楷體" w:hint="eastAsia"/>
          <w:spacing w:val="20"/>
          <w:sz w:val="30"/>
        </w:rPr>
        <w:t>1,738</w:t>
      </w:r>
      <w:r w:rsidRPr="00E17694">
        <w:rPr>
          <w:rFonts w:eastAsia="標楷體" w:hint="eastAsia"/>
          <w:spacing w:val="20"/>
          <w:sz w:val="30"/>
        </w:rPr>
        <w:t>億餘元，增加</w:t>
      </w:r>
      <w:r w:rsidRPr="00E17694">
        <w:rPr>
          <w:rFonts w:eastAsia="標楷體" w:hint="eastAsia"/>
          <w:spacing w:val="20"/>
          <w:sz w:val="30"/>
        </w:rPr>
        <w:t>18.7</w:t>
      </w:r>
      <w:r w:rsidRPr="00E17694">
        <w:rPr>
          <w:rFonts w:eastAsia="標楷體" w:hint="eastAsia"/>
          <w:spacing w:val="20"/>
          <w:sz w:val="30"/>
        </w:rPr>
        <w:t>％，係因</w:t>
      </w:r>
      <w:r w:rsidR="007908F8" w:rsidRPr="007908F8">
        <w:rPr>
          <w:rFonts w:eastAsia="標楷體" w:hint="eastAsia"/>
          <w:spacing w:val="20"/>
          <w:sz w:val="30"/>
        </w:rPr>
        <w:t>臺灣金融控股股份有限公司</w:t>
      </w:r>
      <w:r w:rsidR="007908F8">
        <w:rPr>
          <w:rFonts w:eastAsia="標楷體" w:hint="eastAsia"/>
          <w:spacing w:val="20"/>
          <w:sz w:val="30"/>
        </w:rPr>
        <w:t>中期</w:t>
      </w:r>
      <w:r w:rsidRPr="00E17694">
        <w:rPr>
          <w:rFonts w:eastAsia="標楷體" w:hint="eastAsia"/>
          <w:spacing w:val="20"/>
          <w:sz w:val="30"/>
        </w:rPr>
        <w:t>放</w:t>
      </w:r>
      <w:r w:rsidR="0063006C">
        <w:rPr>
          <w:rFonts w:eastAsia="標楷體" w:hint="eastAsia"/>
          <w:spacing w:val="20"/>
          <w:sz w:val="30"/>
        </w:rPr>
        <w:t>款</w:t>
      </w:r>
      <w:r w:rsidRPr="00E17694">
        <w:rPr>
          <w:rFonts w:eastAsia="標楷體" w:hint="eastAsia"/>
          <w:spacing w:val="20"/>
          <w:sz w:val="30"/>
        </w:rPr>
        <w:t>較預期增加所致。</w:t>
      </w:r>
    </w:p>
    <w:p w:rsidR="00177136" w:rsidRPr="005C5E31" w:rsidRDefault="00177136" w:rsidP="00291B7E">
      <w:pPr>
        <w:spacing w:beforeLines="100" w:before="240" w:line="360" w:lineRule="auto"/>
        <w:ind w:leftChars="178" w:left="1414" w:hangingChars="290" w:hanging="987"/>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十二</w:t>
      </w:r>
      <w:r w:rsidRPr="005C5E31">
        <w:rPr>
          <w:rFonts w:eastAsia="標楷體" w:hint="eastAsia"/>
          <w:b/>
          <w:spacing w:val="20"/>
          <w:sz w:val="30"/>
          <w:szCs w:val="30"/>
        </w:rPr>
        <w:t>)</w:t>
      </w:r>
      <w:r w:rsidR="00AD38A4" w:rsidRPr="005C5E31">
        <w:rPr>
          <w:rFonts w:eastAsia="標楷體" w:hint="eastAsia"/>
          <w:b/>
          <w:spacing w:val="20"/>
          <w:sz w:val="30"/>
          <w:szCs w:val="30"/>
        </w:rPr>
        <w:t>保險</w:t>
      </w:r>
      <w:r w:rsidR="008F0C72">
        <w:rPr>
          <w:rFonts w:ascii="標楷體" w:eastAsia="標楷體" w:hAnsi="標楷體" w:hint="eastAsia"/>
          <w:b/>
          <w:color w:val="000000"/>
          <w:sz w:val="20"/>
        </w:rPr>
        <w:t>（</w:t>
      </w:r>
      <w:r w:rsidR="008F0C72" w:rsidRPr="00593FCB">
        <w:rPr>
          <w:rFonts w:ascii="標楷體" w:eastAsia="標楷體" w:hAnsi="標楷體" w:hint="eastAsia"/>
          <w:b/>
          <w:color w:val="000000"/>
          <w:sz w:val="20"/>
        </w:rPr>
        <w:t>中國輸出入銀行</w:t>
      </w:r>
      <w:r w:rsidR="008F0C72">
        <w:rPr>
          <w:rFonts w:ascii="標楷體" w:eastAsia="標楷體" w:hAnsi="標楷體" w:hint="eastAsia"/>
          <w:b/>
          <w:color w:val="000000"/>
          <w:sz w:val="20"/>
        </w:rPr>
        <w:t>、臺灣金融控股股份有限公司、</w:t>
      </w:r>
      <w:r w:rsidR="008F0C72" w:rsidRPr="00593FCB">
        <w:rPr>
          <w:rFonts w:ascii="標楷體" w:eastAsia="標楷體" w:hAnsi="標楷體" w:hint="eastAsia"/>
          <w:b/>
          <w:color w:val="000000"/>
          <w:sz w:val="20"/>
        </w:rPr>
        <w:t>中華郵政</w:t>
      </w:r>
      <w:r w:rsidR="008F0C72">
        <w:rPr>
          <w:rFonts w:ascii="標楷體" w:eastAsia="標楷體" w:hAnsi="標楷體" w:hint="eastAsia"/>
          <w:b/>
          <w:color w:val="000000"/>
          <w:sz w:val="20"/>
        </w:rPr>
        <w:t>股份有限</w:t>
      </w:r>
      <w:r w:rsidR="008F0C72" w:rsidRPr="00593FCB">
        <w:rPr>
          <w:rFonts w:ascii="標楷體" w:eastAsia="標楷體" w:hAnsi="標楷體" w:hint="eastAsia"/>
          <w:b/>
          <w:color w:val="000000"/>
          <w:sz w:val="20"/>
        </w:rPr>
        <w:t>公司</w:t>
      </w:r>
      <w:r w:rsidR="008F0C72">
        <w:rPr>
          <w:rFonts w:ascii="標楷體" w:eastAsia="標楷體" w:hAnsi="標楷體" w:hint="eastAsia"/>
          <w:b/>
          <w:color w:val="000000"/>
          <w:sz w:val="20"/>
        </w:rPr>
        <w:t>、</w:t>
      </w:r>
      <w:r w:rsidR="008F0C72" w:rsidRPr="00593FCB">
        <w:rPr>
          <w:rFonts w:ascii="標楷體" w:eastAsia="標楷體" w:hAnsi="標楷體" w:hint="eastAsia"/>
          <w:b/>
          <w:color w:val="000000"/>
          <w:sz w:val="20"/>
        </w:rPr>
        <w:t>中央存款保險</w:t>
      </w:r>
      <w:r w:rsidR="008F0C72">
        <w:rPr>
          <w:rFonts w:ascii="標楷體" w:eastAsia="標楷體" w:hAnsi="標楷體" w:hint="eastAsia"/>
          <w:b/>
          <w:color w:val="000000"/>
          <w:sz w:val="20"/>
        </w:rPr>
        <w:t>股份有限</w:t>
      </w:r>
      <w:r w:rsidR="008F0C72" w:rsidRPr="00593FCB">
        <w:rPr>
          <w:rFonts w:ascii="標楷體" w:eastAsia="標楷體" w:hAnsi="標楷體" w:hint="eastAsia"/>
          <w:b/>
          <w:color w:val="000000"/>
          <w:sz w:val="20"/>
        </w:rPr>
        <w:t>公司</w:t>
      </w:r>
      <w:r w:rsidR="008F0C72">
        <w:rPr>
          <w:rFonts w:ascii="標楷體" w:eastAsia="標楷體" w:hAnsi="標楷體" w:hint="eastAsia"/>
          <w:b/>
          <w:color w:val="000000"/>
          <w:sz w:val="20"/>
        </w:rPr>
        <w:t>）</w:t>
      </w:r>
    </w:p>
    <w:p w:rsidR="00177136" w:rsidRPr="005C5E31" w:rsidRDefault="00E17694" w:rsidP="00DC72DD">
      <w:pPr>
        <w:adjustRightInd w:val="0"/>
        <w:spacing w:line="360" w:lineRule="auto"/>
        <w:ind w:left="1412"/>
        <w:jc w:val="both"/>
        <w:rPr>
          <w:rFonts w:eastAsia="標楷體"/>
          <w:spacing w:val="20"/>
          <w:sz w:val="30"/>
        </w:rPr>
      </w:pPr>
      <w:r w:rsidRPr="00E17694">
        <w:rPr>
          <w:rFonts w:eastAsia="標楷體" w:hint="eastAsia"/>
          <w:spacing w:val="20"/>
          <w:sz w:val="30"/>
        </w:rPr>
        <w:t>營運值</w:t>
      </w:r>
      <w:r w:rsidRPr="00E17694">
        <w:rPr>
          <w:rFonts w:eastAsia="標楷體" w:hint="eastAsia"/>
          <w:spacing w:val="20"/>
          <w:sz w:val="30"/>
        </w:rPr>
        <w:t>1,</w:t>
      </w:r>
      <w:r w:rsidR="007908F8">
        <w:rPr>
          <w:rFonts w:eastAsia="標楷體"/>
          <w:spacing w:val="20"/>
          <w:sz w:val="30"/>
        </w:rPr>
        <w:t>334</w:t>
      </w:r>
      <w:r w:rsidRPr="00E17694">
        <w:rPr>
          <w:rFonts w:eastAsia="標楷體" w:hint="eastAsia"/>
          <w:spacing w:val="20"/>
          <w:sz w:val="30"/>
        </w:rPr>
        <w:t>億餘元，較預算數</w:t>
      </w:r>
      <w:r w:rsidRPr="00E17694">
        <w:rPr>
          <w:rFonts w:eastAsia="標楷體" w:hint="eastAsia"/>
          <w:spacing w:val="20"/>
          <w:sz w:val="30"/>
        </w:rPr>
        <w:t>1,</w:t>
      </w:r>
      <w:r w:rsidR="007908F8">
        <w:rPr>
          <w:rFonts w:eastAsia="標楷體"/>
          <w:spacing w:val="20"/>
          <w:sz w:val="30"/>
        </w:rPr>
        <w:t>339</w:t>
      </w:r>
      <w:r w:rsidRPr="00E17694">
        <w:rPr>
          <w:rFonts w:eastAsia="標楷體" w:hint="eastAsia"/>
          <w:spacing w:val="20"/>
          <w:sz w:val="30"/>
        </w:rPr>
        <w:t>億餘元，減少</w:t>
      </w:r>
      <w:r w:rsidR="007908F8">
        <w:rPr>
          <w:rFonts w:eastAsia="標楷體"/>
          <w:spacing w:val="20"/>
          <w:sz w:val="30"/>
        </w:rPr>
        <w:t>0.4</w:t>
      </w:r>
      <w:r w:rsidRPr="00E17694">
        <w:rPr>
          <w:rFonts w:eastAsia="標楷體" w:hint="eastAsia"/>
          <w:spacing w:val="20"/>
          <w:sz w:val="30"/>
        </w:rPr>
        <w:t>％，係因臺灣金融控股股份有限公司人壽保險業務推展未如預期所致。</w:t>
      </w:r>
    </w:p>
    <w:p w:rsidR="00177136" w:rsidRPr="005C5E31" w:rsidRDefault="00177136" w:rsidP="00177136">
      <w:pPr>
        <w:spacing w:beforeLines="100" w:before="240" w:line="360" w:lineRule="auto"/>
        <w:ind w:left="482"/>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十三</w:t>
      </w:r>
      <w:r w:rsidRPr="005C5E31">
        <w:rPr>
          <w:rFonts w:eastAsia="標楷體" w:hint="eastAsia"/>
          <w:b/>
          <w:spacing w:val="20"/>
          <w:sz w:val="30"/>
          <w:szCs w:val="30"/>
        </w:rPr>
        <w:t>)</w:t>
      </w:r>
      <w:r w:rsidR="00AD38A4" w:rsidRPr="005C5E31">
        <w:rPr>
          <w:rFonts w:eastAsia="標楷體" w:hint="eastAsia"/>
          <w:b/>
          <w:spacing w:val="20"/>
          <w:sz w:val="30"/>
          <w:szCs w:val="30"/>
        </w:rPr>
        <w:t>菸</w:t>
      </w:r>
      <w:r w:rsidR="008F0C72">
        <w:rPr>
          <w:rFonts w:ascii="標楷體" w:eastAsia="標楷體" w:hAnsi="標楷體" w:hint="eastAsia"/>
          <w:b/>
          <w:color w:val="000000"/>
          <w:sz w:val="20"/>
        </w:rPr>
        <w:t>（</w:t>
      </w:r>
      <w:r w:rsidR="008F0C72" w:rsidRPr="00593FCB">
        <w:rPr>
          <w:rFonts w:ascii="標楷體" w:eastAsia="標楷體" w:hAnsi="標楷體" w:hint="eastAsia"/>
          <w:b/>
          <w:color w:val="000000"/>
          <w:sz w:val="20"/>
        </w:rPr>
        <w:t>臺灣菸酒</w:t>
      </w:r>
      <w:r w:rsidR="008F0C72">
        <w:rPr>
          <w:rFonts w:ascii="標楷體" w:eastAsia="標楷體" w:hAnsi="標楷體" w:hint="eastAsia"/>
          <w:b/>
          <w:color w:val="000000"/>
          <w:sz w:val="20"/>
        </w:rPr>
        <w:t>股份有限</w:t>
      </w:r>
      <w:r w:rsidR="008F0C72" w:rsidRPr="00593FCB">
        <w:rPr>
          <w:rFonts w:ascii="標楷體" w:eastAsia="標楷體" w:hAnsi="標楷體" w:hint="eastAsia"/>
          <w:b/>
          <w:color w:val="000000"/>
          <w:sz w:val="20"/>
        </w:rPr>
        <w:t>公司</w:t>
      </w:r>
      <w:r w:rsidR="008F0C72">
        <w:rPr>
          <w:rFonts w:ascii="標楷體" w:eastAsia="標楷體" w:hAnsi="標楷體" w:hint="eastAsia"/>
          <w:b/>
          <w:color w:val="000000"/>
          <w:sz w:val="20"/>
        </w:rPr>
        <w:t>）</w:t>
      </w:r>
    </w:p>
    <w:p w:rsidR="00177136" w:rsidRPr="005C5E31" w:rsidRDefault="00E17694" w:rsidP="00DC72DD">
      <w:pPr>
        <w:adjustRightInd w:val="0"/>
        <w:spacing w:line="360" w:lineRule="auto"/>
        <w:ind w:left="1412"/>
        <w:jc w:val="both"/>
        <w:rPr>
          <w:rFonts w:eastAsia="標楷體"/>
          <w:spacing w:val="20"/>
          <w:sz w:val="30"/>
        </w:rPr>
      </w:pPr>
      <w:r w:rsidRPr="00E17694">
        <w:rPr>
          <w:rFonts w:eastAsia="標楷體" w:hint="eastAsia"/>
          <w:spacing w:val="20"/>
          <w:sz w:val="30"/>
        </w:rPr>
        <w:t>生產</w:t>
      </w:r>
      <w:r w:rsidRPr="00E17694">
        <w:rPr>
          <w:rFonts w:eastAsia="標楷體" w:hint="eastAsia"/>
          <w:spacing w:val="20"/>
          <w:sz w:val="30"/>
        </w:rPr>
        <w:t>47</w:t>
      </w:r>
      <w:r w:rsidRPr="00E17694">
        <w:rPr>
          <w:rFonts w:eastAsia="標楷體" w:hint="eastAsia"/>
          <w:spacing w:val="20"/>
          <w:sz w:val="30"/>
        </w:rPr>
        <w:t>萬餘箱，較預算數</w:t>
      </w:r>
      <w:r w:rsidRPr="00E17694">
        <w:rPr>
          <w:rFonts w:eastAsia="標楷體" w:hint="eastAsia"/>
          <w:spacing w:val="20"/>
          <w:sz w:val="30"/>
        </w:rPr>
        <w:t>46</w:t>
      </w:r>
      <w:r w:rsidRPr="00E17694">
        <w:rPr>
          <w:rFonts w:eastAsia="標楷體" w:hint="eastAsia"/>
          <w:spacing w:val="20"/>
          <w:sz w:val="30"/>
        </w:rPr>
        <w:t>萬餘箱，增加</w:t>
      </w:r>
      <w:r w:rsidRPr="00E17694">
        <w:rPr>
          <w:rFonts w:eastAsia="標楷體" w:hint="eastAsia"/>
          <w:spacing w:val="20"/>
          <w:sz w:val="30"/>
        </w:rPr>
        <w:t>2.4</w:t>
      </w:r>
      <w:r w:rsidRPr="00E17694">
        <w:rPr>
          <w:rFonts w:eastAsia="標楷體" w:hint="eastAsia"/>
          <w:spacing w:val="20"/>
          <w:sz w:val="30"/>
        </w:rPr>
        <w:t>％</w:t>
      </w:r>
      <w:r w:rsidR="00133109" w:rsidRPr="00E17694">
        <w:rPr>
          <w:rFonts w:eastAsia="標楷體" w:hint="eastAsia"/>
          <w:spacing w:val="20"/>
          <w:sz w:val="30"/>
        </w:rPr>
        <w:t>，係配合市場需求調節生產所致</w:t>
      </w:r>
      <w:r w:rsidRPr="00E17694">
        <w:rPr>
          <w:rFonts w:eastAsia="標楷體" w:hint="eastAsia"/>
          <w:spacing w:val="20"/>
          <w:sz w:val="30"/>
        </w:rPr>
        <w:t>；銷售</w:t>
      </w:r>
      <w:r w:rsidRPr="00E17694">
        <w:rPr>
          <w:rFonts w:eastAsia="標楷體" w:hint="eastAsia"/>
          <w:spacing w:val="20"/>
          <w:sz w:val="30"/>
        </w:rPr>
        <w:t>46</w:t>
      </w:r>
      <w:r w:rsidRPr="00E17694">
        <w:rPr>
          <w:rFonts w:eastAsia="標楷體" w:hint="eastAsia"/>
          <w:spacing w:val="20"/>
          <w:sz w:val="30"/>
        </w:rPr>
        <w:t>萬餘箱與預算數相當，減少</w:t>
      </w:r>
      <w:r w:rsidRPr="00E17694">
        <w:rPr>
          <w:rFonts w:eastAsia="標楷體" w:hint="eastAsia"/>
          <w:spacing w:val="20"/>
          <w:sz w:val="30"/>
        </w:rPr>
        <w:t>0.1</w:t>
      </w:r>
      <w:r w:rsidRPr="00E17694">
        <w:rPr>
          <w:rFonts w:eastAsia="標楷體" w:hint="eastAsia"/>
          <w:spacing w:val="20"/>
          <w:sz w:val="30"/>
        </w:rPr>
        <w:t>％。</w:t>
      </w:r>
    </w:p>
    <w:p w:rsidR="00177136" w:rsidRPr="005C5E31" w:rsidRDefault="00177136" w:rsidP="00177136">
      <w:pPr>
        <w:spacing w:beforeLines="100" w:before="240" w:line="360" w:lineRule="auto"/>
        <w:ind w:left="482"/>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十四</w:t>
      </w:r>
      <w:r w:rsidRPr="005C5E31">
        <w:rPr>
          <w:rFonts w:eastAsia="標楷體" w:hint="eastAsia"/>
          <w:b/>
          <w:spacing w:val="20"/>
          <w:sz w:val="30"/>
          <w:szCs w:val="30"/>
        </w:rPr>
        <w:t>)</w:t>
      </w:r>
      <w:r w:rsidR="00AD38A4" w:rsidRPr="005C5E31">
        <w:rPr>
          <w:rFonts w:eastAsia="標楷體" w:hint="eastAsia"/>
          <w:b/>
          <w:spacing w:val="20"/>
          <w:sz w:val="30"/>
          <w:szCs w:val="30"/>
        </w:rPr>
        <w:t>酒</w:t>
      </w:r>
      <w:r w:rsidR="008F0C72">
        <w:rPr>
          <w:rFonts w:ascii="標楷體" w:eastAsia="標楷體" w:hAnsi="標楷體" w:hint="eastAsia"/>
          <w:b/>
          <w:color w:val="000000"/>
          <w:sz w:val="20"/>
        </w:rPr>
        <w:t>（</w:t>
      </w:r>
      <w:r w:rsidR="008F0C72" w:rsidRPr="00593FCB">
        <w:rPr>
          <w:rFonts w:ascii="標楷體" w:eastAsia="標楷體" w:hAnsi="標楷體" w:hint="eastAsia"/>
          <w:b/>
          <w:color w:val="000000"/>
          <w:sz w:val="20"/>
        </w:rPr>
        <w:t>臺灣菸酒</w:t>
      </w:r>
      <w:r w:rsidR="008F0C72">
        <w:rPr>
          <w:rFonts w:ascii="標楷體" w:eastAsia="標楷體" w:hAnsi="標楷體" w:hint="eastAsia"/>
          <w:b/>
          <w:color w:val="000000"/>
          <w:sz w:val="20"/>
        </w:rPr>
        <w:t>股份有限</w:t>
      </w:r>
      <w:r w:rsidR="008F0C72" w:rsidRPr="00593FCB">
        <w:rPr>
          <w:rFonts w:ascii="標楷體" w:eastAsia="標楷體" w:hAnsi="標楷體" w:hint="eastAsia"/>
          <w:b/>
          <w:color w:val="000000"/>
          <w:sz w:val="20"/>
        </w:rPr>
        <w:t>公司</w:t>
      </w:r>
      <w:r w:rsidR="008F0C72">
        <w:rPr>
          <w:rFonts w:ascii="標楷體" w:eastAsia="標楷體" w:hAnsi="標楷體" w:hint="eastAsia"/>
          <w:b/>
          <w:color w:val="000000"/>
          <w:sz w:val="20"/>
        </w:rPr>
        <w:t>）</w:t>
      </w:r>
    </w:p>
    <w:p w:rsidR="00177136" w:rsidRPr="005C5E31" w:rsidRDefault="007E0EFD" w:rsidP="00DC72DD">
      <w:pPr>
        <w:adjustRightInd w:val="0"/>
        <w:spacing w:line="360" w:lineRule="auto"/>
        <w:ind w:left="1412"/>
        <w:jc w:val="both"/>
        <w:rPr>
          <w:rFonts w:eastAsia="標楷體"/>
          <w:spacing w:val="20"/>
          <w:sz w:val="30"/>
        </w:rPr>
      </w:pPr>
      <w:r w:rsidRPr="007E0EFD">
        <w:rPr>
          <w:rFonts w:eastAsia="標楷體" w:hint="eastAsia"/>
          <w:spacing w:val="20"/>
          <w:sz w:val="30"/>
        </w:rPr>
        <w:t>生產</w:t>
      </w:r>
      <w:r w:rsidRPr="007E0EFD">
        <w:rPr>
          <w:rFonts w:eastAsia="標楷體" w:hint="eastAsia"/>
          <w:spacing w:val="20"/>
          <w:sz w:val="30"/>
        </w:rPr>
        <w:t>336</w:t>
      </w:r>
      <w:r w:rsidRPr="007E0EFD">
        <w:rPr>
          <w:rFonts w:eastAsia="標楷體" w:hint="eastAsia"/>
          <w:spacing w:val="20"/>
          <w:sz w:val="30"/>
        </w:rPr>
        <w:t>萬餘公石，較預算數</w:t>
      </w:r>
      <w:r w:rsidRPr="007E0EFD">
        <w:rPr>
          <w:rFonts w:eastAsia="標楷體" w:hint="eastAsia"/>
          <w:spacing w:val="20"/>
          <w:sz w:val="30"/>
        </w:rPr>
        <w:t>432</w:t>
      </w:r>
      <w:r w:rsidRPr="007E0EFD">
        <w:rPr>
          <w:rFonts w:eastAsia="標楷體" w:hint="eastAsia"/>
          <w:spacing w:val="20"/>
          <w:sz w:val="30"/>
        </w:rPr>
        <w:t>萬餘公石，減少</w:t>
      </w:r>
      <w:r w:rsidRPr="007E0EFD">
        <w:rPr>
          <w:rFonts w:eastAsia="標楷體" w:hint="eastAsia"/>
          <w:spacing w:val="20"/>
          <w:sz w:val="30"/>
        </w:rPr>
        <w:t>22.1</w:t>
      </w:r>
      <w:r w:rsidRPr="007E0EFD">
        <w:rPr>
          <w:rFonts w:eastAsia="標楷體" w:hint="eastAsia"/>
          <w:spacing w:val="20"/>
          <w:sz w:val="30"/>
        </w:rPr>
        <w:t>％；</w:t>
      </w:r>
      <w:r w:rsidRPr="007E0EFD">
        <w:rPr>
          <w:rFonts w:eastAsia="標楷體" w:hint="eastAsia"/>
          <w:spacing w:val="20"/>
          <w:sz w:val="30"/>
        </w:rPr>
        <w:lastRenderedPageBreak/>
        <w:t>銷售</w:t>
      </w:r>
      <w:r w:rsidRPr="007E0EFD">
        <w:rPr>
          <w:rFonts w:eastAsia="標楷體" w:hint="eastAsia"/>
          <w:spacing w:val="20"/>
          <w:sz w:val="30"/>
        </w:rPr>
        <w:t>340</w:t>
      </w:r>
      <w:r w:rsidRPr="007E0EFD">
        <w:rPr>
          <w:rFonts w:eastAsia="標楷體" w:hint="eastAsia"/>
          <w:spacing w:val="20"/>
          <w:sz w:val="30"/>
        </w:rPr>
        <w:t>萬餘公石，較預算數</w:t>
      </w:r>
      <w:r w:rsidRPr="007E0EFD">
        <w:rPr>
          <w:rFonts w:eastAsia="標楷體" w:hint="eastAsia"/>
          <w:spacing w:val="20"/>
          <w:sz w:val="30"/>
        </w:rPr>
        <w:t>432</w:t>
      </w:r>
      <w:r w:rsidRPr="007E0EFD">
        <w:rPr>
          <w:rFonts w:eastAsia="標楷體" w:hint="eastAsia"/>
          <w:spacing w:val="20"/>
          <w:sz w:val="30"/>
        </w:rPr>
        <w:t>萬餘公石，減少</w:t>
      </w:r>
      <w:r w:rsidRPr="007E0EFD">
        <w:rPr>
          <w:rFonts w:eastAsia="標楷體" w:hint="eastAsia"/>
          <w:spacing w:val="20"/>
          <w:sz w:val="30"/>
        </w:rPr>
        <w:t>21.3</w:t>
      </w:r>
      <w:r w:rsidRPr="007E0EFD">
        <w:rPr>
          <w:rFonts w:eastAsia="標楷體" w:hint="eastAsia"/>
          <w:spacing w:val="20"/>
          <w:sz w:val="30"/>
        </w:rPr>
        <w:t>％；產銷量較預算數減少，係因產品競爭及市場需求改變所致。</w:t>
      </w:r>
    </w:p>
    <w:p w:rsidR="00177136" w:rsidRPr="005C5E31" w:rsidRDefault="00177136" w:rsidP="00177136">
      <w:pPr>
        <w:spacing w:beforeLines="100" w:before="240" w:line="360" w:lineRule="auto"/>
        <w:ind w:left="482"/>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十五</w:t>
      </w:r>
      <w:r w:rsidRPr="005C5E31">
        <w:rPr>
          <w:rFonts w:eastAsia="標楷體" w:hint="eastAsia"/>
          <w:b/>
          <w:spacing w:val="20"/>
          <w:sz w:val="30"/>
          <w:szCs w:val="30"/>
        </w:rPr>
        <w:t>)</w:t>
      </w:r>
      <w:r w:rsidR="00AD38A4" w:rsidRPr="005C5E31">
        <w:rPr>
          <w:rFonts w:eastAsia="標楷體" w:hint="eastAsia"/>
          <w:b/>
          <w:spacing w:val="20"/>
          <w:sz w:val="30"/>
          <w:szCs w:val="30"/>
        </w:rPr>
        <w:t>鐵路客運</w:t>
      </w:r>
      <w:r w:rsidR="008F0C72">
        <w:rPr>
          <w:rFonts w:ascii="標楷體" w:eastAsia="標楷體" w:hAnsi="標楷體" w:hint="eastAsia"/>
          <w:b/>
          <w:color w:val="000000"/>
          <w:sz w:val="20"/>
        </w:rPr>
        <w:t>（交通部</w:t>
      </w:r>
      <w:r w:rsidR="008F0C72" w:rsidRPr="00593FCB">
        <w:rPr>
          <w:rFonts w:ascii="標楷體" w:eastAsia="標楷體" w:hAnsi="標楷體" w:hint="eastAsia"/>
          <w:b/>
          <w:color w:val="000000"/>
          <w:sz w:val="20"/>
        </w:rPr>
        <w:t>臺灣鐵路管理局</w:t>
      </w:r>
      <w:r w:rsidR="008F0C72">
        <w:rPr>
          <w:rFonts w:ascii="標楷體" w:eastAsia="標楷體" w:hAnsi="標楷體" w:hint="eastAsia"/>
          <w:b/>
          <w:color w:val="000000"/>
          <w:sz w:val="20"/>
        </w:rPr>
        <w:t>）</w:t>
      </w:r>
    </w:p>
    <w:p w:rsidR="00177136" w:rsidRPr="007E0EFD" w:rsidRDefault="007E0EFD" w:rsidP="00B47D73">
      <w:pPr>
        <w:adjustRightInd w:val="0"/>
        <w:spacing w:beforeLines="5" w:before="12" w:line="360" w:lineRule="auto"/>
        <w:ind w:left="1412"/>
        <w:jc w:val="both"/>
        <w:rPr>
          <w:rFonts w:eastAsia="標楷體"/>
          <w:spacing w:val="20"/>
          <w:sz w:val="30"/>
        </w:rPr>
      </w:pPr>
      <w:r w:rsidRPr="00942750">
        <w:rPr>
          <w:rFonts w:eastAsia="標楷體" w:hint="eastAsia"/>
          <w:spacing w:val="20"/>
          <w:sz w:val="30"/>
        </w:rPr>
        <w:t>營運量</w:t>
      </w:r>
      <w:r w:rsidRPr="00942750">
        <w:rPr>
          <w:rFonts w:eastAsia="標楷體"/>
          <w:spacing w:val="20"/>
          <w:sz w:val="30"/>
        </w:rPr>
        <w:t>79</w:t>
      </w:r>
      <w:r w:rsidRPr="00942750">
        <w:rPr>
          <w:rFonts w:eastAsia="標楷體" w:hint="eastAsia"/>
          <w:spacing w:val="20"/>
          <w:sz w:val="30"/>
        </w:rPr>
        <w:t>億</w:t>
      </w:r>
      <w:r w:rsidRPr="00942750">
        <w:rPr>
          <w:rFonts w:eastAsia="標楷體"/>
          <w:spacing w:val="20"/>
          <w:sz w:val="30"/>
        </w:rPr>
        <w:t>6,782</w:t>
      </w:r>
      <w:r w:rsidRPr="00942750">
        <w:rPr>
          <w:rFonts w:eastAsia="標楷體" w:hint="eastAsia"/>
          <w:spacing w:val="20"/>
          <w:sz w:val="30"/>
        </w:rPr>
        <w:t>萬餘延人公里，較預算數</w:t>
      </w:r>
      <w:r w:rsidRPr="00942750">
        <w:rPr>
          <w:rFonts w:eastAsia="標楷體" w:hint="eastAsia"/>
          <w:spacing w:val="20"/>
          <w:sz w:val="30"/>
        </w:rPr>
        <w:t>1</w:t>
      </w:r>
      <w:r w:rsidRPr="00942750">
        <w:rPr>
          <w:rFonts w:eastAsia="標楷體"/>
          <w:spacing w:val="20"/>
          <w:sz w:val="30"/>
        </w:rPr>
        <w:t>06</w:t>
      </w:r>
      <w:r w:rsidRPr="00942750">
        <w:rPr>
          <w:rFonts w:eastAsia="標楷體" w:hint="eastAsia"/>
          <w:spacing w:val="20"/>
          <w:sz w:val="30"/>
        </w:rPr>
        <w:t>億</w:t>
      </w:r>
      <w:r w:rsidRPr="00942750">
        <w:rPr>
          <w:rFonts w:eastAsia="標楷體"/>
          <w:spacing w:val="20"/>
          <w:sz w:val="30"/>
        </w:rPr>
        <w:t>437</w:t>
      </w:r>
      <w:r w:rsidRPr="00942750">
        <w:rPr>
          <w:rFonts w:eastAsia="標楷體" w:hint="eastAsia"/>
          <w:spacing w:val="20"/>
          <w:sz w:val="30"/>
        </w:rPr>
        <w:t>萬餘延人公里，減少</w:t>
      </w:r>
      <w:r w:rsidRPr="00942750">
        <w:rPr>
          <w:rFonts w:eastAsia="標楷體"/>
          <w:spacing w:val="20"/>
          <w:sz w:val="30"/>
        </w:rPr>
        <w:t>24.9</w:t>
      </w:r>
      <w:r w:rsidRPr="00942750">
        <w:rPr>
          <w:rFonts w:eastAsia="標楷體" w:hint="eastAsia"/>
          <w:spacing w:val="20"/>
          <w:sz w:val="30"/>
        </w:rPr>
        <w:t>％，</w:t>
      </w:r>
      <w:r w:rsidRPr="001E17FC">
        <w:rPr>
          <w:rFonts w:eastAsia="標楷體" w:hint="eastAsia"/>
          <w:spacing w:val="20"/>
          <w:sz w:val="30"/>
        </w:rPr>
        <w:t>係受新冠肺炎疫情影響停駛部分車次所致</w:t>
      </w:r>
      <w:r w:rsidRPr="001E17FC">
        <w:rPr>
          <w:rFonts w:eastAsia="標楷體"/>
          <w:spacing w:val="20"/>
          <w:sz w:val="30"/>
        </w:rPr>
        <w:t>。</w:t>
      </w:r>
    </w:p>
    <w:p w:rsidR="00177136" w:rsidRPr="005C5E31" w:rsidRDefault="00177136" w:rsidP="009F0A5B">
      <w:pPr>
        <w:spacing w:beforeLines="100" w:before="240" w:line="360" w:lineRule="auto"/>
        <w:ind w:leftChars="-1" w:left="-2" w:firstLineChars="150" w:firstLine="510"/>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十六</w:t>
      </w:r>
      <w:r w:rsidRPr="005C5E31">
        <w:rPr>
          <w:rFonts w:eastAsia="標楷體" w:hint="eastAsia"/>
          <w:b/>
          <w:spacing w:val="20"/>
          <w:sz w:val="30"/>
          <w:szCs w:val="30"/>
        </w:rPr>
        <w:t>)</w:t>
      </w:r>
      <w:r w:rsidR="00AD38A4" w:rsidRPr="005C5E31">
        <w:rPr>
          <w:rFonts w:eastAsia="標楷體" w:hint="eastAsia"/>
          <w:b/>
          <w:spacing w:val="20"/>
          <w:sz w:val="30"/>
          <w:szCs w:val="30"/>
        </w:rPr>
        <w:t>鐵路貨運</w:t>
      </w:r>
      <w:r w:rsidR="008F0C72">
        <w:rPr>
          <w:rFonts w:ascii="標楷體" w:eastAsia="標楷體" w:hAnsi="標楷體" w:hint="eastAsia"/>
          <w:b/>
          <w:color w:val="000000"/>
          <w:sz w:val="20"/>
        </w:rPr>
        <w:t>（交通部</w:t>
      </w:r>
      <w:r w:rsidR="008F0C72" w:rsidRPr="00593FCB">
        <w:rPr>
          <w:rFonts w:ascii="標楷體" w:eastAsia="標楷體" w:hAnsi="標楷體" w:hint="eastAsia"/>
          <w:b/>
          <w:color w:val="000000"/>
          <w:sz w:val="20"/>
        </w:rPr>
        <w:t>臺灣鐵路管理局</w:t>
      </w:r>
      <w:r w:rsidR="008F0C72">
        <w:rPr>
          <w:rFonts w:ascii="標楷體" w:eastAsia="標楷體" w:hAnsi="標楷體" w:hint="eastAsia"/>
          <w:b/>
          <w:color w:val="000000"/>
          <w:sz w:val="20"/>
        </w:rPr>
        <w:t>）</w:t>
      </w:r>
    </w:p>
    <w:p w:rsidR="00177136" w:rsidRPr="005C5E31" w:rsidRDefault="007E0EFD" w:rsidP="00DC72DD">
      <w:pPr>
        <w:adjustRightInd w:val="0"/>
        <w:spacing w:line="360" w:lineRule="auto"/>
        <w:ind w:left="1412"/>
        <w:jc w:val="both"/>
        <w:rPr>
          <w:rFonts w:eastAsia="標楷體"/>
          <w:spacing w:val="20"/>
          <w:sz w:val="30"/>
        </w:rPr>
      </w:pPr>
      <w:r w:rsidRPr="00942750">
        <w:rPr>
          <w:rFonts w:eastAsia="標楷體" w:hint="eastAsia"/>
          <w:spacing w:val="20"/>
          <w:sz w:val="30"/>
        </w:rPr>
        <w:t>營運量</w:t>
      </w:r>
      <w:r w:rsidRPr="00942750">
        <w:rPr>
          <w:rFonts w:eastAsia="標楷體" w:hint="eastAsia"/>
          <w:spacing w:val="20"/>
          <w:sz w:val="30"/>
        </w:rPr>
        <w:t>4</w:t>
      </w:r>
      <w:r w:rsidRPr="00942750">
        <w:rPr>
          <w:rFonts w:eastAsia="標楷體" w:hint="eastAsia"/>
          <w:spacing w:val="20"/>
          <w:sz w:val="30"/>
        </w:rPr>
        <w:t>億</w:t>
      </w:r>
      <w:r w:rsidRPr="00942750">
        <w:rPr>
          <w:rFonts w:eastAsia="標楷體"/>
          <w:spacing w:val="20"/>
          <w:sz w:val="30"/>
        </w:rPr>
        <w:t>7,253</w:t>
      </w:r>
      <w:r w:rsidRPr="00942750">
        <w:rPr>
          <w:rFonts w:eastAsia="標楷體" w:hint="eastAsia"/>
          <w:spacing w:val="20"/>
          <w:sz w:val="30"/>
        </w:rPr>
        <w:t>萬餘延噸公里，較預算數</w:t>
      </w:r>
      <w:r w:rsidRPr="00942750">
        <w:rPr>
          <w:rFonts w:eastAsia="標楷體" w:hint="eastAsia"/>
          <w:spacing w:val="20"/>
          <w:sz w:val="30"/>
        </w:rPr>
        <w:t>4</w:t>
      </w:r>
      <w:r w:rsidRPr="00942750">
        <w:rPr>
          <w:rFonts w:eastAsia="標楷體" w:hint="eastAsia"/>
          <w:spacing w:val="20"/>
          <w:sz w:val="30"/>
        </w:rPr>
        <w:t>億</w:t>
      </w:r>
      <w:r w:rsidRPr="00942750">
        <w:rPr>
          <w:rFonts w:eastAsia="標楷體" w:hint="eastAsia"/>
          <w:spacing w:val="20"/>
          <w:sz w:val="30"/>
        </w:rPr>
        <w:t>9,8</w:t>
      </w:r>
      <w:r w:rsidRPr="00942750">
        <w:rPr>
          <w:rFonts w:eastAsia="標楷體"/>
          <w:spacing w:val="20"/>
          <w:sz w:val="30"/>
        </w:rPr>
        <w:t>97</w:t>
      </w:r>
      <w:r w:rsidRPr="00942750">
        <w:rPr>
          <w:rFonts w:eastAsia="標楷體" w:hint="eastAsia"/>
          <w:spacing w:val="20"/>
          <w:sz w:val="30"/>
        </w:rPr>
        <w:t>萬餘延噸公里，減少</w:t>
      </w:r>
      <w:r w:rsidRPr="00942750">
        <w:rPr>
          <w:rFonts w:eastAsia="標楷體"/>
          <w:spacing w:val="20"/>
          <w:sz w:val="30"/>
        </w:rPr>
        <w:t>5.3</w:t>
      </w:r>
      <w:r w:rsidRPr="00942750">
        <w:rPr>
          <w:rFonts w:eastAsia="標楷體" w:hint="eastAsia"/>
          <w:spacing w:val="20"/>
          <w:sz w:val="30"/>
        </w:rPr>
        <w:t>％，</w:t>
      </w:r>
      <w:r w:rsidRPr="001E17FC">
        <w:rPr>
          <w:rFonts w:eastAsia="標楷體" w:hint="eastAsia"/>
          <w:spacing w:val="20"/>
          <w:sz w:val="30"/>
        </w:rPr>
        <w:t>係配合</w:t>
      </w:r>
      <w:r w:rsidR="00133109">
        <w:rPr>
          <w:rFonts w:eastAsia="標楷體" w:hint="eastAsia"/>
          <w:spacing w:val="20"/>
          <w:sz w:val="30"/>
        </w:rPr>
        <w:t>連續假期與鐵路立體化工程</w:t>
      </w:r>
      <w:r w:rsidRPr="001E17FC">
        <w:rPr>
          <w:rFonts w:eastAsia="標楷體" w:hint="eastAsia"/>
          <w:spacing w:val="20"/>
          <w:sz w:val="30"/>
        </w:rPr>
        <w:t>調減貨運量及人員確診停駛部分車次所致</w:t>
      </w:r>
      <w:r w:rsidRPr="001E17FC">
        <w:rPr>
          <w:rFonts w:eastAsia="標楷體"/>
          <w:spacing w:val="20"/>
          <w:sz w:val="30"/>
        </w:rPr>
        <w:t>。</w:t>
      </w:r>
    </w:p>
    <w:p w:rsidR="00177136" w:rsidRPr="005C5E31" w:rsidRDefault="00177136" w:rsidP="00177136">
      <w:pPr>
        <w:spacing w:beforeLines="100" w:before="240" w:line="360" w:lineRule="auto"/>
        <w:ind w:leftChars="-1" w:left="-2" w:firstLineChars="150" w:firstLine="510"/>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十七</w:t>
      </w:r>
      <w:r w:rsidRPr="005C5E31">
        <w:rPr>
          <w:rFonts w:eastAsia="標楷體" w:hint="eastAsia"/>
          <w:b/>
          <w:spacing w:val="20"/>
          <w:sz w:val="30"/>
          <w:szCs w:val="30"/>
        </w:rPr>
        <w:t>)</w:t>
      </w:r>
      <w:r w:rsidR="00AD38A4" w:rsidRPr="005C5E31">
        <w:rPr>
          <w:rFonts w:eastAsia="標楷體" w:hint="eastAsia"/>
          <w:b/>
          <w:spacing w:val="20"/>
          <w:sz w:val="30"/>
          <w:szCs w:val="30"/>
        </w:rPr>
        <w:t>海運裝卸</w:t>
      </w:r>
      <w:r w:rsidR="008F0C72" w:rsidRPr="00593FCB">
        <w:rPr>
          <w:rFonts w:eastAsia="標楷體" w:hint="eastAsia"/>
          <w:b/>
          <w:spacing w:val="20"/>
          <w:sz w:val="20"/>
          <w:szCs w:val="30"/>
        </w:rPr>
        <w:t>（</w:t>
      </w:r>
      <w:r w:rsidR="008F0C72" w:rsidRPr="00593FCB">
        <w:rPr>
          <w:rFonts w:ascii="標楷體" w:eastAsia="標楷體" w:hAnsi="標楷體" w:hint="eastAsia"/>
          <w:b/>
          <w:color w:val="000000"/>
          <w:sz w:val="20"/>
        </w:rPr>
        <w:t>臺灣港務</w:t>
      </w:r>
      <w:r w:rsidR="008F0C72">
        <w:rPr>
          <w:rFonts w:ascii="標楷體" w:eastAsia="標楷體" w:hAnsi="標楷體" w:hint="eastAsia"/>
          <w:b/>
          <w:color w:val="000000"/>
          <w:sz w:val="20"/>
        </w:rPr>
        <w:t>股份有限</w:t>
      </w:r>
      <w:r w:rsidR="008F0C72" w:rsidRPr="00593FCB">
        <w:rPr>
          <w:rFonts w:ascii="標楷體" w:eastAsia="標楷體" w:hAnsi="標楷體" w:hint="eastAsia"/>
          <w:b/>
          <w:color w:val="000000"/>
          <w:sz w:val="20"/>
        </w:rPr>
        <w:t>公司</w:t>
      </w:r>
      <w:r w:rsidR="008F0C72">
        <w:rPr>
          <w:rFonts w:ascii="標楷體" w:eastAsia="標楷體" w:hAnsi="標楷體" w:hint="eastAsia"/>
          <w:b/>
          <w:color w:val="000000"/>
          <w:sz w:val="20"/>
        </w:rPr>
        <w:t>）</w:t>
      </w:r>
    </w:p>
    <w:p w:rsidR="00177136" w:rsidRPr="005C5E31" w:rsidRDefault="007E0EFD" w:rsidP="00DC72DD">
      <w:pPr>
        <w:adjustRightInd w:val="0"/>
        <w:spacing w:line="360" w:lineRule="auto"/>
        <w:ind w:left="1412"/>
        <w:jc w:val="both"/>
        <w:rPr>
          <w:rFonts w:eastAsia="標楷體"/>
          <w:spacing w:val="20"/>
          <w:sz w:val="30"/>
        </w:rPr>
      </w:pPr>
      <w:r w:rsidRPr="007E0EFD">
        <w:rPr>
          <w:rFonts w:eastAsia="標楷體" w:hint="eastAsia"/>
          <w:spacing w:val="20"/>
          <w:sz w:val="30"/>
        </w:rPr>
        <w:t>營運量</w:t>
      </w:r>
      <w:r w:rsidRPr="007E0EFD">
        <w:rPr>
          <w:rFonts w:eastAsia="標楷體" w:hint="eastAsia"/>
          <w:spacing w:val="20"/>
          <w:sz w:val="30"/>
        </w:rPr>
        <w:t>7</w:t>
      </w:r>
      <w:r w:rsidRPr="007E0EFD">
        <w:rPr>
          <w:rFonts w:eastAsia="標楷體" w:hint="eastAsia"/>
          <w:spacing w:val="20"/>
          <w:sz w:val="30"/>
        </w:rPr>
        <w:t>億</w:t>
      </w:r>
      <w:r w:rsidRPr="007E0EFD">
        <w:rPr>
          <w:rFonts w:eastAsia="標楷體" w:hint="eastAsia"/>
          <w:spacing w:val="20"/>
          <w:sz w:val="30"/>
        </w:rPr>
        <w:t>2,017</w:t>
      </w:r>
      <w:r w:rsidRPr="007E0EFD">
        <w:rPr>
          <w:rFonts w:eastAsia="標楷體" w:hint="eastAsia"/>
          <w:spacing w:val="20"/>
          <w:sz w:val="30"/>
        </w:rPr>
        <w:t>萬餘計費噸，較預算數</w:t>
      </w:r>
      <w:r w:rsidRPr="007E0EFD">
        <w:rPr>
          <w:rFonts w:eastAsia="標楷體" w:hint="eastAsia"/>
          <w:spacing w:val="20"/>
          <w:sz w:val="30"/>
        </w:rPr>
        <w:t>7</w:t>
      </w:r>
      <w:r w:rsidRPr="007E0EFD">
        <w:rPr>
          <w:rFonts w:eastAsia="標楷體" w:hint="eastAsia"/>
          <w:spacing w:val="20"/>
          <w:sz w:val="30"/>
        </w:rPr>
        <w:t>億</w:t>
      </w:r>
      <w:r w:rsidRPr="007E0EFD">
        <w:rPr>
          <w:rFonts w:eastAsia="標楷體" w:hint="eastAsia"/>
          <w:spacing w:val="20"/>
          <w:sz w:val="30"/>
        </w:rPr>
        <w:t>3,870</w:t>
      </w:r>
      <w:r w:rsidRPr="007E0EFD">
        <w:rPr>
          <w:rFonts w:eastAsia="標楷體" w:hint="eastAsia"/>
          <w:spacing w:val="20"/>
          <w:sz w:val="30"/>
        </w:rPr>
        <w:t>萬計費噸，減少</w:t>
      </w:r>
      <w:r w:rsidRPr="007E0EFD">
        <w:rPr>
          <w:rFonts w:eastAsia="標楷體" w:hint="eastAsia"/>
          <w:spacing w:val="20"/>
          <w:sz w:val="30"/>
        </w:rPr>
        <w:t>2.5</w:t>
      </w:r>
      <w:r w:rsidRPr="007E0EFD">
        <w:rPr>
          <w:rFonts w:eastAsia="標楷體" w:hint="eastAsia"/>
          <w:spacing w:val="20"/>
          <w:sz w:val="30"/>
        </w:rPr>
        <w:t>％，係受市場通膨及升息壓力影響，需求緊縮所致。</w:t>
      </w:r>
    </w:p>
    <w:p w:rsidR="00177136" w:rsidRPr="005C5E31" w:rsidRDefault="00177136" w:rsidP="00177136">
      <w:pPr>
        <w:spacing w:beforeLines="100" w:before="240" w:line="360" w:lineRule="auto"/>
        <w:ind w:left="482"/>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十八</w:t>
      </w:r>
      <w:r w:rsidRPr="005C5E31">
        <w:rPr>
          <w:rFonts w:eastAsia="標楷體" w:hint="eastAsia"/>
          <w:b/>
          <w:spacing w:val="20"/>
          <w:sz w:val="30"/>
          <w:szCs w:val="30"/>
        </w:rPr>
        <w:t>)</w:t>
      </w:r>
      <w:r w:rsidR="00AD38A4" w:rsidRPr="005C5E31">
        <w:rPr>
          <w:rFonts w:eastAsia="標楷體" w:hint="eastAsia"/>
          <w:b/>
          <w:spacing w:val="20"/>
          <w:sz w:val="30"/>
          <w:szCs w:val="30"/>
        </w:rPr>
        <w:t>船舶停泊</w:t>
      </w:r>
      <w:r w:rsidR="008F0C72" w:rsidRPr="00593FCB">
        <w:rPr>
          <w:rFonts w:eastAsia="標楷體" w:hint="eastAsia"/>
          <w:b/>
          <w:spacing w:val="20"/>
          <w:sz w:val="20"/>
          <w:szCs w:val="30"/>
        </w:rPr>
        <w:t>（</w:t>
      </w:r>
      <w:r w:rsidR="008F0C72" w:rsidRPr="00593FCB">
        <w:rPr>
          <w:rFonts w:ascii="標楷體" w:eastAsia="標楷體" w:hAnsi="標楷體" w:hint="eastAsia"/>
          <w:b/>
          <w:color w:val="000000"/>
          <w:sz w:val="20"/>
        </w:rPr>
        <w:t>臺灣港務</w:t>
      </w:r>
      <w:r w:rsidR="008F0C72">
        <w:rPr>
          <w:rFonts w:ascii="標楷體" w:eastAsia="標楷體" w:hAnsi="標楷體" w:hint="eastAsia"/>
          <w:b/>
          <w:color w:val="000000"/>
          <w:sz w:val="20"/>
        </w:rPr>
        <w:t>股份有限</w:t>
      </w:r>
      <w:r w:rsidR="008F0C72" w:rsidRPr="00593FCB">
        <w:rPr>
          <w:rFonts w:ascii="標楷體" w:eastAsia="標楷體" w:hAnsi="標楷體" w:hint="eastAsia"/>
          <w:b/>
          <w:color w:val="000000"/>
          <w:sz w:val="20"/>
        </w:rPr>
        <w:t>公司</w:t>
      </w:r>
      <w:r w:rsidR="008F0C72">
        <w:rPr>
          <w:rFonts w:ascii="標楷體" w:eastAsia="標楷體" w:hAnsi="標楷體" w:hint="eastAsia"/>
          <w:b/>
          <w:color w:val="000000"/>
          <w:sz w:val="20"/>
        </w:rPr>
        <w:t>）</w:t>
      </w:r>
    </w:p>
    <w:p w:rsidR="00177136" w:rsidRPr="005C5E31" w:rsidRDefault="007E0EFD" w:rsidP="00DC72DD">
      <w:pPr>
        <w:adjustRightInd w:val="0"/>
        <w:spacing w:line="360" w:lineRule="auto"/>
        <w:ind w:left="1412"/>
        <w:jc w:val="both"/>
        <w:rPr>
          <w:rFonts w:eastAsia="標楷體"/>
          <w:spacing w:val="20"/>
          <w:sz w:val="30"/>
        </w:rPr>
      </w:pPr>
      <w:r w:rsidRPr="007E0EFD">
        <w:rPr>
          <w:rFonts w:eastAsia="標楷體" w:hint="eastAsia"/>
          <w:spacing w:val="18"/>
          <w:sz w:val="30"/>
        </w:rPr>
        <w:t>營運量</w:t>
      </w:r>
      <w:r w:rsidRPr="007E0EFD">
        <w:rPr>
          <w:rFonts w:eastAsia="標楷體" w:hint="eastAsia"/>
          <w:spacing w:val="18"/>
          <w:sz w:val="30"/>
        </w:rPr>
        <w:t>498</w:t>
      </w:r>
      <w:r w:rsidRPr="007E0EFD">
        <w:rPr>
          <w:rFonts w:eastAsia="標楷體" w:hint="eastAsia"/>
          <w:spacing w:val="18"/>
          <w:sz w:val="30"/>
        </w:rPr>
        <w:t>萬餘艘時，較預算數</w:t>
      </w:r>
      <w:r w:rsidRPr="007E0EFD">
        <w:rPr>
          <w:rFonts w:eastAsia="標楷體" w:hint="eastAsia"/>
          <w:spacing w:val="18"/>
          <w:sz w:val="30"/>
        </w:rPr>
        <w:t>398</w:t>
      </w:r>
      <w:r w:rsidRPr="007E0EFD">
        <w:rPr>
          <w:rFonts w:eastAsia="標楷體" w:hint="eastAsia"/>
          <w:spacing w:val="18"/>
          <w:sz w:val="30"/>
        </w:rPr>
        <w:t>萬艘時，增加</w:t>
      </w:r>
      <w:r w:rsidRPr="007E0EFD">
        <w:rPr>
          <w:rFonts w:eastAsia="標楷體" w:hint="eastAsia"/>
          <w:spacing w:val="18"/>
          <w:sz w:val="30"/>
        </w:rPr>
        <w:t>25.3</w:t>
      </w:r>
      <w:r w:rsidRPr="007E0EFD">
        <w:rPr>
          <w:rFonts w:eastAsia="標楷體" w:hint="eastAsia"/>
          <w:spacing w:val="18"/>
          <w:sz w:val="30"/>
        </w:rPr>
        <w:t>％，係因高雄港洲際二期碼頭整備期及離岸風電風場建置期間，</w:t>
      </w:r>
      <w:r w:rsidR="005C2B30">
        <w:rPr>
          <w:rFonts w:eastAsia="標楷體" w:hint="eastAsia"/>
          <w:spacing w:val="18"/>
          <w:sz w:val="30"/>
        </w:rPr>
        <w:t>工作</w:t>
      </w:r>
      <w:r w:rsidRPr="007E0EFD">
        <w:rPr>
          <w:rFonts w:eastAsia="標楷體" w:hint="eastAsia"/>
          <w:spacing w:val="18"/>
          <w:sz w:val="30"/>
        </w:rPr>
        <w:t>船舶停泊時間增加所致。</w:t>
      </w:r>
    </w:p>
    <w:p w:rsidR="00177136" w:rsidRPr="005C5E31" w:rsidRDefault="00177136" w:rsidP="00177136">
      <w:pPr>
        <w:spacing w:beforeLines="100" w:before="240" w:line="360" w:lineRule="auto"/>
        <w:ind w:left="482"/>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十九</w:t>
      </w:r>
      <w:r w:rsidRPr="005C5E31">
        <w:rPr>
          <w:rFonts w:eastAsia="標楷體" w:hint="eastAsia"/>
          <w:b/>
          <w:spacing w:val="20"/>
          <w:sz w:val="30"/>
          <w:szCs w:val="30"/>
        </w:rPr>
        <w:t>)</w:t>
      </w:r>
      <w:r w:rsidR="00AD38A4" w:rsidRPr="005C5E31">
        <w:rPr>
          <w:rFonts w:eastAsia="標楷體" w:hint="eastAsia"/>
          <w:b/>
          <w:spacing w:val="20"/>
          <w:sz w:val="30"/>
          <w:szCs w:val="30"/>
        </w:rPr>
        <w:t>曳船</w:t>
      </w:r>
      <w:r w:rsidR="008F0C72" w:rsidRPr="00593FCB">
        <w:rPr>
          <w:rFonts w:eastAsia="標楷體" w:hint="eastAsia"/>
          <w:b/>
          <w:spacing w:val="20"/>
          <w:sz w:val="20"/>
          <w:szCs w:val="30"/>
        </w:rPr>
        <w:t>（</w:t>
      </w:r>
      <w:r w:rsidR="008F0C72" w:rsidRPr="00593FCB">
        <w:rPr>
          <w:rFonts w:ascii="標楷體" w:eastAsia="標楷體" w:hAnsi="標楷體" w:hint="eastAsia"/>
          <w:b/>
          <w:color w:val="000000"/>
          <w:sz w:val="20"/>
        </w:rPr>
        <w:t>臺灣港務</w:t>
      </w:r>
      <w:r w:rsidR="008F0C72">
        <w:rPr>
          <w:rFonts w:ascii="標楷體" w:eastAsia="標楷體" w:hAnsi="標楷體" w:hint="eastAsia"/>
          <w:b/>
          <w:color w:val="000000"/>
          <w:sz w:val="20"/>
        </w:rPr>
        <w:t>股份有限</w:t>
      </w:r>
      <w:r w:rsidR="008F0C72" w:rsidRPr="00593FCB">
        <w:rPr>
          <w:rFonts w:ascii="標楷體" w:eastAsia="標楷體" w:hAnsi="標楷體" w:hint="eastAsia"/>
          <w:b/>
          <w:color w:val="000000"/>
          <w:sz w:val="20"/>
        </w:rPr>
        <w:t>公司</w:t>
      </w:r>
      <w:r w:rsidR="008F0C72">
        <w:rPr>
          <w:rFonts w:ascii="標楷體" w:eastAsia="標楷體" w:hAnsi="標楷體" w:hint="eastAsia"/>
          <w:b/>
          <w:color w:val="000000"/>
          <w:sz w:val="20"/>
        </w:rPr>
        <w:t>）</w:t>
      </w:r>
    </w:p>
    <w:p w:rsidR="00177136" w:rsidRPr="005C5E31" w:rsidRDefault="007E0EFD" w:rsidP="00DC72DD">
      <w:pPr>
        <w:adjustRightInd w:val="0"/>
        <w:spacing w:line="360" w:lineRule="auto"/>
        <w:ind w:left="1412"/>
        <w:jc w:val="both"/>
        <w:rPr>
          <w:rFonts w:eastAsia="標楷體"/>
          <w:spacing w:val="20"/>
          <w:sz w:val="30"/>
        </w:rPr>
      </w:pPr>
      <w:r w:rsidRPr="007E0EFD">
        <w:rPr>
          <w:rFonts w:eastAsia="標楷體" w:hint="eastAsia"/>
          <w:spacing w:val="8"/>
          <w:sz w:val="30"/>
        </w:rPr>
        <w:t>營運量</w:t>
      </w:r>
      <w:r w:rsidRPr="007E0EFD">
        <w:rPr>
          <w:rFonts w:eastAsia="標楷體" w:hint="eastAsia"/>
          <w:spacing w:val="8"/>
          <w:sz w:val="30"/>
        </w:rPr>
        <w:t>7</w:t>
      </w:r>
      <w:r w:rsidRPr="007E0EFD">
        <w:rPr>
          <w:rFonts w:eastAsia="標楷體" w:hint="eastAsia"/>
          <w:spacing w:val="8"/>
          <w:sz w:val="30"/>
        </w:rPr>
        <w:t>萬</w:t>
      </w:r>
      <w:r w:rsidRPr="007E0EFD">
        <w:rPr>
          <w:rFonts w:eastAsia="標楷體" w:hint="eastAsia"/>
          <w:spacing w:val="8"/>
          <w:sz w:val="30"/>
        </w:rPr>
        <w:t>8,280</w:t>
      </w:r>
      <w:r w:rsidRPr="007E0EFD">
        <w:rPr>
          <w:rFonts w:eastAsia="標楷體" w:hint="eastAsia"/>
          <w:spacing w:val="8"/>
          <w:sz w:val="30"/>
        </w:rPr>
        <w:t>小時，較預算數</w:t>
      </w:r>
      <w:r w:rsidRPr="007E0EFD">
        <w:rPr>
          <w:rFonts w:eastAsia="標楷體" w:hint="eastAsia"/>
          <w:spacing w:val="8"/>
          <w:sz w:val="30"/>
        </w:rPr>
        <w:t>7</w:t>
      </w:r>
      <w:r w:rsidRPr="007E0EFD">
        <w:rPr>
          <w:rFonts w:eastAsia="標楷體" w:hint="eastAsia"/>
          <w:spacing w:val="8"/>
          <w:sz w:val="30"/>
        </w:rPr>
        <w:t>萬</w:t>
      </w:r>
      <w:r w:rsidRPr="007E0EFD">
        <w:rPr>
          <w:rFonts w:eastAsia="標楷體" w:hint="eastAsia"/>
          <w:spacing w:val="8"/>
          <w:sz w:val="30"/>
        </w:rPr>
        <w:t>9,434</w:t>
      </w:r>
      <w:r w:rsidRPr="007E0EFD">
        <w:rPr>
          <w:rFonts w:eastAsia="標楷體" w:hint="eastAsia"/>
          <w:spacing w:val="8"/>
          <w:sz w:val="30"/>
        </w:rPr>
        <w:t>小時，減少</w:t>
      </w:r>
      <w:r w:rsidRPr="007E0EFD">
        <w:rPr>
          <w:rFonts w:eastAsia="標楷體" w:hint="eastAsia"/>
          <w:spacing w:val="8"/>
          <w:sz w:val="30"/>
        </w:rPr>
        <w:t>1.5</w:t>
      </w:r>
      <w:r w:rsidRPr="007E0EFD">
        <w:rPr>
          <w:rFonts w:eastAsia="標楷體" w:hint="eastAsia"/>
          <w:spacing w:val="8"/>
          <w:sz w:val="30"/>
        </w:rPr>
        <w:t>％，係因</w:t>
      </w:r>
      <w:r w:rsidR="00E834C8">
        <w:rPr>
          <w:rFonts w:eastAsia="標楷體" w:hint="eastAsia"/>
          <w:spacing w:val="8"/>
          <w:sz w:val="30"/>
        </w:rPr>
        <w:t>船</w:t>
      </w:r>
      <w:r w:rsidR="005C2B30">
        <w:rPr>
          <w:rFonts w:eastAsia="標楷體" w:hint="eastAsia"/>
          <w:spacing w:val="8"/>
          <w:sz w:val="30"/>
        </w:rPr>
        <w:t>舶大型化，指派</w:t>
      </w:r>
      <w:r w:rsidRPr="007E0EFD">
        <w:rPr>
          <w:rFonts w:eastAsia="標楷體" w:hint="eastAsia"/>
          <w:spacing w:val="8"/>
          <w:sz w:val="30"/>
        </w:rPr>
        <w:t>中大型拖船協助商船停靠碼頭，船舶移泊次數較預期減少所致。</w:t>
      </w:r>
    </w:p>
    <w:p w:rsidR="00177136" w:rsidRPr="005C5E31" w:rsidRDefault="00177136" w:rsidP="00177136">
      <w:pPr>
        <w:spacing w:beforeLines="100" w:before="240" w:line="360" w:lineRule="auto"/>
        <w:ind w:left="482"/>
        <w:outlineLvl w:val="0"/>
        <w:rPr>
          <w:rFonts w:eastAsia="標楷體"/>
          <w:b/>
          <w:spacing w:val="20"/>
          <w:sz w:val="30"/>
          <w:szCs w:val="30"/>
        </w:rPr>
      </w:pPr>
      <w:r w:rsidRPr="005C5E31">
        <w:rPr>
          <w:rFonts w:eastAsia="標楷體" w:hint="eastAsia"/>
          <w:b/>
          <w:spacing w:val="20"/>
          <w:sz w:val="30"/>
          <w:szCs w:val="30"/>
        </w:rPr>
        <w:lastRenderedPageBreak/>
        <w:t>(</w:t>
      </w:r>
      <w:r w:rsidRPr="005C5E31">
        <w:rPr>
          <w:rFonts w:eastAsia="標楷體" w:hint="eastAsia"/>
          <w:b/>
          <w:spacing w:val="20"/>
          <w:sz w:val="30"/>
          <w:szCs w:val="30"/>
        </w:rPr>
        <w:t>二</w:t>
      </w:r>
      <w:r w:rsidRPr="005C5E31">
        <w:rPr>
          <w:rFonts w:eastAsia="標楷體"/>
          <w:b/>
          <w:spacing w:val="20"/>
          <w:sz w:val="30"/>
          <w:szCs w:val="30"/>
        </w:rPr>
        <w:t>十</w:t>
      </w:r>
      <w:r w:rsidRPr="005C5E31">
        <w:rPr>
          <w:rFonts w:eastAsia="標楷體" w:hint="eastAsia"/>
          <w:b/>
          <w:spacing w:val="20"/>
          <w:sz w:val="30"/>
          <w:szCs w:val="30"/>
        </w:rPr>
        <w:t>)</w:t>
      </w:r>
      <w:r w:rsidR="00AD38A4" w:rsidRPr="005C5E31">
        <w:rPr>
          <w:rFonts w:eastAsia="標楷體" w:hint="eastAsia"/>
          <w:b/>
          <w:spacing w:val="20"/>
          <w:sz w:val="30"/>
          <w:szCs w:val="30"/>
        </w:rPr>
        <w:t>機場旅客服務</w:t>
      </w:r>
      <w:r w:rsidR="008F0C72" w:rsidRPr="00593FCB">
        <w:rPr>
          <w:rFonts w:eastAsia="標楷體" w:hint="eastAsia"/>
          <w:b/>
          <w:spacing w:val="20"/>
          <w:sz w:val="20"/>
          <w:szCs w:val="30"/>
        </w:rPr>
        <w:t>（</w:t>
      </w:r>
      <w:r w:rsidR="008F0C72" w:rsidRPr="00FD4352">
        <w:rPr>
          <w:rFonts w:ascii="標楷體" w:eastAsia="標楷體" w:hAnsi="標楷體" w:hint="eastAsia"/>
          <w:b/>
          <w:color w:val="000000"/>
          <w:sz w:val="20"/>
        </w:rPr>
        <w:t>桃園國際機場</w:t>
      </w:r>
      <w:r w:rsidR="008F0C72">
        <w:rPr>
          <w:rFonts w:ascii="標楷體" w:eastAsia="標楷體" w:hAnsi="標楷體" w:hint="eastAsia"/>
          <w:b/>
          <w:color w:val="000000"/>
          <w:sz w:val="20"/>
        </w:rPr>
        <w:t>股份有限</w:t>
      </w:r>
      <w:r w:rsidR="008F0C72" w:rsidRPr="00FD4352">
        <w:rPr>
          <w:rFonts w:ascii="標楷體" w:eastAsia="標楷體" w:hAnsi="標楷體" w:hint="eastAsia"/>
          <w:b/>
          <w:color w:val="000000"/>
          <w:sz w:val="20"/>
        </w:rPr>
        <w:t>公司</w:t>
      </w:r>
      <w:r w:rsidR="008F0C72">
        <w:rPr>
          <w:rFonts w:ascii="標楷體" w:eastAsia="標楷體" w:hAnsi="標楷體" w:hint="eastAsia"/>
          <w:b/>
          <w:color w:val="000000"/>
          <w:sz w:val="20"/>
        </w:rPr>
        <w:t>）</w:t>
      </w:r>
    </w:p>
    <w:p w:rsidR="00177136" w:rsidRPr="005C5E31" w:rsidRDefault="007E0EFD" w:rsidP="00DC72DD">
      <w:pPr>
        <w:adjustRightInd w:val="0"/>
        <w:spacing w:line="360" w:lineRule="auto"/>
        <w:ind w:left="1412"/>
        <w:jc w:val="both"/>
        <w:rPr>
          <w:rFonts w:eastAsia="標楷體"/>
          <w:spacing w:val="20"/>
          <w:sz w:val="30"/>
        </w:rPr>
      </w:pPr>
      <w:r w:rsidRPr="007E0EFD">
        <w:rPr>
          <w:rFonts w:eastAsia="標楷體" w:hint="eastAsia"/>
          <w:spacing w:val="10"/>
          <w:sz w:val="30"/>
        </w:rPr>
        <w:t>營運量</w:t>
      </w:r>
      <w:r w:rsidRPr="007E0EFD">
        <w:rPr>
          <w:rFonts w:eastAsia="標楷體" w:hint="eastAsia"/>
          <w:spacing w:val="10"/>
          <w:sz w:val="30"/>
        </w:rPr>
        <w:t>534</w:t>
      </w:r>
      <w:r w:rsidRPr="007E0EFD">
        <w:rPr>
          <w:rFonts w:eastAsia="標楷體" w:hint="eastAsia"/>
          <w:spacing w:val="10"/>
          <w:sz w:val="30"/>
        </w:rPr>
        <w:t>萬餘人次，較預算數</w:t>
      </w:r>
      <w:r w:rsidRPr="007E0EFD">
        <w:rPr>
          <w:rFonts w:eastAsia="標楷體" w:hint="eastAsia"/>
          <w:spacing w:val="10"/>
          <w:sz w:val="30"/>
        </w:rPr>
        <w:t>952</w:t>
      </w:r>
      <w:r w:rsidRPr="007E0EFD">
        <w:rPr>
          <w:rFonts w:eastAsia="標楷體" w:hint="eastAsia"/>
          <w:spacing w:val="10"/>
          <w:sz w:val="30"/>
        </w:rPr>
        <w:t>萬餘人次，減少</w:t>
      </w:r>
      <w:r w:rsidRPr="007E0EFD">
        <w:rPr>
          <w:rFonts w:eastAsia="標楷體" w:hint="eastAsia"/>
          <w:spacing w:val="10"/>
          <w:sz w:val="30"/>
        </w:rPr>
        <w:t>43.9</w:t>
      </w:r>
      <w:r w:rsidRPr="007E0EFD">
        <w:rPr>
          <w:rFonts w:eastAsia="標楷體" w:hint="eastAsia"/>
          <w:spacing w:val="10"/>
          <w:sz w:val="30"/>
        </w:rPr>
        <w:t>％，係因受新冠肺炎疫情影響，各國實施邊境管制，入出境旅客較預期減少所致。</w:t>
      </w:r>
    </w:p>
    <w:p w:rsidR="00177136" w:rsidRPr="005C5E31" w:rsidRDefault="00177136" w:rsidP="00177136">
      <w:pPr>
        <w:spacing w:beforeLines="150" w:before="360" w:line="360" w:lineRule="auto"/>
        <w:outlineLvl w:val="0"/>
        <w:rPr>
          <w:rFonts w:eastAsia="標楷體"/>
          <w:b/>
          <w:spacing w:val="20"/>
          <w:sz w:val="40"/>
        </w:rPr>
      </w:pPr>
      <w:bookmarkStart w:id="2" w:name="壹、三"/>
      <w:r w:rsidRPr="005C5E31">
        <w:rPr>
          <w:rFonts w:eastAsia="標楷體" w:hint="eastAsia"/>
          <w:b/>
          <w:spacing w:val="20"/>
          <w:sz w:val="40"/>
        </w:rPr>
        <w:t>二、</w:t>
      </w:r>
      <w:bookmarkEnd w:id="2"/>
      <w:r w:rsidRPr="005C5E31">
        <w:rPr>
          <w:rFonts w:eastAsia="標楷體" w:hint="eastAsia"/>
          <w:b/>
          <w:spacing w:val="20"/>
          <w:sz w:val="40"/>
        </w:rPr>
        <w:t>營業收支損益情形</w:t>
      </w:r>
    </w:p>
    <w:p w:rsidR="00177136" w:rsidRPr="005C5E31" w:rsidRDefault="00177136" w:rsidP="00902C9F">
      <w:pPr>
        <w:spacing w:line="360" w:lineRule="auto"/>
        <w:ind w:left="425" w:firstLineChars="200" w:firstLine="672"/>
        <w:jc w:val="both"/>
        <w:rPr>
          <w:rFonts w:eastAsia="標楷體"/>
          <w:spacing w:val="18"/>
          <w:sz w:val="30"/>
        </w:rPr>
      </w:pPr>
      <w:r w:rsidRPr="005C5E31">
        <w:rPr>
          <w:rFonts w:eastAsia="標楷體" w:hint="eastAsia"/>
          <w:spacing w:val="18"/>
          <w:sz w:val="30"/>
        </w:rPr>
        <w:t>本年度決算國營事業收入</w:t>
      </w:r>
      <w:bookmarkStart w:id="3" w:name="OLE_LINK6"/>
      <w:r w:rsidRPr="005C5E31">
        <w:rPr>
          <w:rFonts w:eastAsia="標楷體" w:hint="eastAsia"/>
          <w:spacing w:val="18"/>
          <w:sz w:val="30"/>
        </w:rPr>
        <w:t>總額</w:t>
      </w:r>
      <w:bookmarkEnd w:id="3"/>
      <w:r w:rsidRPr="005C5E31">
        <w:rPr>
          <w:rFonts w:eastAsia="標楷體" w:hint="eastAsia"/>
          <w:spacing w:val="18"/>
          <w:sz w:val="30"/>
        </w:rPr>
        <w:t>原列</w:t>
      </w:r>
      <w:r w:rsidR="002D44F9">
        <w:rPr>
          <w:rFonts w:eastAsia="標楷體" w:hint="eastAsia"/>
          <w:spacing w:val="18"/>
          <w:sz w:val="30"/>
        </w:rPr>
        <w:t>3</w:t>
      </w:r>
      <w:r w:rsidR="001F50FC" w:rsidRPr="005C5E31">
        <w:rPr>
          <w:rFonts w:eastAsia="標楷體" w:hint="eastAsia"/>
          <w:spacing w:val="18"/>
          <w:sz w:val="30"/>
        </w:rPr>
        <w:t>兆</w:t>
      </w:r>
      <w:r w:rsidR="002D44F9" w:rsidRPr="002D44F9">
        <w:rPr>
          <w:rFonts w:eastAsia="標楷體"/>
          <w:spacing w:val="18"/>
          <w:sz w:val="30"/>
        </w:rPr>
        <w:t>3,209</w:t>
      </w:r>
      <w:r w:rsidRPr="005C5E31">
        <w:rPr>
          <w:rFonts w:eastAsia="標楷體" w:hint="eastAsia"/>
          <w:spacing w:val="18"/>
          <w:sz w:val="30"/>
        </w:rPr>
        <w:t>億餘元，經修正</w:t>
      </w:r>
      <w:r w:rsidR="0059717B">
        <w:rPr>
          <w:rFonts w:eastAsia="標楷體" w:hint="eastAsia"/>
          <w:spacing w:val="18"/>
          <w:sz w:val="30"/>
        </w:rPr>
        <w:t>減</w:t>
      </w:r>
      <w:r w:rsidRPr="005C5E31">
        <w:rPr>
          <w:rFonts w:eastAsia="標楷體" w:hint="eastAsia"/>
          <w:spacing w:val="18"/>
          <w:sz w:val="30"/>
        </w:rPr>
        <w:t>列</w:t>
      </w:r>
      <w:r w:rsidR="002D44F9">
        <w:rPr>
          <w:rFonts w:eastAsia="標楷體"/>
          <w:spacing w:val="18"/>
          <w:sz w:val="30"/>
        </w:rPr>
        <w:t>12</w:t>
      </w:r>
      <w:r w:rsidR="00C22DEE" w:rsidRPr="005C5E31">
        <w:rPr>
          <w:rFonts w:eastAsia="標楷體" w:hint="eastAsia"/>
          <w:spacing w:val="18"/>
          <w:sz w:val="30"/>
        </w:rPr>
        <w:t>億</w:t>
      </w:r>
      <w:r w:rsidRPr="005C5E31">
        <w:rPr>
          <w:rFonts w:eastAsia="標楷體" w:hint="eastAsia"/>
          <w:spacing w:val="18"/>
          <w:sz w:val="30"/>
        </w:rPr>
        <w:t>餘元，核定為</w:t>
      </w:r>
      <w:r w:rsidR="002D44F9">
        <w:rPr>
          <w:rFonts w:eastAsia="標楷體" w:hint="eastAsia"/>
          <w:spacing w:val="18"/>
          <w:sz w:val="30"/>
        </w:rPr>
        <w:t>3</w:t>
      </w:r>
      <w:r w:rsidR="002D44F9" w:rsidRPr="005C5E31">
        <w:rPr>
          <w:rFonts w:eastAsia="標楷體" w:hint="eastAsia"/>
          <w:spacing w:val="18"/>
          <w:sz w:val="30"/>
        </w:rPr>
        <w:t>兆</w:t>
      </w:r>
      <w:r w:rsidR="002D44F9" w:rsidRPr="002D44F9">
        <w:rPr>
          <w:rFonts w:eastAsia="標楷體"/>
          <w:spacing w:val="18"/>
          <w:sz w:val="30"/>
        </w:rPr>
        <w:t>3,19</w:t>
      </w:r>
      <w:r w:rsidR="00352908">
        <w:rPr>
          <w:rFonts w:eastAsia="標楷體"/>
          <w:spacing w:val="18"/>
          <w:sz w:val="30"/>
        </w:rPr>
        <w:t>6</w:t>
      </w:r>
      <w:r w:rsidR="002D44F9" w:rsidRPr="005C5E31">
        <w:rPr>
          <w:rFonts w:eastAsia="標楷體" w:hint="eastAsia"/>
          <w:spacing w:val="18"/>
          <w:sz w:val="30"/>
        </w:rPr>
        <w:t>億餘</w:t>
      </w:r>
      <w:r w:rsidRPr="005C5E31">
        <w:rPr>
          <w:rFonts w:eastAsia="標楷體" w:hint="eastAsia"/>
          <w:spacing w:val="18"/>
          <w:sz w:val="30"/>
        </w:rPr>
        <w:t>元；支出總額原列</w:t>
      </w:r>
      <w:r w:rsidR="002D44F9">
        <w:rPr>
          <w:rFonts w:eastAsia="標楷體"/>
          <w:spacing w:val="18"/>
          <w:sz w:val="30"/>
        </w:rPr>
        <w:t>3</w:t>
      </w:r>
      <w:r w:rsidR="0004061C">
        <w:rPr>
          <w:rFonts w:eastAsia="標楷體" w:hint="eastAsia"/>
          <w:spacing w:val="18"/>
          <w:sz w:val="30"/>
        </w:rPr>
        <w:t>兆</w:t>
      </w:r>
      <w:r w:rsidR="0059717B" w:rsidRPr="0059717B">
        <w:rPr>
          <w:rFonts w:eastAsia="標楷體"/>
          <w:spacing w:val="18"/>
          <w:sz w:val="30"/>
        </w:rPr>
        <w:t>4,</w:t>
      </w:r>
      <w:r w:rsidR="002D44F9">
        <w:rPr>
          <w:rFonts w:eastAsia="標楷體"/>
          <w:spacing w:val="18"/>
          <w:sz w:val="30"/>
        </w:rPr>
        <w:t>587</w:t>
      </w:r>
      <w:r w:rsidR="00C22DEE" w:rsidRPr="005C5E31">
        <w:rPr>
          <w:rFonts w:eastAsia="標楷體" w:hint="eastAsia"/>
          <w:spacing w:val="18"/>
          <w:sz w:val="30"/>
        </w:rPr>
        <w:t>億餘元，經修正</w:t>
      </w:r>
      <w:r w:rsidR="0004061C">
        <w:rPr>
          <w:rFonts w:eastAsia="標楷體" w:hint="eastAsia"/>
          <w:spacing w:val="18"/>
          <w:sz w:val="30"/>
        </w:rPr>
        <w:t>增</w:t>
      </w:r>
      <w:r w:rsidRPr="005C5E31">
        <w:rPr>
          <w:rFonts w:eastAsia="標楷體" w:hint="eastAsia"/>
          <w:spacing w:val="18"/>
          <w:sz w:val="30"/>
        </w:rPr>
        <w:t>列</w:t>
      </w:r>
      <w:r w:rsidR="002D44F9">
        <w:rPr>
          <w:rFonts w:eastAsia="標楷體"/>
          <w:spacing w:val="18"/>
          <w:sz w:val="30"/>
        </w:rPr>
        <w:t>25</w:t>
      </w:r>
      <w:r w:rsidRPr="005C5E31">
        <w:rPr>
          <w:rFonts w:eastAsia="標楷體" w:hint="eastAsia"/>
          <w:spacing w:val="18"/>
          <w:sz w:val="30"/>
        </w:rPr>
        <w:t>億餘元，核定為</w:t>
      </w:r>
      <w:r w:rsidR="002D44F9">
        <w:rPr>
          <w:rFonts w:eastAsia="標楷體"/>
          <w:spacing w:val="18"/>
          <w:sz w:val="30"/>
        </w:rPr>
        <w:t>3</w:t>
      </w:r>
      <w:r w:rsidR="0004061C">
        <w:rPr>
          <w:rFonts w:eastAsia="標楷體" w:hint="eastAsia"/>
          <w:spacing w:val="18"/>
          <w:sz w:val="30"/>
        </w:rPr>
        <w:t>兆</w:t>
      </w:r>
      <w:r w:rsidR="0059717B">
        <w:rPr>
          <w:rFonts w:eastAsia="標楷體"/>
          <w:spacing w:val="18"/>
          <w:sz w:val="30"/>
        </w:rPr>
        <w:t>4,</w:t>
      </w:r>
      <w:r w:rsidR="002D44F9">
        <w:rPr>
          <w:rFonts w:eastAsia="標楷體"/>
          <w:spacing w:val="18"/>
          <w:sz w:val="30"/>
        </w:rPr>
        <w:t>613</w:t>
      </w:r>
      <w:r w:rsidR="00746F60" w:rsidRPr="005C5E31">
        <w:rPr>
          <w:rFonts w:eastAsia="標楷體" w:hint="eastAsia"/>
          <w:spacing w:val="18"/>
          <w:sz w:val="30"/>
        </w:rPr>
        <w:t>億餘元</w:t>
      </w:r>
      <w:r w:rsidR="00746F60" w:rsidRPr="005C5E31">
        <w:rPr>
          <w:rFonts w:ascii="標楷體" w:eastAsia="標楷體" w:hAnsi="標楷體" w:hint="eastAsia"/>
          <w:spacing w:val="18"/>
          <w:sz w:val="30"/>
        </w:rPr>
        <w:t>；</w:t>
      </w:r>
      <w:r w:rsidRPr="005C5E31">
        <w:rPr>
          <w:rFonts w:eastAsia="標楷體" w:hint="eastAsia"/>
          <w:spacing w:val="18"/>
          <w:sz w:val="30"/>
        </w:rPr>
        <w:t>以上收支互抵結果，本期淨</w:t>
      </w:r>
      <w:r w:rsidR="002D44F9">
        <w:rPr>
          <w:rFonts w:eastAsia="標楷體" w:hint="eastAsia"/>
          <w:spacing w:val="18"/>
          <w:sz w:val="30"/>
        </w:rPr>
        <w:t>損</w:t>
      </w:r>
      <w:r w:rsidRPr="005C5E31">
        <w:rPr>
          <w:rFonts w:eastAsia="標楷體" w:hint="eastAsia"/>
          <w:spacing w:val="18"/>
          <w:sz w:val="30"/>
        </w:rPr>
        <w:t>原列</w:t>
      </w:r>
      <w:r w:rsidR="002D44F9">
        <w:rPr>
          <w:rFonts w:eastAsia="標楷體" w:hint="eastAsia"/>
          <w:spacing w:val="18"/>
          <w:sz w:val="30"/>
        </w:rPr>
        <w:t>1</w:t>
      </w:r>
      <w:r w:rsidR="0004061C">
        <w:rPr>
          <w:rFonts w:eastAsia="標楷體"/>
          <w:spacing w:val="18"/>
          <w:sz w:val="30"/>
        </w:rPr>
        <w:t>,</w:t>
      </w:r>
      <w:r w:rsidR="0059717B">
        <w:rPr>
          <w:rFonts w:eastAsia="標楷體"/>
          <w:spacing w:val="18"/>
          <w:sz w:val="30"/>
        </w:rPr>
        <w:t>3</w:t>
      </w:r>
      <w:r w:rsidR="002D44F9">
        <w:rPr>
          <w:rFonts w:eastAsia="標楷體"/>
          <w:spacing w:val="18"/>
          <w:sz w:val="30"/>
        </w:rPr>
        <w:t>77</w:t>
      </w:r>
      <w:r w:rsidR="00C22DEE" w:rsidRPr="005C5E31">
        <w:rPr>
          <w:rFonts w:eastAsia="標楷體" w:hint="eastAsia"/>
          <w:spacing w:val="18"/>
          <w:sz w:val="30"/>
        </w:rPr>
        <w:t>億餘元，計淨</w:t>
      </w:r>
      <w:r w:rsidR="002D44F9">
        <w:rPr>
          <w:rFonts w:eastAsia="標楷體" w:hint="eastAsia"/>
          <w:spacing w:val="18"/>
          <w:sz w:val="30"/>
        </w:rPr>
        <w:t>增加</w:t>
      </w:r>
      <w:r w:rsidR="002D44F9">
        <w:rPr>
          <w:rFonts w:eastAsia="標楷體" w:hint="eastAsia"/>
          <w:spacing w:val="18"/>
          <w:sz w:val="30"/>
        </w:rPr>
        <w:t>38</w:t>
      </w:r>
      <w:r w:rsidRPr="005C5E31">
        <w:rPr>
          <w:rFonts w:eastAsia="標楷體" w:hint="eastAsia"/>
          <w:spacing w:val="18"/>
          <w:sz w:val="30"/>
        </w:rPr>
        <w:t>億餘元，核定為</w:t>
      </w:r>
      <w:r w:rsidR="002D44F9">
        <w:rPr>
          <w:rFonts w:eastAsia="標楷體"/>
          <w:spacing w:val="18"/>
          <w:sz w:val="30"/>
        </w:rPr>
        <w:t>1</w:t>
      </w:r>
      <w:r w:rsidR="0004061C">
        <w:rPr>
          <w:rFonts w:eastAsia="標楷體"/>
          <w:spacing w:val="18"/>
          <w:sz w:val="30"/>
        </w:rPr>
        <w:t>,</w:t>
      </w:r>
      <w:r w:rsidR="002D44F9">
        <w:rPr>
          <w:rFonts w:eastAsia="標楷體"/>
          <w:spacing w:val="18"/>
          <w:sz w:val="30"/>
        </w:rPr>
        <w:t>416</w:t>
      </w:r>
      <w:r w:rsidR="00F73EEC" w:rsidRPr="005C5E31">
        <w:rPr>
          <w:rFonts w:eastAsia="標楷體" w:hint="eastAsia"/>
          <w:spacing w:val="18"/>
          <w:sz w:val="30"/>
        </w:rPr>
        <w:t>億餘元。茲將營業</w:t>
      </w:r>
      <w:r w:rsidR="00BC6459">
        <w:rPr>
          <w:rFonts w:eastAsia="標楷體" w:hint="eastAsia"/>
          <w:spacing w:val="18"/>
          <w:sz w:val="30"/>
        </w:rPr>
        <w:t>損失</w:t>
      </w:r>
      <w:r w:rsidR="00F73EEC" w:rsidRPr="005C5E31">
        <w:rPr>
          <w:rFonts w:eastAsia="標楷體" w:hint="eastAsia"/>
          <w:spacing w:val="18"/>
          <w:sz w:val="30"/>
        </w:rPr>
        <w:t>及本期</w:t>
      </w:r>
      <w:r w:rsidRPr="005C5E31">
        <w:rPr>
          <w:rFonts w:eastAsia="標楷體" w:hint="eastAsia"/>
          <w:spacing w:val="18"/>
          <w:sz w:val="30"/>
        </w:rPr>
        <w:t>淨</w:t>
      </w:r>
      <w:r w:rsidR="00BC6459">
        <w:rPr>
          <w:rFonts w:eastAsia="標楷體" w:hint="eastAsia"/>
          <w:spacing w:val="18"/>
          <w:sz w:val="30"/>
        </w:rPr>
        <w:t>損</w:t>
      </w:r>
      <w:r w:rsidRPr="005C5E31">
        <w:rPr>
          <w:rFonts w:eastAsia="標楷體" w:hint="eastAsia"/>
          <w:spacing w:val="18"/>
          <w:sz w:val="30"/>
        </w:rPr>
        <w:t>之核列情形說明如下</w:t>
      </w:r>
      <w:r w:rsidR="00870225" w:rsidRPr="005C5E31">
        <w:rPr>
          <w:rFonts w:eastAsia="標楷體" w:hint="eastAsia"/>
          <w:spacing w:val="20"/>
          <w:sz w:val="30"/>
        </w:rPr>
        <w:t>（詳表</w:t>
      </w:r>
      <w:r w:rsidR="00870225" w:rsidRPr="005C5E31">
        <w:rPr>
          <w:rFonts w:eastAsia="標楷體" w:hint="eastAsia"/>
          <w:spacing w:val="20"/>
          <w:sz w:val="30"/>
        </w:rPr>
        <w:t>1</w:t>
      </w:r>
      <w:r w:rsidR="001820F4">
        <w:rPr>
          <w:rFonts w:eastAsia="標楷體" w:hint="eastAsia"/>
          <w:spacing w:val="20"/>
          <w:sz w:val="30"/>
        </w:rPr>
        <w:t>、</w:t>
      </w:r>
      <w:r w:rsidR="00870225" w:rsidRPr="005C5E31">
        <w:rPr>
          <w:rFonts w:eastAsia="標楷體" w:hint="eastAsia"/>
          <w:spacing w:val="20"/>
          <w:sz w:val="30"/>
        </w:rPr>
        <w:t>圖</w:t>
      </w:r>
      <w:r w:rsidR="00870225" w:rsidRPr="005C5E31">
        <w:rPr>
          <w:rFonts w:eastAsia="標楷體" w:hint="eastAsia"/>
          <w:spacing w:val="20"/>
          <w:sz w:val="30"/>
        </w:rPr>
        <w:t>1</w:t>
      </w:r>
      <w:r w:rsidR="00870225" w:rsidRPr="005C5E31">
        <w:rPr>
          <w:rFonts w:eastAsia="標楷體" w:hint="eastAsia"/>
          <w:spacing w:val="20"/>
          <w:sz w:val="30"/>
        </w:rPr>
        <w:t>）</w:t>
      </w:r>
      <w:r w:rsidRPr="005C5E31">
        <w:rPr>
          <w:rFonts w:eastAsia="標楷體" w:hint="eastAsia"/>
          <w:spacing w:val="18"/>
          <w:sz w:val="30"/>
        </w:rPr>
        <w:t>：</w:t>
      </w:r>
    </w:p>
    <w:p w:rsidR="00177136" w:rsidRPr="005C5E31" w:rsidRDefault="00177136" w:rsidP="00177136">
      <w:pPr>
        <w:spacing w:beforeLines="50" w:before="120" w:afterLines="50" w:after="120" w:line="360" w:lineRule="auto"/>
        <w:ind w:left="482"/>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一</w:t>
      </w:r>
      <w:r w:rsidRPr="005C5E31">
        <w:rPr>
          <w:rFonts w:eastAsia="標楷體" w:hint="eastAsia"/>
          <w:b/>
          <w:spacing w:val="20"/>
          <w:sz w:val="30"/>
          <w:szCs w:val="30"/>
        </w:rPr>
        <w:t>)</w:t>
      </w:r>
      <w:r w:rsidR="001E4026" w:rsidRPr="005C5E31">
        <w:rPr>
          <w:rFonts w:eastAsia="標楷體" w:hint="eastAsia"/>
          <w:b/>
          <w:spacing w:val="20"/>
          <w:sz w:val="30"/>
          <w:szCs w:val="30"/>
        </w:rPr>
        <w:t>營業</w:t>
      </w:r>
      <w:r w:rsidR="00BC6459" w:rsidRPr="00BC6459">
        <w:rPr>
          <w:rFonts w:eastAsia="標楷體" w:hint="eastAsia"/>
          <w:b/>
          <w:spacing w:val="20"/>
          <w:sz w:val="30"/>
          <w:szCs w:val="30"/>
        </w:rPr>
        <w:t>損失</w:t>
      </w:r>
    </w:p>
    <w:p w:rsidR="00177136" w:rsidRPr="005C5E31" w:rsidRDefault="00177136" w:rsidP="00177136">
      <w:pPr>
        <w:adjustRightInd w:val="0"/>
        <w:spacing w:line="360" w:lineRule="auto"/>
        <w:ind w:left="1021"/>
        <w:rPr>
          <w:rFonts w:eastAsia="標楷體"/>
          <w:spacing w:val="20"/>
          <w:sz w:val="30"/>
        </w:rPr>
      </w:pPr>
      <w:r w:rsidRPr="005C5E31">
        <w:rPr>
          <w:rFonts w:eastAsia="標楷體" w:hint="eastAsia"/>
          <w:spacing w:val="20"/>
          <w:sz w:val="30"/>
        </w:rPr>
        <w:t>本年度決算國營事業營業收支及其互抵後之營業</w:t>
      </w:r>
      <w:r w:rsidR="00BC6459" w:rsidRPr="00BC6459">
        <w:rPr>
          <w:rFonts w:eastAsia="標楷體" w:hint="eastAsia"/>
          <w:spacing w:val="20"/>
          <w:sz w:val="30"/>
        </w:rPr>
        <w:t>損失</w:t>
      </w:r>
      <w:r w:rsidRPr="005C5E31">
        <w:rPr>
          <w:rFonts w:eastAsia="標楷體" w:hint="eastAsia"/>
          <w:spacing w:val="20"/>
          <w:sz w:val="30"/>
        </w:rPr>
        <w:t>如下：</w:t>
      </w:r>
    </w:p>
    <w:p w:rsidR="00177136" w:rsidRPr="005C5E31" w:rsidRDefault="00177136" w:rsidP="00177136">
      <w:pPr>
        <w:adjustRightInd w:val="0"/>
        <w:spacing w:line="360" w:lineRule="auto"/>
        <w:ind w:left="1248" w:hanging="227"/>
        <w:jc w:val="both"/>
        <w:rPr>
          <w:rFonts w:eastAsia="標楷體"/>
          <w:spacing w:val="20"/>
          <w:sz w:val="30"/>
        </w:rPr>
      </w:pPr>
      <w:r w:rsidRPr="005C5E31">
        <w:rPr>
          <w:rFonts w:eastAsia="標楷體"/>
          <w:spacing w:val="20"/>
          <w:sz w:val="30"/>
        </w:rPr>
        <w:t>1.</w:t>
      </w:r>
      <w:r w:rsidRPr="005C5E31">
        <w:rPr>
          <w:rFonts w:eastAsia="標楷體" w:hint="eastAsia"/>
          <w:spacing w:val="20"/>
          <w:sz w:val="30"/>
        </w:rPr>
        <w:t>營業收入共列</w:t>
      </w:r>
      <w:r w:rsidR="00E9702D" w:rsidRPr="00E9702D">
        <w:rPr>
          <w:rFonts w:eastAsia="標楷體"/>
          <w:spacing w:val="20"/>
          <w:sz w:val="30"/>
        </w:rPr>
        <w:t>3</w:t>
      </w:r>
      <w:r w:rsidR="00E9702D">
        <w:rPr>
          <w:rFonts w:eastAsia="標楷體" w:hint="eastAsia"/>
          <w:spacing w:val="20"/>
          <w:sz w:val="30"/>
        </w:rPr>
        <w:t>兆</w:t>
      </w:r>
      <w:r w:rsidR="00E9702D" w:rsidRPr="00E9702D">
        <w:rPr>
          <w:rFonts w:eastAsia="標楷體"/>
          <w:spacing w:val="20"/>
          <w:sz w:val="30"/>
        </w:rPr>
        <w:t>2</w:t>
      </w:r>
      <w:r w:rsidR="00BC6459">
        <w:rPr>
          <w:rFonts w:eastAsia="標楷體"/>
          <w:spacing w:val="20"/>
          <w:sz w:val="30"/>
        </w:rPr>
        <w:t>,</w:t>
      </w:r>
      <w:r w:rsidR="00E9702D" w:rsidRPr="00E9702D">
        <w:rPr>
          <w:rFonts w:eastAsia="標楷體"/>
          <w:spacing w:val="20"/>
          <w:sz w:val="30"/>
        </w:rPr>
        <w:t>262</w:t>
      </w:r>
      <w:r w:rsidRPr="005C5E31">
        <w:rPr>
          <w:rFonts w:eastAsia="標楷體" w:hint="eastAsia"/>
          <w:spacing w:val="20"/>
          <w:sz w:val="30"/>
        </w:rPr>
        <w:t>億餘元，較預算數</w:t>
      </w:r>
      <w:r w:rsidR="00E9702D" w:rsidRPr="00E9702D">
        <w:rPr>
          <w:rFonts w:eastAsia="標楷體"/>
          <w:spacing w:val="20"/>
          <w:sz w:val="30"/>
        </w:rPr>
        <w:t>2</w:t>
      </w:r>
      <w:r w:rsidR="00E9702D">
        <w:rPr>
          <w:rFonts w:eastAsia="標楷體" w:hint="eastAsia"/>
          <w:spacing w:val="20"/>
          <w:sz w:val="30"/>
        </w:rPr>
        <w:t>兆</w:t>
      </w:r>
      <w:r w:rsidR="00E9702D" w:rsidRPr="00E9702D">
        <w:rPr>
          <w:rFonts w:eastAsia="標楷體"/>
          <w:spacing w:val="20"/>
          <w:sz w:val="30"/>
        </w:rPr>
        <w:t>5</w:t>
      </w:r>
      <w:r w:rsidR="00BC6459">
        <w:rPr>
          <w:rFonts w:eastAsia="標楷體"/>
          <w:spacing w:val="20"/>
          <w:sz w:val="30"/>
        </w:rPr>
        <w:t>,</w:t>
      </w:r>
      <w:r w:rsidR="00E9702D" w:rsidRPr="00E9702D">
        <w:rPr>
          <w:rFonts w:eastAsia="標楷體"/>
          <w:spacing w:val="20"/>
          <w:sz w:val="30"/>
        </w:rPr>
        <w:t>130</w:t>
      </w:r>
      <w:r w:rsidRPr="005C5E31">
        <w:rPr>
          <w:rFonts w:eastAsia="標楷體" w:hint="eastAsia"/>
          <w:spacing w:val="20"/>
          <w:sz w:val="30"/>
        </w:rPr>
        <w:t>億餘元，計增加</w:t>
      </w:r>
      <w:r w:rsidR="00933D56">
        <w:rPr>
          <w:rFonts w:eastAsia="標楷體"/>
          <w:spacing w:val="20"/>
          <w:sz w:val="30"/>
        </w:rPr>
        <w:t>7,132</w:t>
      </w:r>
      <w:r w:rsidRPr="005C5E31">
        <w:rPr>
          <w:rFonts w:eastAsia="標楷體" w:hint="eastAsia"/>
          <w:spacing w:val="20"/>
          <w:sz w:val="30"/>
        </w:rPr>
        <w:t>億餘元，約</w:t>
      </w:r>
      <w:r w:rsidR="00BC6459">
        <w:rPr>
          <w:rFonts w:eastAsia="標楷體"/>
          <w:spacing w:val="20"/>
          <w:sz w:val="30"/>
        </w:rPr>
        <w:t>28.4</w:t>
      </w:r>
      <w:r w:rsidRPr="005C5E31">
        <w:rPr>
          <w:rFonts w:eastAsia="標楷體" w:hint="eastAsia"/>
          <w:spacing w:val="20"/>
          <w:sz w:val="30"/>
        </w:rPr>
        <w:t>％。</w:t>
      </w:r>
    </w:p>
    <w:p w:rsidR="00177136" w:rsidRPr="005C5E31" w:rsidRDefault="00177136" w:rsidP="00177136">
      <w:pPr>
        <w:adjustRightInd w:val="0"/>
        <w:spacing w:line="360" w:lineRule="auto"/>
        <w:ind w:left="1248" w:hanging="227"/>
        <w:jc w:val="both"/>
        <w:rPr>
          <w:rFonts w:eastAsia="標楷體"/>
          <w:spacing w:val="20"/>
          <w:sz w:val="30"/>
        </w:rPr>
      </w:pPr>
      <w:r w:rsidRPr="005C5E31">
        <w:rPr>
          <w:rFonts w:eastAsia="標楷體"/>
          <w:spacing w:val="20"/>
          <w:sz w:val="30"/>
        </w:rPr>
        <w:t>2.</w:t>
      </w:r>
      <w:r w:rsidRPr="005C5E31">
        <w:rPr>
          <w:rFonts w:eastAsia="標楷體" w:hint="eastAsia"/>
          <w:spacing w:val="20"/>
          <w:sz w:val="30"/>
        </w:rPr>
        <w:t>營業成本共列</w:t>
      </w:r>
      <w:r w:rsidR="00BC6459" w:rsidRPr="00BC6459">
        <w:rPr>
          <w:rFonts w:eastAsia="標楷體"/>
          <w:spacing w:val="20"/>
          <w:sz w:val="30"/>
        </w:rPr>
        <w:t>3</w:t>
      </w:r>
      <w:r w:rsidR="00BC6459">
        <w:rPr>
          <w:rFonts w:eastAsia="標楷體" w:hint="eastAsia"/>
          <w:spacing w:val="20"/>
          <w:sz w:val="30"/>
        </w:rPr>
        <w:t>兆</w:t>
      </w:r>
      <w:r w:rsidR="00BC6459" w:rsidRPr="00BC6459">
        <w:rPr>
          <w:rFonts w:eastAsia="標楷體"/>
          <w:spacing w:val="20"/>
          <w:sz w:val="30"/>
        </w:rPr>
        <w:t>2,787</w:t>
      </w:r>
      <w:r w:rsidR="00C63446" w:rsidRPr="005C5E31">
        <w:rPr>
          <w:rFonts w:eastAsia="標楷體" w:hint="eastAsia"/>
          <w:spacing w:val="20"/>
          <w:sz w:val="30"/>
        </w:rPr>
        <w:t>億餘元，較預算數</w:t>
      </w:r>
      <w:r w:rsidR="00C63446">
        <w:rPr>
          <w:rFonts w:eastAsia="標楷體"/>
          <w:spacing w:val="20"/>
          <w:sz w:val="30"/>
        </w:rPr>
        <w:t>2</w:t>
      </w:r>
      <w:r w:rsidR="00C63446">
        <w:rPr>
          <w:rFonts w:eastAsia="標楷體" w:hint="eastAsia"/>
          <w:spacing w:val="20"/>
          <w:sz w:val="30"/>
        </w:rPr>
        <w:t>兆</w:t>
      </w:r>
      <w:r w:rsidR="00BC6459" w:rsidRPr="00BC6459">
        <w:rPr>
          <w:rFonts w:eastAsia="標楷體"/>
          <w:spacing w:val="20"/>
          <w:sz w:val="30"/>
        </w:rPr>
        <w:t>1,427</w:t>
      </w:r>
      <w:r w:rsidR="00C63446" w:rsidRPr="005C5E31">
        <w:rPr>
          <w:rFonts w:eastAsia="標楷體" w:hint="eastAsia"/>
          <w:spacing w:val="20"/>
          <w:sz w:val="30"/>
        </w:rPr>
        <w:t>億</w:t>
      </w:r>
      <w:r w:rsidRPr="005C5E31">
        <w:rPr>
          <w:rFonts w:eastAsia="標楷體" w:hint="eastAsia"/>
          <w:spacing w:val="20"/>
          <w:sz w:val="30"/>
        </w:rPr>
        <w:t>餘元，計</w:t>
      </w:r>
      <w:r w:rsidR="00BC6459">
        <w:rPr>
          <w:rFonts w:eastAsia="標楷體" w:hint="eastAsia"/>
          <w:spacing w:val="20"/>
          <w:sz w:val="30"/>
        </w:rPr>
        <w:t>增加</w:t>
      </w:r>
      <w:r w:rsidR="00BC6459" w:rsidRPr="00BC6459">
        <w:rPr>
          <w:rFonts w:eastAsia="標楷體"/>
          <w:spacing w:val="20"/>
          <w:sz w:val="30"/>
        </w:rPr>
        <w:t>1</w:t>
      </w:r>
      <w:r w:rsidR="00BC6459">
        <w:rPr>
          <w:rFonts w:eastAsia="標楷體" w:hint="eastAsia"/>
          <w:spacing w:val="20"/>
          <w:sz w:val="30"/>
        </w:rPr>
        <w:t>兆</w:t>
      </w:r>
      <w:r w:rsidR="00BC6459" w:rsidRPr="00BC6459">
        <w:rPr>
          <w:rFonts w:eastAsia="標楷體"/>
          <w:spacing w:val="20"/>
          <w:sz w:val="30"/>
        </w:rPr>
        <w:t>1,360</w:t>
      </w:r>
      <w:r w:rsidR="00467A94">
        <w:rPr>
          <w:rFonts w:eastAsia="標楷體" w:hint="eastAsia"/>
          <w:spacing w:val="20"/>
          <w:sz w:val="30"/>
        </w:rPr>
        <w:t>億餘元，</w:t>
      </w:r>
      <w:r w:rsidR="00BC6459" w:rsidRPr="005C5E31">
        <w:rPr>
          <w:rFonts w:eastAsia="標楷體" w:hint="eastAsia"/>
          <w:spacing w:val="20"/>
          <w:sz w:val="30"/>
        </w:rPr>
        <w:t>約</w:t>
      </w:r>
      <w:r w:rsidR="00BC6459">
        <w:rPr>
          <w:rFonts w:eastAsia="標楷體"/>
          <w:spacing w:val="20"/>
          <w:sz w:val="30"/>
        </w:rPr>
        <w:t>53</w:t>
      </w:r>
      <w:r w:rsidRPr="005C5E31">
        <w:rPr>
          <w:rFonts w:eastAsia="標楷體" w:hint="eastAsia"/>
          <w:spacing w:val="20"/>
          <w:sz w:val="30"/>
        </w:rPr>
        <w:t>％。</w:t>
      </w:r>
    </w:p>
    <w:p w:rsidR="00177136" w:rsidRPr="005C5E31" w:rsidRDefault="00177136" w:rsidP="00177136">
      <w:pPr>
        <w:adjustRightInd w:val="0"/>
        <w:spacing w:line="360" w:lineRule="auto"/>
        <w:ind w:left="1248" w:hanging="227"/>
        <w:jc w:val="both"/>
        <w:rPr>
          <w:rFonts w:eastAsia="標楷體"/>
          <w:spacing w:val="20"/>
          <w:sz w:val="30"/>
        </w:rPr>
      </w:pPr>
      <w:r w:rsidRPr="005C5E31">
        <w:rPr>
          <w:rFonts w:eastAsia="標楷體"/>
          <w:spacing w:val="20"/>
          <w:sz w:val="30"/>
        </w:rPr>
        <w:t>3.</w:t>
      </w:r>
      <w:r w:rsidRPr="005C5E31">
        <w:rPr>
          <w:rFonts w:eastAsia="標楷體" w:hint="eastAsia"/>
          <w:spacing w:val="20"/>
          <w:sz w:val="30"/>
        </w:rPr>
        <w:t>營業費用共列</w:t>
      </w:r>
      <w:r w:rsidR="00BC6459" w:rsidRPr="00BC6459">
        <w:rPr>
          <w:rFonts w:eastAsia="標楷體"/>
          <w:spacing w:val="20"/>
          <w:sz w:val="30"/>
        </w:rPr>
        <w:t>1,344</w:t>
      </w:r>
      <w:r w:rsidRPr="005C5E31">
        <w:rPr>
          <w:rFonts w:eastAsia="標楷體" w:hint="eastAsia"/>
          <w:spacing w:val="20"/>
          <w:sz w:val="30"/>
        </w:rPr>
        <w:t>億餘元，較預算數</w:t>
      </w:r>
      <w:r w:rsidR="00BC6459" w:rsidRPr="00BC6459">
        <w:rPr>
          <w:rFonts w:eastAsia="標楷體"/>
          <w:spacing w:val="20"/>
          <w:sz w:val="30"/>
        </w:rPr>
        <w:t>1,341</w:t>
      </w:r>
      <w:r w:rsidRPr="005C5E31">
        <w:rPr>
          <w:rFonts w:eastAsia="標楷體" w:hint="eastAsia"/>
          <w:spacing w:val="20"/>
          <w:sz w:val="30"/>
        </w:rPr>
        <w:t>億餘元，計</w:t>
      </w:r>
      <w:r w:rsidR="00BC6459">
        <w:rPr>
          <w:rFonts w:eastAsia="標楷體" w:hint="eastAsia"/>
          <w:spacing w:val="20"/>
          <w:sz w:val="30"/>
        </w:rPr>
        <w:t>增加</w:t>
      </w:r>
      <w:r w:rsidR="0059717B">
        <w:rPr>
          <w:rFonts w:eastAsia="標楷體"/>
          <w:spacing w:val="20"/>
          <w:sz w:val="30"/>
        </w:rPr>
        <w:t>2</w:t>
      </w:r>
      <w:r w:rsidRPr="005C5E31">
        <w:rPr>
          <w:rFonts w:eastAsia="標楷體" w:hint="eastAsia"/>
          <w:spacing w:val="20"/>
          <w:sz w:val="30"/>
        </w:rPr>
        <w:t>億餘元，約</w:t>
      </w:r>
      <w:r w:rsidR="00BC6459">
        <w:rPr>
          <w:rFonts w:eastAsia="標楷體"/>
          <w:spacing w:val="20"/>
          <w:sz w:val="30"/>
        </w:rPr>
        <w:t>0.2</w:t>
      </w:r>
      <w:r w:rsidRPr="005C5E31">
        <w:rPr>
          <w:rFonts w:eastAsia="標楷體" w:hint="eastAsia"/>
          <w:spacing w:val="20"/>
          <w:sz w:val="30"/>
        </w:rPr>
        <w:t>％。</w:t>
      </w:r>
    </w:p>
    <w:p w:rsidR="00177136" w:rsidRPr="005C5E31" w:rsidRDefault="00177136" w:rsidP="00177136">
      <w:pPr>
        <w:spacing w:line="360" w:lineRule="auto"/>
        <w:ind w:left="1248" w:hanging="227"/>
        <w:jc w:val="both"/>
        <w:outlineLvl w:val="0"/>
        <w:rPr>
          <w:rFonts w:eastAsia="標楷體"/>
          <w:spacing w:val="20"/>
          <w:sz w:val="30"/>
        </w:rPr>
      </w:pPr>
      <w:r w:rsidRPr="005C5E31">
        <w:rPr>
          <w:rFonts w:eastAsia="標楷體" w:hint="eastAsia"/>
          <w:spacing w:val="20"/>
          <w:sz w:val="30"/>
        </w:rPr>
        <w:t>4.</w:t>
      </w:r>
      <w:r w:rsidRPr="005C5E31">
        <w:rPr>
          <w:rFonts w:eastAsia="標楷體" w:hint="eastAsia"/>
          <w:spacing w:val="20"/>
          <w:sz w:val="30"/>
        </w:rPr>
        <w:t>以上營業收支相抵後，</w:t>
      </w:r>
      <w:r w:rsidR="00133109">
        <w:rPr>
          <w:rFonts w:eastAsia="標楷體" w:hint="eastAsia"/>
          <w:spacing w:val="20"/>
          <w:sz w:val="30"/>
        </w:rPr>
        <w:t>產生</w:t>
      </w:r>
      <w:r w:rsidRPr="005C5E31">
        <w:rPr>
          <w:rFonts w:eastAsia="標楷體" w:hint="eastAsia"/>
          <w:spacing w:val="20"/>
          <w:sz w:val="30"/>
        </w:rPr>
        <w:t>營業</w:t>
      </w:r>
      <w:r w:rsidR="00BC6459">
        <w:rPr>
          <w:rFonts w:eastAsia="標楷體" w:hint="eastAsia"/>
          <w:spacing w:val="20"/>
          <w:sz w:val="30"/>
        </w:rPr>
        <w:t>損失</w:t>
      </w:r>
      <w:r w:rsidR="00BC6459">
        <w:rPr>
          <w:rFonts w:eastAsia="標楷體"/>
          <w:spacing w:val="20"/>
          <w:sz w:val="30"/>
        </w:rPr>
        <w:t>1,869</w:t>
      </w:r>
      <w:r w:rsidRPr="005C5E31">
        <w:rPr>
          <w:rFonts w:eastAsia="標楷體" w:hint="eastAsia"/>
          <w:spacing w:val="20"/>
          <w:sz w:val="30"/>
        </w:rPr>
        <w:t>億餘元，較</w:t>
      </w:r>
      <w:r w:rsidR="00BC6459" w:rsidRPr="00BC6459">
        <w:rPr>
          <w:rFonts w:eastAsia="標楷體" w:hint="eastAsia"/>
          <w:spacing w:val="20"/>
          <w:sz w:val="30"/>
        </w:rPr>
        <w:t>營業利益</w:t>
      </w:r>
      <w:r w:rsidRPr="005C5E31">
        <w:rPr>
          <w:rFonts w:eastAsia="標楷體" w:hint="eastAsia"/>
          <w:spacing w:val="20"/>
          <w:sz w:val="30"/>
        </w:rPr>
        <w:t>預算數</w:t>
      </w:r>
      <w:r w:rsidR="00BC6459" w:rsidRPr="00BC6459">
        <w:rPr>
          <w:rFonts w:eastAsia="標楷體"/>
          <w:spacing w:val="20"/>
          <w:sz w:val="30"/>
        </w:rPr>
        <w:t>2</w:t>
      </w:r>
      <w:r w:rsidR="00BC6459">
        <w:rPr>
          <w:rFonts w:eastAsia="標楷體"/>
          <w:spacing w:val="20"/>
          <w:sz w:val="30"/>
        </w:rPr>
        <w:t>,</w:t>
      </w:r>
      <w:r w:rsidR="00BC6459" w:rsidRPr="00BC6459">
        <w:rPr>
          <w:rFonts w:eastAsia="標楷體"/>
          <w:spacing w:val="20"/>
          <w:sz w:val="30"/>
        </w:rPr>
        <w:t>361</w:t>
      </w:r>
      <w:r w:rsidRPr="005C5E31">
        <w:rPr>
          <w:rFonts w:eastAsia="標楷體" w:hint="eastAsia"/>
          <w:spacing w:val="20"/>
          <w:sz w:val="30"/>
        </w:rPr>
        <w:t>億餘元</w:t>
      </w:r>
      <w:r w:rsidR="00BC6459">
        <w:rPr>
          <w:rFonts w:eastAsia="標楷體" w:hint="eastAsia"/>
          <w:spacing w:val="20"/>
          <w:sz w:val="30"/>
        </w:rPr>
        <w:t>反盈為虧，相差</w:t>
      </w:r>
      <w:r w:rsidR="00BC6459">
        <w:rPr>
          <w:rFonts w:eastAsia="標楷體" w:hint="eastAsia"/>
          <w:spacing w:val="20"/>
          <w:sz w:val="30"/>
        </w:rPr>
        <w:t>4</w:t>
      </w:r>
      <w:r w:rsidR="00BC6459">
        <w:rPr>
          <w:rFonts w:eastAsia="標楷體"/>
          <w:spacing w:val="20"/>
          <w:sz w:val="30"/>
        </w:rPr>
        <w:t>,230</w:t>
      </w:r>
      <w:r w:rsidRPr="005C5E31">
        <w:rPr>
          <w:rFonts w:eastAsia="標楷體" w:hint="eastAsia"/>
          <w:spacing w:val="20"/>
          <w:sz w:val="30"/>
        </w:rPr>
        <w:t>億餘元。</w:t>
      </w:r>
    </w:p>
    <w:p w:rsidR="00177136" w:rsidRPr="005C5E31" w:rsidRDefault="00177136" w:rsidP="00177136">
      <w:pPr>
        <w:spacing w:beforeLines="50" w:before="120" w:line="360" w:lineRule="auto"/>
        <w:ind w:left="482"/>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二</w:t>
      </w:r>
      <w:r w:rsidRPr="005C5E31">
        <w:rPr>
          <w:rFonts w:eastAsia="標楷體" w:hint="eastAsia"/>
          <w:b/>
          <w:spacing w:val="20"/>
          <w:sz w:val="30"/>
          <w:szCs w:val="30"/>
        </w:rPr>
        <w:t>)</w:t>
      </w:r>
      <w:r w:rsidR="001E4026" w:rsidRPr="005C5E31">
        <w:rPr>
          <w:rFonts w:eastAsia="標楷體" w:hint="eastAsia"/>
          <w:b/>
          <w:spacing w:val="20"/>
          <w:sz w:val="30"/>
          <w:szCs w:val="30"/>
        </w:rPr>
        <w:t>本期</w:t>
      </w:r>
      <w:r w:rsidR="00BC6459" w:rsidRPr="00BC6459">
        <w:rPr>
          <w:rFonts w:eastAsia="標楷體" w:hint="eastAsia"/>
          <w:b/>
          <w:spacing w:val="20"/>
          <w:sz w:val="30"/>
          <w:szCs w:val="30"/>
        </w:rPr>
        <w:t>淨損</w:t>
      </w:r>
    </w:p>
    <w:p w:rsidR="00177136" w:rsidRPr="005C5E31" w:rsidRDefault="00177136" w:rsidP="00F75086">
      <w:pPr>
        <w:adjustRightInd w:val="0"/>
        <w:spacing w:beforeLines="50" w:before="120" w:line="360" w:lineRule="auto"/>
        <w:ind w:left="1021" w:rightChars="-106" w:right="-254"/>
        <w:rPr>
          <w:rFonts w:eastAsia="標楷體"/>
          <w:spacing w:val="20"/>
          <w:sz w:val="30"/>
        </w:rPr>
      </w:pPr>
      <w:r w:rsidRPr="005C5E31">
        <w:rPr>
          <w:rFonts w:eastAsia="標楷體" w:hint="eastAsia"/>
          <w:spacing w:val="20"/>
          <w:sz w:val="30"/>
        </w:rPr>
        <w:lastRenderedPageBreak/>
        <w:t>本年度決算國營事業收入總額與支出總額相抵後之淨</w:t>
      </w:r>
      <w:r w:rsidR="00BC6459">
        <w:rPr>
          <w:rFonts w:eastAsia="標楷體" w:hint="eastAsia"/>
          <w:spacing w:val="20"/>
          <w:sz w:val="30"/>
        </w:rPr>
        <w:t>損</w:t>
      </w:r>
      <w:r w:rsidRPr="005C5E31">
        <w:rPr>
          <w:rFonts w:eastAsia="標楷體" w:hint="eastAsia"/>
          <w:spacing w:val="20"/>
          <w:sz w:val="30"/>
        </w:rPr>
        <w:t>如下：</w:t>
      </w:r>
    </w:p>
    <w:p w:rsidR="00177136" w:rsidRPr="005C5E31" w:rsidRDefault="00177136" w:rsidP="00177136">
      <w:pPr>
        <w:adjustRightInd w:val="0"/>
        <w:spacing w:line="360" w:lineRule="auto"/>
        <w:ind w:left="1248" w:hanging="227"/>
        <w:jc w:val="both"/>
        <w:rPr>
          <w:rFonts w:eastAsia="標楷體"/>
          <w:spacing w:val="20"/>
          <w:sz w:val="30"/>
        </w:rPr>
      </w:pPr>
      <w:r w:rsidRPr="005C5E31">
        <w:rPr>
          <w:rFonts w:eastAsia="標楷體"/>
          <w:spacing w:val="20"/>
          <w:sz w:val="30"/>
        </w:rPr>
        <w:t>1.</w:t>
      </w:r>
      <w:r w:rsidRPr="005C5E31">
        <w:rPr>
          <w:rFonts w:eastAsia="標楷體" w:hint="eastAsia"/>
          <w:spacing w:val="20"/>
          <w:sz w:val="30"/>
        </w:rPr>
        <w:t>營業收入及營業外收入共列</w:t>
      </w:r>
      <w:r w:rsidR="00BC6459">
        <w:rPr>
          <w:rFonts w:eastAsia="標楷體"/>
          <w:spacing w:val="20"/>
          <w:sz w:val="30"/>
        </w:rPr>
        <w:t>3</w:t>
      </w:r>
      <w:r w:rsidR="00763D9A" w:rsidRPr="005C5E31">
        <w:rPr>
          <w:rFonts w:eastAsia="標楷體" w:hint="eastAsia"/>
          <w:spacing w:val="20"/>
          <w:sz w:val="30"/>
        </w:rPr>
        <w:t>兆</w:t>
      </w:r>
      <w:r w:rsidR="00BC6459" w:rsidRPr="00BC6459">
        <w:rPr>
          <w:rFonts w:eastAsia="標楷體"/>
          <w:spacing w:val="20"/>
          <w:sz w:val="30"/>
        </w:rPr>
        <w:t>3,19</w:t>
      </w:r>
      <w:r w:rsidR="00BC6459">
        <w:rPr>
          <w:rFonts w:eastAsia="標楷體"/>
          <w:spacing w:val="20"/>
          <w:sz w:val="30"/>
        </w:rPr>
        <w:t>6</w:t>
      </w:r>
      <w:r w:rsidRPr="005C5E31">
        <w:rPr>
          <w:rFonts w:eastAsia="標楷體" w:hint="eastAsia"/>
          <w:spacing w:val="20"/>
          <w:sz w:val="30"/>
        </w:rPr>
        <w:t>億餘元，較預算數</w:t>
      </w:r>
      <w:r w:rsidR="00763D9A" w:rsidRPr="005C5E31">
        <w:rPr>
          <w:rFonts w:eastAsia="標楷體"/>
          <w:spacing w:val="20"/>
          <w:sz w:val="30"/>
        </w:rPr>
        <w:t>2</w:t>
      </w:r>
      <w:r w:rsidR="00763D9A" w:rsidRPr="005C5E31">
        <w:rPr>
          <w:rFonts w:eastAsia="標楷體" w:hint="eastAsia"/>
          <w:spacing w:val="20"/>
          <w:sz w:val="30"/>
        </w:rPr>
        <w:t>兆</w:t>
      </w:r>
      <w:r w:rsidR="00BC6459" w:rsidRPr="00BC6459">
        <w:rPr>
          <w:rFonts w:eastAsia="標楷體"/>
          <w:spacing w:val="20"/>
          <w:sz w:val="30"/>
        </w:rPr>
        <w:t>5,379</w:t>
      </w:r>
      <w:r w:rsidRPr="005C5E31">
        <w:rPr>
          <w:rFonts w:eastAsia="標楷體" w:hint="eastAsia"/>
          <w:spacing w:val="20"/>
          <w:sz w:val="30"/>
        </w:rPr>
        <w:t>億餘元，計增加</w:t>
      </w:r>
      <w:r w:rsidR="00BC6459" w:rsidRPr="00BC6459">
        <w:rPr>
          <w:rFonts w:eastAsia="標楷體"/>
          <w:spacing w:val="20"/>
          <w:sz w:val="30"/>
        </w:rPr>
        <w:t>7,817</w:t>
      </w:r>
      <w:r w:rsidRPr="005C5E31">
        <w:rPr>
          <w:rFonts w:eastAsia="標楷體" w:hint="eastAsia"/>
          <w:spacing w:val="20"/>
          <w:sz w:val="30"/>
        </w:rPr>
        <w:t>億餘元，約</w:t>
      </w:r>
      <w:r w:rsidR="00BC6459">
        <w:rPr>
          <w:rFonts w:eastAsia="標楷體"/>
          <w:spacing w:val="20"/>
          <w:sz w:val="30"/>
        </w:rPr>
        <w:t>30.8</w:t>
      </w:r>
      <w:r w:rsidRPr="005C5E31">
        <w:rPr>
          <w:rFonts w:eastAsia="標楷體" w:hint="eastAsia"/>
          <w:spacing w:val="20"/>
          <w:sz w:val="30"/>
        </w:rPr>
        <w:t>％。</w:t>
      </w:r>
    </w:p>
    <w:p w:rsidR="00177136" w:rsidRPr="005C5E31" w:rsidRDefault="00177136" w:rsidP="00CB3D75">
      <w:pPr>
        <w:adjustRightInd w:val="0"/>
        <w:spacing w:line="520" w:lineRule="exact"/>
        <w:ind w:left="1248" w:hanging="227"/>
        <w:jc w:val="both"/>
        <w:rPr>
          <w:rFonts w:eastAsia="標楷體"/>
          <w:spacing w:val="20"/>
          <w:sz w:val="30"/>
        </w:rPr>
      </w:pPr>
      <w:r w:rsidRPr="005C5E31">
        <w:rPr>
          <w:rFonts w:eastAsia="標楷體"/>
          <w:spacing w:val="20"/>
          <w:sz w:val="30"/>
        </w:rPr>
        <w:t>2.</w:t>
      </w:r>
      <w:r w:rsidRPr="005C5E31">
        <w:rPr>
          <w:rFonts w:eastAsia="標楷體" w:hint="eastAsia"/>
          <w:spacing w:val="20"/>
          <w:sz w:val="30"/>
        </w:rPr>
        <w:t>營業成本、營業費用</w:t>
      </w:r>
      <w:r w:rsidR="003B7D4A">
        <w:rPr>
          <w:rFonts w:eastAsia="標楷體" w:hint="eastAsia"/>
          <w:spacing w:val="20"/>
          <w:sz w:val="30"/>
        </w:rPr>
        <w:t>及</w:t>
      </w:r>
      <w:r w:rsidRPr="005C5E31">
        <w:rPr>
          <w:rFonts w:eastAsia="標楷體" w:hint="eastAsia"/>
          <w:spacing w:val="20"/>
          <w:sz w:val="30"/>
        </w:rPr>
        <w:t>營業外費用</w:t>
      </w:r>
      <w:r w:rsidR="003B7D4A">
        <w:rPr>
          <w:rFonts w:eastAsia="標楷體" w:hint="eastAsia"/>
          <w:spacing w:val="20"/>
          <w:sz w:val="30"/>
        </w:rPr>
        <w:t>，經</w:t>
      </w:r>
      <w:r w:rsidR="00BA1072">
        <w:rPr>
          <w:rFonts w:eastAsia="標楷體" w:hint="eastAsia"/>
          <w:spacing w:val="20"/>
          <w:sz w:val="30"/>
        </w:rPr>
        <w:t>扣</w:t>
      </w:r>
      <w:r w:rsidR="003B7D4A">
        <w:rPr>
          <w:rFonts w:eastAsia="標楷體" w:hint="eastAsia"/>
          <w:spacing w:val="20"/>
          <w:sz w:val="30"/>
        </w:rPr>
        <w:t>抵</w:t>
      </w:r>
      <w:r w:rsidRPr="005C5E31">
        <w:rPr>
          <w:rFonts w:eastAsia="標楷體" w:hint="eastAsia"/>
          <w:spacing w:val="20"/>
          <w:sz w:val="30"/>
        </w:rPr>
        <w:t>所得稅</w:t>
      </w:r>
      <w:r w:rsidR="00713F27" w:rsidRPr="00713F27">
        <w:rPr>
          <w:rFonts w:eastAsia="標楷體" w:hint="eastAsia"/>
          <w:spacing w:val="20"/>
          <w:sz w:val="30"/>
        </w:rPr>
        <w:t>利益</w:t>
      </w:r>
      <w:r w:rsidR="003B7D4A">
        <w:rPr>
          <w:rFonts w:eastAsia="標楷體" w:hint="eastAsia"/>
          <w:spacing w:val="20"/>
          <w:sz w:val="30"/>
        </w:rPr>
        <w:t>（為所稅費用之減項）</w:t>
      </w:r>
      <w:r w:rsidR="003B7D4A" w:rsidRPr="003B7D4A">
        <w:rPr>
          <w:rFonts w:eastAsia="標楷體"/>
          <w:spacing w:val="20"/>
          <w:sz w:val="30"/>
        </w:rPr>
        <w:t>269</w:t>
      </w:r>
      <w:r w:rsidR="003B7D4A">
        <w:rPr>
          <w:rFonts w:eastAsia="標楷體" w:hint="eastAsia"/>
          <w:spacing w:val="20"/>
          <w:sz w:val="30"/>
        </w:rPr>
        <w:t>億餘元後，</w:t>
      </w:r>
      <w:r w:rsidRPr="005C5E31">
        <w:rPr>
          <w:rFonts w:eastAsia="標楷體" w:hint="eastAsia"/>
          <w:spacing w:val="20"/>
          <w:sz w:val="30"/>
        </w:rPr>
        <w:t>共列為</w:t>
      </w:r>
      <w:r w:rsidR="00713F27">
        <w:rPr>
          <w:rFonts w:eastAsia="標楷體"/>
          <w:spacing w:val="20"/>
          <w:sz w:val="30"/>
        </w:rPr>
        <w:t>3</w:t>
      </w:r>
      <w:r w:rsidR="00673A5D" w:rsidRPr="00673A5D">
        <w:rPr>
          <w:rFonts w:eastAsia="標楷體" w:hint="eastAsia"/>
          <w:spacing w:val="20"/>
          <w:sz w:val="30"/>
        </w:rPr>
        <w:t>兆</w:t>
      </w:r>
      <w:r w:rsidR="00713F27" w:rsidRPr="00713F27">
        <w:rPr>
          <w:rFonts w:eastAsia="標楷體"/>
          <w:spacing w:val="20"/>
          <w:sz w:val="30"/>
        </w:rPr>
        <w:t>4,613</w:t>
      </w:r>
      <w:r w:rsidRPr="005C5E31">
        <w:rPr>
          <w:rFonts w:eastAsia="標楷體" w:hint="eastAsia"/>
          <w:spacing w:val="20"/>
          <w:sz w:val="30"/>
        </w:rPr>
        <w:t>億餘元，較預算數</w:t>
      </w:r>
      <w:r w:rsidR="00D8699C" w:rsidRPr="005C5E31">
        <w:rPr>
          <w:rFonts w:eastAsia="標楷體" w:hint="eastAsia"/>
          <w:spacing w:val="20"/>
          <w:sz w:val="30"/>
        </w:rPr>
        <w:t>2</w:t>
      </w:r>
      <w:r w:rsidR="00D8699C" w:rsidRPr="005C5E31">
        <w:rPr>
          <w:rFonts w:eastAsia="標楷體" w:hint="eastAsia"/>
          <w:spacing w:val="20"/>
          <w:sz w:val="30"/>
        </w:rPr>
        <w:t>兆</w:t>
      </w:r>
      <w:r w:rsidR="00713F27" w:rsidRPr="00713F27">
        <w:rPr>
          <w:rFonts w:eastAsia="標楷體"/>
          <w:spacing w:val="20"/>
          <w:sz w:val="30"/>
        </w:rPr>
        <w:t>3,377</w:t>
      </w:r>
      <w:r w:rsidRPr="005C5E31">
        <w:rPr>
          <w:rFonts w:eastAsia="標楷體" w:hint="eastAsia"/>
          <w:spacing w:val="20"/>
          <w:sz w:val="30"/>
        </w:rPr>
        <w:t>億餘元，計增加</w:t>
      </w:r>
      <w:r w:rsidR="00713F27" w:rsidRPr="00713F27">
        <w:rPr>
          <w:rFonts w:eastAsia="標楷體"/>
          <w:spacing w:val="20"/>
          <w:sz w:val="30"/>
        </w:rPr>
        <w:t>1</w:t>
      </w:r>
      <w:r w:rsidR="00713F27">
        <w:rPr>
          <w:rFonts w:eastAsia="標楷體" w:hint="eastAsia"/>
          <w:spacing w:val="20"/>
          <w:sz w:val="30"/>
        </w:rPr>
        <w:t>兆</w:t>
      </w:r>
      <w:r w:rsidR="00713F27" w:rsidRPr="00713F27">
        <w:rPr>
          <w:rFonts w:eastAsia="標楷體"/>
          <w:spacing w:val="20"/>
          <w:sz w:val="30"/>
        </w:rPr>
        <w:t>1,235</w:t>
      </w:r>
      <w:r w:rsidRPr="005C5E31">
        <w:rPr>
          <w:rFonts w:eastAsia="標楷體" w:hint="eastAsia"/>
          <w:spacing w:val="20"/>
          <w:sz w:val="30"/>
        </w:rPr>
        <w:t>億餘元，約</w:t>
      </w:r>
      <w:r w:rsidR="00713F27" w:rsidRPr="00713F27">
        <w:rPr>
          <w:rFonts w:eastAsia="標楷體"/>
          <w:spacing w:val="20"/>
          <w:sz w:val="30"/>
        </w:rPr>
        <w:t>48.1</w:t>
      </w:r>
      <w:r w:rsidRPr="005C5E31">
        <w:rPr>
          <w:rFonts w:eastAsia="標楷體" w:hint="eastAsia"/>
          <w:spacing w:val="20"/>
          <w:sz w:val="30"/>
        </w:rPr>
        <w:t>％。</w:t>
      </w:r>
    </w:p>
    <w:p w:rsidR="00DE6D6C" w:rsidRPr="005C5E31" w:rsidRDefault="00177136" w:rsidP="00CB3D75">
      <w:pPr>
        <w:tabs>
          <w:tab w:val="left" w:pos="960"/>
        </w:tabs>
        <w:spacing w:line="520" w:lineRule="exact"/>
        <w:ind w:leftChars="-73" w:left="1253" w:hangingChars="420" w:hanging="1428"/>
        <w:jc w:val="both"/>
        <w:rPr>
          <w:rFonts w:eastAsia="標楷體"/>
          <w:spacing w:val="20"/>
          <w:sz w:val="30"/>
        </w:rPr>
      </w:pPr>
      <w:r w:rsidRPr="005C5E31">
        <w:rPr>
          <w:rFonts w:eastAsia="標楷體" w:hint="eastAsia"/>
          <w:spacing w:val="20"/>
          <w:sz w:val="30"/>
        </w:rPr>
        <w:t xml:space="preserve">      </w:t>
      </w:r>
      <w:r w:rsidRPr="005C5E31">
        <w:rPr>
          <w:rFonts w:eastAsia="標楷體"/>
          <w:spacing w:val="20"/>
          <w:sz w:val="30"/>
        </w:rPr>
        <w:t>3.</w:t>
      </w:r>
      <w:r w:rsidRPr="005C5E31">
        <w:rPr>
          <w:rFonts w:eastAsia="標楷體" w:hint="eastAsia"/>
          <w:spacing w:val="20"/>
          <w:sz w:val="30"/>
        </w:rPr>
        <w:t>以上收入總額與支出總額相抵後，</w:t>
      </w:r>
      <w:r w:rsidR="00133109">
        <w:rPr>
          <w:rFonts w:eastAsia="標楷體" w:hint="eastAsia"/>
          <w:spacing w:val="20"/>
          <w:sz w:val="30"/>
        </w:rPr>
        <w:t>產生</w:t>
      </w:r>
      <w:r w:rsidRPr="005C5E31">
        <w:rPr>
          <w:rFonts w:eastAsia="標楷體" w:hint="eastAsia"/>
          <w:spacing w:val="20"/>
          <w:sz w:val="30"/>
        </w:rPr>
        <w:t>本期淨</w:t>
      </w:r>
      <w:r w:rsidR="00BA1072">
        <w:rPr>
          <w:rFonts w:eastAsia="標楷體" w:hint="eastAsia"/>
          <w:spacing w:val="20"/>
          <w:sz w:val="30"/>
        </w:rPr>
        <w:t>損</w:t>
      </w:r>
      <w:r w:rsidR="00BA1072" w:rsidRPr="00BA1072">
        <w:rPr>
          <w:rFonts w:eastAsia="標楷體"/>
          <w:spacing w:val="20"/>
          <w:sz w:val="30"/>
        </w:rPr>
        <w:t>1,416</w:t>
      </w:r>
      <w:r w:rsidRPr="005C5E31">
        <w:rPr>
          <w:rFonts w:eastAsia="標楷體" w:hint="eastAsia"/>
          <w:spacing w:val="20"/>
          <w:sz w:val="30"/>
        </w:rPr>
        <w:t>億餘元，較</w:t>
      </w:r>
      <w:r w:rsidR="00BA1072">
        <w:rPr>
          <w:rFonts w:eastAsia="標楷體" w:hint="eastAsia"/>
          <w:spacing w:val="20"/>
          <w:sz w:val="30"/>
        </w:rPr>
        <w:t>本期淨利</w:t>
      </w:r>
      <w:r w:rsidRPr="005C5E31">
        <w:rPr>
          <w:rFonts w:eastAsia="標楷體" w:hint="eastAsia"/>
          <w:spacing w:val="20"/>
          <w:sz w:val="30"/>
        </w:rPr>
        <w:t>預算數</w:t>
      </w:r>
      <w:r w:rsidR="00BA1072" w:rsidRPr="00BA1072">
        <w:rPr>
          <w:rFonts w:eastAsia="標楷體"/>
          <w:spacing w:val="20"/>
          <w:sz w:val="30"/>
        </w:rPr>
        <w:t>2,002</w:t>
      </w:r>
      <w:r w:rsidRPr="005C5E31">
        <w:rPr>
          <w:rFonts w:eastAsia="標楷體" w:hint="eastAsia"/>
          <w:spacing w:val="20"/>
          <w:sz w:val="30"/>
        </w:rPr>
        <w:t>億餘元</w:t>
      </w:r>
      <w:r w:rsidR="00BA1072">
        <w:rPr>
          <w:rFonts w:eastAsia="標楷體" w:hint="eastAsia"/>
          <w:spacing w:val="20"/>
          <w:sz w:val="30"/>
        </w:rPr>
        <w:t>反盈為虧</w:t>
      </w:r>
      <w:r w:rsidRPr="005C5E31">
        <w:rPr>
          <w:rFonts w:eastAsia="標楷體" w:hint="eastAsia"/>
          <w:spacing w:val="20"/>
          <w:sz w:val="30"/>
        </w:rPr>
        <w:t>，</w:t>
      </w:r>
      <w:r w:rsidR="00BA1072">
        <w:rPr>
          <w:rFonts w:eastAsia="標楷體" w:hint="eastAsia"/>
          <w:spacing w:val="20"/>
          <w:sz w:val="30"/>
        </w:rPr>
        <w:t>相差</w:t>
      </w:r>
      <w:r w:rsidR="00BA1072">
        <w:rPr>
          <w:rFonts w:eastAsia="標楷體" w:hint="eastAsia"/>
          <w:spacing w:val="20"/>
          <w:sz w:val="30"/>
        </w:rPr>
        <w:t>3,418</w:t>
      </w:r>
      <w:r w:rsidRPr="005C5E31">
        <w:rPr>
          <w:rFonts w:eastAsia="標楷體" w:hint="eastAsia"/>
          <w:spacing w:val="20"/>
          <w:sz w:val="30"/>
        </w:rPr>
        <w:t>億餘元。</w:t>
      </w:r>
    </w:p>
    <w:p w:rsidR="00177136" w:rsidRDefault="00177136" w:rsidP="00BD4BD4">
      <w:pPr>
        <w:tabs>
          <w:tab w:val="left" w:pos="960"/>
        </w:tabs>
        <w:spacing w:beforeLines="120" w:before="288" w:afterLines="50" w:after="120"/>
        <w:ind w:leftChars="327" w:left="785" w:firstLineChars="286" w:firstLine="916"/>
        <w:jc w:val="both"/>
        <w:rPr>
          <w:rFonts w:eastAsia="標楷體"/>
          <w:b/>
          <w:spacing w:val="20"/>
          <w:sz w:val="28"/>
          <w:szCs w:val="28"/>
        </w:rPr>
      </w:pPr>
      <w:bookmarkStart w:id="4" w:name="OLE_LINK1"/>
      <w:r w:rsidRPr="00F45FCB">
        <w:rPr>
          <w:rFonts w:eastAsia="標楷體" w:hint="eastAsia"/>
          <w:b/>
          <w:spacing w:val="20"/>
          <w:sz w:val="28"/>
          <w:szCs w:val="28"/>
        </w:rPr>
        <w:t>表</w:t>
      </w:r>
      <w:r w:rsidRPr="00F45FCB">
        <w:rPr>
          <w:rFonts w:eastAsia="標楷體" w:hint="eastAsia"/>
          <w:b/>
          <w:spacing w:val="20"/>
          <w:sz w:val="28"/>
          <w:szCs w:val="28"/>
        </w:rPr>
        <w:t xml:space="preserve">1 </w:t>
      </w:r>
      <w:r w:rsidRPr="00F45FCB">
        <w:rPr>
          <w:rFonts w:eastAsia="標楷體" w:hint="eastAsia"/>
          <w:b/>
          <w:spacing w:val="20"/>
          <w:sz w:val="28"/>
          <w:szCs w:val="28"/>
        </w:rPr>
        <w:t>國營事業</w:t>
      </w:r>
      <w:r w:rsidR="00E17694">
        <w:rPr>
          <w:rFonts w:eastAsia="標楷體" w:hint="eastAsia"/>
          <w:b/>
          <w:spacing w:val="20"/>
          <w:sz w:val="28"/>
          <w:szCs w:val="28"/>
        </w:rPr>
        <w:t>111</w:t>
      </w:r>
      <w:r w:rsidR="00E17694">
        <w:rPr>
          <w:rFonts w:eastAsia="標楷體" w:hint="eastAsia"/>
          <w:b/>
          <w:spacing w:val="20"/>
          <w:sz w:val="28"/>
          <w:szCs w:val="28"/>
        </w:rPr>
        <w:t>年度</w:t>
      </w:r>
      <w:r w:rsidRPr="00F45FCB">
        <w:rPr>
          <w:rFonts w:eastAsia="標楷體" w:hint="eastAsia"/>
          <w:b/>
          <w:spacing w:val="20"/>
          <w:sz w:val="28"/>
          <w:szCs w:val="28"/>
        </w:rPr>
        <w:t>收入</w:t>
      </w:r>
      <w:r w:rsidR="001820F4" w:rsidRPr="00F45FCB">
        <w:rPr>
          <w:rFonts w:eastAsia="標楷體" w:hint="eastAsia"/>
          <w:b/>
          <w:spacing w:val="20"/>
          <w:sz w:val="28"/>
          <w:szCs w:val="28"/>
        </w:rPr>
        <w:t>、</w:t>
      </w:r>
      <w:r w:rsidRPr="00F45FCB">
        <w:rPr>
          <w:rFonts w:eastAsia="標楷體" w:hint="eastAsia"/>
          <w:b/>
          <w:spacing w:val="20"/>
          <w:sz w:val="28"/>
          <w:szCs w:val="28"/>
        </w:rPr>
        <w:t>支出</w:t>
      </w:r>
      <w:r w:rsidR="001820F4" w:rsidRPr="00F45FCB">
        <w:rPr>
          <w:rFonts w:eastAsia="標楷體" w:hint="eastAsia"/>
          <w:b/>
          <w:spacing w:val="20"/>
          <w:sz w:val="28"/>
          <w:szCs w:val="28"/>
        </w:rPr>
        <w:t>及淨利</w:t>
      </w:r>
      <w:r w:rsidR="00E9702D">
        <w:rPr>
          <w:rFonts w:eastAsia="標楷體" w:hint="eastAsia"/>
          <w:b/>
          <w:spacing w:val="20"/>
          <w:sz w:val="28"/>
          <w:szCs w:val="28"/>
        </w:rPr>
        <w:t>（淨損）</w:t>
      </w:r>
    </w:p>
    <w:p w:rsidR="00F8779D" w:rsidRPr="00F45FCB" w:rsidRDefault="00F8779D" w:rsidP="00F8779D">
      <w:pPr>
        <w:tabs>
          <w:tab w:val="left" w:pos="960"/>
        </w:tabs>
        <w:spacing w:beforeLines="120" w:before="288" w:afterLines="50" w:after="120"/>
        <w:ind w:leftChars="327" w:left="785" w:rightChars="247" w:right="593" w:firstLineChars="286" w:firstLine="744"/>
        <w:jc w:val="right"/>
        <w:rPr>
          <w:rFonts w:eastAsia="標楷體"/>
          <w:b/>
          <w:spacing w:val="20"/>
          <w:sz w:val="28"/>
          <w:szCs w:val="28"/>
        </w:rPr>
      </w:pPr>
      <w:r w:rsidRPr="00DE6D6C">
        <w:rPr>
          <w:rFonts w:eastAsia="標楷體" w:hint="eastAsia"/>
          <w:spacing w:val="20"/>
          <w:sz w:val="22"/>
          <w:szCs w:val="22"/>
        </w:rPr>
        <w:t>單</w:t>
      </w:r>
      <w:r w:rsidRPr="00DE6D6C">
        <w:rPr>
          <w:rFonts w:eastAsia="標楷體"/>
          <w:spacing w:val="20"/>
          <w:sz w:val="22"/>
          <w:szCs w:val="22"/>
        </w:rPr>
        <w:t>位：</w:t>
      </w:r>
      <w:r w:rsidRPr="00734286">
        <w:rPr>
          <w:rFonts w:eastAsia="標楷體" w:hAnsi="標楷體" w:cs="Arial" w:hint="eastAsia"/>
          <w:sz w:val="22"/>
          <w:szCs w:val="22"/>
        </w:rPr>
        <w:t>新臺幣億元</w:t>
      </w:r>
    </w:p>
    <w:tbl>
      <w:tblPr>
        <w:tblW w:w="8075" w:type="dxa"/>
        <w:tblInd w:w="158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748"/>
        <w:gridCol w:w="1795"/>
        <w:gridCol w:w="1692"/>
        <w:gridCol w:w="1840"/>
      </w:tblGrid>
      <w:tr w:rsidR="003E72B9" w:rsidRPr="00F41611" w:rsidTr="00F8779D">
        <w:trPr>
          <w:trHeight w:val="459"/>
        </w:trPr>
        <w:tc>
          <w:tcPr>
            <w:tcW w:w="2748" w:type="dxa"/>
            <w:tcBorders>
              <w:top w:val="single" w:sz="4" w:space="0" w:color="auto"/>
              <w:bottom w:val="single" w:sz="4" w:space="0" w:color="auto"/>
            </w:tcBorders>
            <w:shd w:val="clear" w:color="auto" w:fill="auto"/>
            <w:vAlign w:val="center"/>
          </w:tcPr>
          <w:p w:rsidR="003E72B9" w:rsidRPr="00734286" w:rsidRDefault="00734286" w:rsidP="00F8779D">
            <w:pPr>
              <w:jc w:val="center"/>
              <w:rPr>
                <w:rFonts w:ascii="標楷體" w:eastAsia="標楷體" w:hAnsi="標楷體"/>
                <w:b/>
                <w:bCs/>
                <w:kern w:val="0"/>
                <w:sz w:val="20"/>
              </w:rPr>
            </w:pPr>
            <w:r w:rsidRPr="00734286">
              <w:rPr>
                <w:rFonts w:eastAsia="標楷體" w:hint="eastAsia"/>
                <w:b/>
                <w:szCs w:val="22"/>
              </w:rPr>
              <w:t>項目</w:t>
            </w:r>
          </w:p>
        </w:tc>
        <w:tc>
          <w:tcPr>
            <w:tcW w:w="1795" w:type="dxa"/>
            <w:tcBorders>
              <w:top w:val="single" w:sz="4" w:space="0" w:color="auto"/>
              <w:bottom w:val="single" w:sz="4" w:space="0" w:color="auto"/>
            </w:tcBorders>
            <w:shd w:val="clear" w:color="auto" w:fill="auto"/>
            <w:vAlign w:val="center"/>
          </w:tcPr>
          <w:p w:rsidR="003E72B9" w:rsidRPr="006F2008" w:rsidRDefault="003E72B9" w:rsidP="00F8779D">
            <w:pPr>
              <w:jc w:val="center"/>
              <w:rPr>
                <w:rFonts w:eastAsia="標楷體"/>
                <w:sz w:val="22"/>
                <w:szCs w:val="22"/>
              </w:rPr>
            </w:pPr>
            <w:r w:rsidRPr="00734286">
              <w:rPr>
                <w:rFonts w:eastAsia="標楷體"/>
                <w:b/>
                <w:szCs w:val="22"/>
              </w:rPr>
              <w:t>決算數</w:t>
            </w:r>
            <w:r w:rsidR="00CB240F" w:rsidRPr="006F2008">
              <w:rPr>
                <w:rFonts w:eastAsia="標楷體" w:hint="eastAsia"/>
                <w:sz w:val="20"/>
                <w:szCs w:val="22"/>
              </w:rPr>
              <w:t>(</w:t>
            </w:r>
            <w:r w:rsidR="00CB240F" w:rsidRPr="006F2008">
              <w:rPr>
                <w:rFonts w:eastAsia="標楷體"/>
                <w:sz w:val="20"/>
                <w:szCs w:val="22"/>
              </w:rPr>
              <w:t>1)</w:t>
            </w:r>
          </w:p>
        </w:tc>
        <w:tc>
          <w:tcPr>
            <w:tcW w:w="1692" w:type="dxa"/>
            <w:tcBorders>
              <w:top w:val="single" w:sz="4" w:space="0" w:color="auto"/>
              <w:bottom w:val="single" w:sz="4" w:space="0" w:color="auto"/>
            </w:tcBorders>
            <w:shd w:val="clear" w:color="auto" w:fill="auto"/>
            <w:vAlign w:val="center"/>
          </w:tcPr>
          <w:p w:rsidR="003E72B9" w:rsidRPr="006F2008" w:rsidRDefault="003E72B9" w:rsidP="00F8779D">
            <w:pPr>
              <w:jc w:val="center"/>
              <w:rPr>
                <w:rFonts w:ascii="標楷體" w:eastAsia="標楷體" w:hAnsi="標楷體"/>
                <w:sz w:val="22"/>
                <w:szCs w:val="22"/>
              </w:rPr>
            </w:pPr>
            <w:r w:rsidRPr="00734286">
              <w:rPr>
                <w:rFonts w:ascii="標楷體" w:eastAsia="標楷體" w:hAnsi="標楷體" w:hint="eastAsia"/>
                <w:b/>
                <w:szCs w:val="22"/>
              </w:rPr>
              <w:t>預算數</w:t>
            </w:r>
            <w:r w:rsidR="00CB240F" w:rsidRPr="006F2008">
              <w:rPr>
                <w:rFonts w:eastAsia="標楷體"/>
                <w:sz w:val="20"/>
                <w:szCs w:val="22"/>
              </w:rPr>
              <w:t>(2)</w:t>
            </w:r>
          </w:p>
        </w:tc>
        <w:tc>
          <w:tcPr>
            <w:tcW w:w="1840" w:type="dxa"/>
            <w:tcBorders>
              <w:top w:val="single" w:sz="4" w:space="0" w:color="auto"/>
              <w:bottom w:val="single" w:sz="4" w:space="0" w:color="auto"/>
            </w:tcBorders>
            <w:shd w:val="clear" w:color="auto" w:fill="auto"/>
            <w:vAlign w:val="center"/>
          </w:tcPr>
          <w:p w:rsidR="003E72B9" w:rsidRPr="006F2008" w:rsidRDefault="003E72B9" w:rsidP="00F8779D">
            <w:pPr>
              <w:widowControl/>
              <w:jc w:val="center"/>
              <w:rPr>
                <w:rFonts w:ascii="標楷體" w:eastAsia="標楷體" w:hAnsi="標楷體"/>
                <w:bCs/>
                <w:sz w:val="22"/>
                <w:szCs w:val="22"/>
              </w:rPr>
            </w:pPr>
            <w:r w:rsidRPr="00734286">
              <w:rPr>
                <w:rFonts w:ascii="標楷體" w:eastAsia="標楷體" w:hAnsi="標楷體" w:hint="eastAsia"/>
                <w:b/>
                <w:bCs/>
                <w:szCs w:val="22"/>
              </w:rPr>
              <w:t>比較增減</w:t>
            </w:r>
            <w:r w:rsidR="00CB240F" w:rsidRPr="006F2008">
              <w:rPr>
                <w:rFonts w:eastAsia="標楷體"/>
                <w:bCs/>
                <w:sz w:val="20"/>
                <w:szCs w:val="22"/>
              </w:rPr>
              <w:t>(1)-(2)</w:t>
            </w:r>
          </w:p>
        </w:tc>
      </w:tr>
      <w:tr w:rsidR="00F74749" w:rsidRPr="00F41611" w:rsidTr="00F8779D">
        <w:trPr>
          <w:trHeight w:val="220"/>
        </w:trPr>
        <w:tc>
          <w:tcPr>
            <w:tcW w:w="2748" w:type="dxa"/>
            <w:tcBorders>
              <w:top w:val="single" w:sz="4" w:space="0" w:color="auto"/>
            </w:tcBorders>
            <w:shd w:val="clear" w:color="auto" w:fill="auto"/>
            <w:vAlign w:val="center"/>
          </w:tcPr>
          <w:p w:rsidR="00F74749" w:rsidRDefault="00F74749" w:rsidP="00F8779D">
            <w:pPr>
              <w:widowControl/>
              <w:rPr>
                <w:rFonts w:ascii="標楷體" w:eastAsia="標楷體" w:hAnsi="標楷體"/>
                <w:b/>
                <w:bCs/>
              </w:rPr>
            </w:pPr>
            <w:r>
              <w:rPr>
                <w:rFonts w:ascii="標楷體" w:eastAsia="標楷體" w:hAnsi="標楷體" w:hint="eastAsia"/>
                <w:b/>
                <w:bCs/>
              </w:rPr>
              <w:t>總收入</w:t>
            </w:r>
          </w:p>
        </w:tc>
        <w:tc>
          <w:tcPr>
            <w:tcW w:w="1795" w:type="dxa"/>
            <w:tcBorders>
              <w:top w:val="single" w:sz="4" w:space="0" w:color="auto"/>
            </w:tcBorders>
            <w:shd w:val="clear" w:color="auto" w:fill="auto"/>
            <w:vAlign w:val="center"/>
          </w:tcPr>
          <w:p w:rsidR="00F74749" w:rsidRDefault="00F74749" w:rsidP="00F8779D">
            <w:pPr>
              <w:jc w:val="right"/>
              <w:rPr>
                <w:rFonts w:eastAsia="新細明體"/>
                <w:b/>
                <w:bCs/>
              </w:rPr>
            </w:pPr>
            <w:r>
              <w:rPr>
                <w:b/>
                <w:bCs/>
              </w:rPr>
              <w:t>33,197.00</w:t>
            </w:r>
          </w:p>
        </w:tc>
        <w:tc>
          <w:tcPr>
            <w:tcW w:w="1692" w:type="dxa"/>
            <w:tcBorders>
              <w:top w:val="single" w:sz="4" w:space="0" w:color="auto"/>
            </w:tcBorders>
            <w:shd w:val="clear" w:color="auto" w:fill="auto"/>
            <w:vAlign w:val="center"/>
          </w:tcPr>
          <w:p w:rsidR="00F74749" w:rsidRDefault="00F74749" w:rsidP="00F8779D">
            <w:pPr>
              <w:jc w:val="right"/>
              <w:rPr>
                <w:b/>
                <w:bCs/>
              </w:rPr>
            </w:pPr>
            <w:r>
              <w:rPr>
                <w:b/>
                <w:bCs/>
              </w:rPr>
              <w:t>25,379.71</w:t>
            </w:r>
          </w:p>
        </w:tc>
        <w:tc>
          <w:tcPr>
            <w:tcW w:w="1840" w:type="dxa"/>
            <w:tcBorders>
              <w:top w:val="single" w:sz="4" w:space="0" w:color="auto"/>
            </w:tcBorders>
            <w:shd w:val="clear" w:color="auto" w:fill="auto"/>
            <w:vAlign w:val="center"/>
          </w:tcPr>
          <w:p w:rsidR="00F74749" w:rsidRDefault="00F74749" w:rsidP="00F8779D">
            <w:pPr>
              <w:jc w:val="right"/>
              <w:rPr>
                <w:b/>
                <w:bCs/>
              </w:rPr>
            </w:pPr>
            <w:r>
              <w:rPr>
                <w:b/>
                <w:bCs/>
              </w:rPr>
              <w:t xml:space="preserve">7,817.29 </w:t>
            </w:r>
          </w:p>
        </w:tc>
      </w:tr>
      <w:tr w:rsidR="00F74749" w:rsidRPr="00F41611" w:rsidTr="00F8779D">
        <w:trPr>
          <w:trHeight w:val="237"/>
        </w:trPr>
        <w:tc>
          <w:tcPr>
            <w:tcW w:w="2748" w:type="dxa"/>
            <w:shd w:val="clear" w:color="auto" w:fill="auto"/>
            <w:vAlign w:val="center"/>
          </w:tcPr>
          <w:p w:rsidR="00F74749" w:rsidRDefault="00F74749" w:rsidP="00F8779D">
            <w:pPr>
              <w:ind w:firstLineChars="100" w:firstLine="240"/>
              <w:rPr>
                <w:rFonts w:ascii="標楷體" w:eastAsia="標楷體" w:hAnsi="標楷體" w:cs="新細明體"/>
              </w:rPr>
            </w:pPr>
            <w:r>
              <w:rPr>
                <w:rFonts w:ascii="標楷體" w:eastAsia="標楷體" w:hAnsi="標楷體" w:hint="eastAsia"/>
              </w:rPr>
              <w:t xml:space="preserve">營業收入 </w:t>
            </w:r>
          </w:p>
        </w:tc>
        <w:tc>
          <w:tcPr>
            <w:tcW w:w="1795" w:type="dxa"/>
            <w:shd w:val="clear" w:color="auto" w:fill="auto"/>
            <w:vAlign w:val="center"/>
          </w:tcPr>
          <w:p w:rsidR="00F74749" w:rsidRDefault="00F74749" w:rsidP="00F8779D">
            <w:pPr>
              <w:jc w:val="right"/>
              <w:rPr>
                <w:rFonts w:eastAsia="新細明體"/>
              </w:rPr>
            </w:pPr>
            <w:r>
              <w:t>32,262.80</w:t>
            </w:r>
          </w:p>
        </w:tc>
        <w:tc>
          <w:tcPr>
            <w:tcW w:w="1692" w:type="dxa"/>
            <w:shd w:val="clear" w:color="auto" w:fill="auto"/>
            <w:vAlign w:val="center"/>
          </w:tcPr>
          <w:p w:rsidR="00F74749" w:rsidRDefault="00F74749" w:rsidP="00F8779D">
            <w:pPr>
              <w:jc w:val="right"/>
            </w:pPr>
            <w:r>
              <w:t>25,130.80</w:t>
            </w:r>
          </w:p>
        </w:tc>
        <w:tc>
          <w:tcPr>
            <w:tcW w:w="1840" w:type="dxa"/>
            <w:shd w:val="clear" w:color="auto" w:fill="auto"/>
            <w:vAlign w:val="center"/>
          </w:tcPr>
          <w:p w:rsidR="00F74749" w:rsidRDefault="00F74749" w:rsidP="00F8779D">
            <w:pPr>
              <w:jc w:val="right"/>
            </w:pPr>
            <w:r>
              <w:t xml:space="preserve">7,132.00 </w:t>
            </w:r>
          </w:p>
        </w:tc>
      </w:tr>
      <w:tr w:rsidR="00F74749" w:rsidRPr="00F41611" w:rsidTr="00F8779D">
        <w:trPr>
          <w:trHeight w:val="237"/>
        </w:trPr>
        <w:tc>
          <w:tcPr>
            <w:tcW w:w="2748" w:type="dxa"/>
            <w:shd w:val="clear" w:color="auto" w:fill="auto"/>
            <w:vAlign w:val="center"/>
          </w:tcPr>
          <w:p w:rsidR="00F74749" w:rsidRDefault="00F74749" w:rsidP="00F8779D">
            <w:pPr>
              <w:ind w:firstLineChars="100" w:firstLine="240"/>
              <w:rPr>
                <w:rFonts w:ascii="標楷體" w:eastAsia="標楷體" w:hAnsi="標楷體" w:cs="新細明體"/>
              </w:rPr>
            </w:pPr>
            <w:r>
              <w:rPr>
                <w:rFonts w:ascii="標楷體" w:eastAsia="標楷體" w:hAnsi="標楷體" w:hint="eastAsia"/>
              </w:rPr>
              <w:t xml:space="preserve">營業外收入 </w:t>
            </w:r>
          </w:p>
        </w:tc>
        <w:tc>
          <w:tcPr>
            <w:tcW w:w="1795" w:type="dxa"/>
            <w:shd w:val="clear" w:color="auto" w:fill="auto"/>
            <w:vAlign w:val="center"/>
          </w:tcPr>
          <w:p w:rsidR="00F74749" w:rsidRDefault="00F74749" w:rsidP="00F8779D">
            <w:pPr>
              <w:jc w:val="right"/>
              <w:rPr>
                <w:rFonts w:eastAsia="新細明體"/>
              </w:rPr>
            </w:pPr>
            <w:r>
              <w:t>934.20</w:t>
            </w:r>
          </w:p>
        </w:tc>
        <w:tc>
          <w:tcPr>
            <w:tcW w:w="1692" w:type="dxa"/>
            <w:shd w:val="clear" w:color="auto" w:fill="auto"/>
            <w:vAlign w:val="center"/>
          </w:tcPr>
          <w:p w:rsidR="00F74749" w:rsidRDefault="00F74749" w:rsidP="00F8779D">
            <w:pPr>
              <w:jc w:val="right"/>
            </w:pPr>
            <w:r>
              <w:t>248.91</w:t>
            </w:r>
          </w:p>
        </w:tc>
        <w:tc>
          <w:tcPr>
            <w:tcW w:w="1840" w:type="dxa"/>
            <w:shd w:val="clear" w:color="auto" w:fill="auto"/>
            <w:vAlign w:val="center"/>
          </w:tcPr>
          <w:p w:rsidR="00F74749" w:rsidRDefault="00F74749" w:rsidP="00F8779D">
            <w:pPr>
              <w:jc w:val="right"/>
            </w:pPr>
            <w:r>
              <w:t>685.2</w:t>
            </w:r>
            <w:r w:rsidR="00056609">
              <w:t>9</w:t>
            </w:r>
            <w:r>
              <w:t xml:space="preserve"> </w:t>
            </w:r>
          </w:p>
        </w:tc>
      </w:tr>
      <w:tr w:rsidR="00F74749" w:rsidRPr="00F41611" w:rsidTr="00F8779D">
        <w:trPr>
          <w:trHeight w:val="220"/>
        </w:trPr>
        <w:tc>
          <w:tcPr>
            <w:tcW w:w="2748" w:type="dxa"/>
            <w:shd w:val="clear" w:color="auto" w:fill="auto"/>
            <w:vAlign w:val="center"/>
          </w:tcPr>
          <w:p w:rsidR="00F74749" w:rsidRDefault="00F74749" w:rsidP="00F8779D">
            <w:pPr>
              <w:rPr>
                <w:rFonts w:ascii="標楷體" w:eastAsia="標楷體" w:hAnsi="標楷體" w:cs="新細明體"/>
                <w:b/>
                <w:bCs/>
              </w:rPr>
            </w:pPr>
            <w:r>
              <w:rPr>
                <w:rFonts w:ascii="標楷體" w:eastAsia="標楷體" w:hAnsi="標楷體" w:hint="eastAsia"/>
                <w:b/>
                <w:bCs/>
              </w:rPr>
              <w:t>總支出</w:t>
            </w:r>
          </w:p>
        </w:tc>
        <w:tc>
          <w:tcPr>
            <w:tcW w:w="1795" w:type="dxa"/>
            <w:shd w:val="clear" w:color="auto" w:fill="auto"/>
            <w:vAlign w:val="center"/>
          </w:tcPr>
          <w:p w:rsidR="00F74749" w:rsidRDefault="00F74749" w:rsidP="00F8779D">
            <w:pPr>
              <w:jc w:val="right"/>
              <w:rPr>
                <w:rFonts w:eastAsia="新細明體"/>
                <w:b/>
                <w:bCs/>
              </w:rPr>
            </w:pPr>
            <w:r>
              <w:rPr>
                <w:b/>
                <w:bCs/>
              </w:rPr>
              <w:t>34,613.49</w:t>
            </w:r>
          </w:p>
        </w:tc>
        <w:tc>
          <w:tcPr>
            <w:tcW w:w="1692" w:type="dxa"/>
            <w:shd w:val="clear" w:color="auto" w:fill="auto"/>
            <w:vAlign w:val="center"/>
          </w:tcPr>
          <w:p w:rsidR="00F74749" w:rsidRDefault="00F74749" w:rsidP="00F8779D">
            <w:pPr>
              <w:jc w:val="right"/>
              <w:rPr>
                <w:b/>
                <w:bCs/>
              </w:rPr>
            </w:pPr>
            <w:r>
              <w:rPr>
                <w:b/>
                <w:bCs/>
              </w:rPr>
              <w:t>23,377.56</w:t>
            </w:r>
          </w:p>
        </w:tc>
        <w:tc>
          <w:tcPr>
            <w:tcW w:w="1840" w:type="dxa"/>
            <w:shd w:val="clear" w:color="auto" w:fill="auto"/>
            <w:vAlign w:val="center"/>
          </w:tcPr>
          <w:p w:rsidR="00F74749" w:rsidRDefault="00F74749" w:rsidP="00F8779D">
            <w:pPr>
              <w:jc w:val="right"/>
              <w:rPr>
                <w:b/>
                <w:bCs/>
              </w:rPr>
            </w:pPr>
            <w:r>
              <w:rPr>
                <w:b/>
                <w:bCs/>
              </w:rPr>
              <w:t>11,235.9</w:t>
            </w:r>
            <w:r w:rsidR="00056609">
              <w:rPr>
                <w:b/>
                <w:bCs/>
              </w:rPr>
              <w:t>3</w:t>
            </w:r>
            <w:r>
              <w:rPr>
                <w:b/>
                <w:bCs/>
              </w:rPr>
              <w:t xml:space="preserve"> </w:t>
            </w:r>
          </w:p>
        </w:tc>
      </w:tr>
      <w:tr w:rsidR="00F74749" w:rsidRPr="00F41611" w:rsidTr="00F8779D">
        <w:trPr>
          <w:trHeight w:val="220"/>
        </w:trPr>
        <w:tc>
          <w:tcPr>
            <w:tcW w:w="2748" w:type="dxa"/>
            <w:tcBorders>
              <w:bottom w:val="nil"/>
            </w:tcBorders>
            <w:shd w:val="clear" w:color="auto" w:fill="auto"/>
            <w:vAlign w:val="center"/>
          </w:tcPr>
          <w:p w:rsidR="00F74749" w:rsidRDefault="00F74749" w:rsidP="00F8779D">
            <w:pPr>
              <w:ind w:firstLineChars="100" w:firstLine="240"/>
              <w:rPr>
                <w:rFonts w:ascii="標楷體" w:eastAsia="標楷體" w:hAnsi="標楷體" w:cs="新細明體"/>
              </w:rPr>
            </w:pPr>
            <w:r>
              <w:rPr>
                <w:rFonts w:ascii="標楷體" w:eastAsia="標楷體" w:hAnsi="標楷體" w:hint="eastAsia"/>
              </w:rPr>
              <w:t xml:space="preserve">營業成本 </w:t>
            </w:r>
          </w:p>
        </w:tc>
        <w:tc>
          <w:tcPr>
            <w:tcW w:w="1795" w:type="dxa"/>
            <w:tcBorders>
              <w:bottom w:val="nil"/>
            </w:tcBorders>
            <w:shd w:val="clear" w:color="auto" w:fill="auto"/>
            <w:vAlign w:val="center"/>
          </w:tcPr>
          <w:p w:rsidR="00F74749" w:rsidRDefault="00F74749" w:rsidP="00F8779D">
            <w:pPr>
              <w:jc w:val="right"/>
              <w:rPr>
                <w:rFonts w:eastAsia="新細明體"/>
              </w:rPr>
            </w:pPr>
            <w:r>
              <w:t>32,787.79</w:t>
            </w:r>
          </w:p>
        </w:tc>
        <w:tc>
          <w:tcPr>
            <w:tcW w:w="1692" w:type="dxa"/>
            <w:tcBorders>
              <w:bottom w:val="nil"/>
            </w:tcBorders>
            <w:shd w:val="clear" w:color="auto" w:fill="auto"/>
            <w:vAlign w:val="center"/>
          </w:tcPr>
          <w:p w:rsidR="00F74749" w:rsidRDefault="00F74749" w:rsidP="00F8779D">
            <w:pPr>
              <w:jc w:val="right"/>
            </w:pPr>
            <w:r>
              <w:t>21,427.45</w:t>
            </w:r>
          </w:p>
        </w:tc>
        <w:tc>
          <w:tcPr>
            <w:tcW w:w="1840" w:type="dxa"/>
            <w:tcBorders>
              <w:bottom w:val="nil"/>
              <w:right w:val="single" w:sz="4" w:space="0" w:color="auto"/>
            </w:tcBorders>
            <w:shd w:val="clear" w:color="auto" w:fill="auto"/>
            <w:vAlign w:val="center"/>
          </w:tcPr>
          <w:p w:rsidR="00F74749" w:rsidRDefault="00F74749" w:rsidP="00F8779D">
            <w:pPr>
              <w:jc w:val="right"/>
            </w:pPr>
            <w:r>
              <w:t xml:space="preserve">11,360.34 </w:t>
            </w:r>
          </w:p>
        </w:tc>
      </w:tr>
      <w:tr w:rsidR="00F74749" w:rsidRPr="00F41611" w:rsidTr="00F8779D">
        <w:trPr>
          <w:trHeight w:val="237"/>
        </w:trPr>
        <w:tc>
          <w:tcPr>
            <w:tcW w:w="2748" w:type="dxa"/>
            <w:tcBorders>
              <w:top w:val="nil"/>
              <w:bottom w:val="nil"/>
            </w:tcBorders>
            <w:shd w:val="clear" w:color="auto" w:fill="auto"/>
            <w:vAlign w:val="center"/>
          </w:tcPr>
          <w:p w:rsidR="00F74749" w:rsidRDefault="00F74749" w:rsidP="00F8779D">
            <w:pPr>
              <w:ind w:firstLineChars="100" w:firstLine="240"/>
              <w:rPr>
                <w:rFonts w:ascii="標楷體" w:eastAsia="標楷體" w:hAnsi="標楷體" w:cs="新細明體"/>
              </w:rPr>
            </w:pPr>
            <w:r>
              <w:rPr>
                <w:rFonts w:ascii="標楷體" w:eastAsia="標楷體" w:hAnsi="標楷體" w:hint="eastAsia"/>
              </w:rPr>
              <w:t xml:space="preserve">營業費用 </w:t>
            </w:r>
          </w:p>
        </w:tc>
        <w:tc>
          <w:tcPr>
            <w:tcW w:w="1795" w:type="dxa"/>
            <w:tcBorders>
              <w:top w:val="nil"/>
              <w:bottom w:val="nil"/>
            </w:tcBorders>
            <w:shd w:val="clear" w:color="auto" w:fill="auto"/>
            <w:vAlign w:val="center"/>
          </w:tcPr>
          <w:p w:rsidR="00F74749" w:rsidRDefault="00F74749" w:rsidP="00F8779D">
            <w:pPr>
              <w:jc w:val="right"/>
              <w:rPr>
                <w:rFonts w:eastAsia="新細明體"/>
              </w:rPr>
            </w:pPr>
            <w:r>
              <w:t>1,344.15</w:t>
            </w:r>
          </w:p>
        </w:tc>
        <w:tc>
          <w:tcPr>
            <w:tcW w:w="1692" w:type="dxa"/>
            <w:tcBorders>
              <w:top w:val="nil"/>
              <w:bottom w:val="nil"/>
            </w:tcBorders>
            <w:shd w:val="clear" w:color="auto" w:fill="auto"/>
            <w:vAlign w:val="center"/>
          </w:tcPr>
          <w:p w:rsidR="00F74749" w:rsidRDefault="00F74749" w:rsidP="00F8779D">
            <w:pPr>
              <w:jc w:val="right"/>
            </w:pPr>
            <w:r>
              <w:t>1,341.99</w:t>
            </w:r>
          </w:p>
        </w:tc>
        <w:tc>
          <w:tcPr>
            <w:tcW w:w="1840" w:type="dxa"/>
            <w:tcBorders>
              <w:top w:val="nil"/>
              <w:bottom w:val="nil"/>
              <w:right w:val="single" w:sz="4" w:space="0" w:color="auto"/>
            </w:tcBorders>
            <w:shd w:val="clear" w:color="auto" w:fill="auto"/>
            <w:vAlign w:val="center"/>
          </w:tcPr>
          <w:p w:rsidR="00F74749" w:rsidRDefault="00F74749" w:rsidP="00F8779D">
            <w:pPr>
              <w:jc w:val="right"/>
            </w:pPr>
            <w:r>
              <w:t xml:space="preserve">2.16 </w:t>
            </w:r>
          </w:p>
        </w:tc>
      </w:tr>
      <w:tr w:rsidR="00F74749" w:rsidRPr="00F41611" w:rsidTr="00F8779D">
        <w:trPr>
          <w:trHeight w:val="220"/>
        </w:trPr>
        <w:tc>
          <w:tcPr>
            <w:tcW w:w="2748" w:type="dxa"/>
            <w:tcBorders>
              <w:top w:val="nil"/>
              <w:bottom w:val="nil"/>
            </w:tcBorders>
            <w:shd w:val="clear" w:color="auto" w:fill="auto"/>
            <w:vAlign w:val="center"/>
          </w:tcPr>
          <w:p w:rsidR="00F74749" w:rsidRDefault="00F74749" w:rsidP="00F8779D">
            <w:pPr>
              <w:ind w:firstLineChars="100" w:firstLine="240"/>
              <w:rPr>
                <w:rFonts w:ascii="標楷體" w:eastAsia="標楷體" w:hAnsi="標楷體" w:cs="新細明體"/>
              </w:rPr>
            </w:pPr>
            <w:r>
              <w:rPr>
                <w:rFonts w:ascii="標楷體" w:eastAsia="標楷體" w:hAnsi="標楷體" w:hint="eastAsia"/>
              </w:rPr>
              <w:t xml:space="preserve">營業外費用 </w:t>
            </w:r>
          </w:p>
        </w:tc>
        <w:tc>
          <w:tcPr>
            <w:tcW w:w="1795" w:type="dxa"/>
            <w:tcBorders>
              <w:top w:val="nil"/>
              <w:bottom w:val="nil"/>
            </w:tcBorders>
            <w:shd w:val="clear" w:color="auto" w:fill="auto"/>
            <w:vAlign w:val="center"/>
          </w:tcPr>
          <w:p w:rsidR="00F74749" w:rsidRDefault="00F74749" w:rsidP="00F8779D">
            <w:pPr>
              <w:jc w:val="right"/>
              <w:rPr>
                <w:rFonts w:eastAsia="新細明體"/>
              </w:rPr>
            </w:pPr>
            <w:r>
              <w:t>751.41</w:t>
            </w:r>
          </w:p>
        </w:tc>
        <w:tc>
          <w:tcPr>
            <w:tcW w:w="1692" w:type="dxa"/>
            <w:tcBorders>
              <w:top w:val="nil"/>
              <w:bottom w:val="nil"/>
            </w:tcBorders>
            <w:shd w:val="clear" w:color="auto" w:fill="auto"/>
            <w:vAlign w:val="center"/>
          </w:tcPr>
          <w:p w:rsidR="00F74749" w:rsidRDefault="00F74749" w:rsidP="00F8779D">
            <w:pPr>
              <w:jc w:val="right"/>
            </w:pPr>
            <w:r>
              <w:t>507.64</w:t>
            </w:r>
          </w:p>
        </w:tc>
        <w:tc>
          <w:tcPr>
            <w:tcW w:w="1840" w:type="dxa"/>
            <w:tcBorders>
              <w:top w:val="nil"/>
              <w:bottom w:val="nil"/>
            </w:tcBorders>
            <w:shd w:val="clear" w:color="auto" w:fill="auto"/>
            <w:vAlign w:val="center"/>
          </w:tcPr>
          <w:p w:rsidR="00F74749" w:rsidRDefault="00F74749" w:rsidP="00F8779D">
            <w:pPr>
              <w:jc w:val="right"/>
            </w:pPr>
            <w:r>
              <w:t xml:space="preserve">243.77 </w:t>
            </w:r>
          </w:p>
        </w:tc>
      </w:tr>
      <w:tr w:rsidR="00F74749" w:rsidRPr="00F41611" w:rsidTr="00F8779D">
        <w:trPr>
          <w:trHeight w:val="220"/>
        </w:trPr>
        <w:tc>
          <w:tcPr>
            <w:tcW w:w="2748" w:type="dxa"/>
            <w:tcBorders>
              <w:top w:val="nil"/>
              <w:bottom w:val="single" w:sz="4" w:space="0" w:color="auto"/>
            </w:tcBorders>
            <w:shd w:val="clear" w:color="auto" w:fill="auto"/>
            <w:vAlign w:val="center"/>
          </w:tcPr>
          <w:p w:rsidR="00F74749" w:rsidRDefault="00F74749" w:rsidP="00F8779D">
            <w:pPr>
              <w:ind w:firstLineChars="100" w:firstLine="240"/>
              <w:rPr>
                <w:rFonts w:ascii="標楷體" w:eastAsia="標楷體" w:hAnsi="標楷體" w:cs="新細明體"/>
              </w:rPr>
            </w:pPr>
            <w:r>
              <w:rPr>
                <w:rFonts w:ascii="標楷體" w:eastAsia="標楷體" w:hAnsi="標楷體" w:hint="eastAsia"/>
              </w:rPr>
              <w:t>所得稅費用（利益）</w:t>
            </w:r>
          </w:p>
        </w:tc>
        <w:tc>
          <w:tcPr>
            <w:tcW w:w="1795" w:type="dxa"/>
            <w:tcBorders>
              <w:top w:val="nil"/>
              <w:bottom w:val="single" w:sz="4" w:space="0" w:color="auto"/>
            </w:tcBorders>
            <w:shd w:val="clear" w:color="auto" w:fill="auto"/>
            <w:vAlign w:val="center"/>
          </w:tcPr>
          <w:p w:rsidR="00F74749" w:rsidRDefault="00F74749" w:rsidP="00F8779D">
            <w:pPr>
              <w:jc w:val="right"/>
              <w:rPr>
                <w:rFonts w:eastAsia="新細明體"/>
              </w:rPr>
            </w:pPr>
            <w:r>
              <w:t>-269.86</w:t>
            </w:r>
          </w:p>
        </w:tc>
        <w:tc>
          <w:tcPr>
            <w:tcW w:w="1692" w:type="dxa"/>
            <w:tcBorders>
              <w:top w:val="nil"/>
              <w:bottom w:val="single" w:sz="4" w:space="0" w:color="auto"/>
            </w:tcBorders>
            <w:shd w:val="clear" w:color="auto" w:fill="auto"/>
            <w:vAlign w:val="center"/>
          </w:tcPr>
          <w:p w:rsidR="00F74749" w:rsidRDefault="00F74749" w:rsidP="00F8779D">
            <w:pPr>
              <w:jc w:val="right"/>
            </w:pPr>
            <w:r>
              <w:t>100.48</w:t>
            </w:r>
          </w:p>
        </w:tc>
        <w:tc>
          <w:tcPr>
            <w:tcW w:w="1840" w:type="dxa"/>
            <w:tcBorders>
              <w:top w:val="nil"/>
              <w:bottom w:val="single" w:sz="4" w:space="0" w:color="auto"/>
            </w:tcBorders>
            <w:shd w:val="clear" w:color="auto" w:fill="auto"/>
            <w:vAlign w:val="center"/>
          </w:tcPr>
          <w:p w:rsidR="00F74749" w:rsidRDefault="00F74749" w:rsidP="00F8779D">
            <w:pPr>
              <w:jc w:val="right"/>
            </w:pPr>
            <w:r>
              <w:t xml:space="preserve">-370.34 </w:t>
            </w:r>
          </w:p>
        </w:tc>
      </w:tr>
      <w:tr w:rsidR="00F74749" w:rsidRPr="00F41611" w:rsidTr="00F8779D">
        <w:trPr>
          <w:trHeight w:val="220"/>
        </w:trPr>
        <w:tc>
          <w:tcPr>
            <w:tcW w:w="2748" w:type="dxa"/>
            <w:tcBorders>
              <w:top w:val="single" w:sz="4" w:space="0" w:color="auto"/>
              <w:bottom w:val="single" w:sz="4" w:space="0" w:color="auto"/>
            </w:tcBorders>
            <w:shd w:val="clear" w:color="auto" w:fill="auto"/>
            <w:vAlign w:val="center"/>
          </w:tcPr>
          <w:p w:rsidR="00F74749" w:rsidRDefault="00F74749" w:rsidP="00F8779D">
            <w:pPr>
              <w:rPr>
                <w:rFonts w:ascii="標楷體" w:eastAsia="標楷體" w:hAnsi="標楷體" w:cs="新細明體"/>
                <w:b/>
                <w:bCs/>
              </w:rPr>
            </w:pPr>
            <w:r>
              <w:rPr>
                <w:rFonts w:ascii="標楷體" w:eastAsia="標楷體" w:hAnsi="標楷體" w:hint="eastAsia"/>
                <w:b/>
                <w:bCs/>
              </w:rPr>
              <w:t xml:space="preserve">淨利（淨損） </w:t>
            </w:r>
          </w:p>
        </w:tc>
        <w:tc>
          <w:tcPr>
            <w:tcW w:w="1795" w:type="dxa"/>
            <w:tcBorders>
              <w:top w:val="single" w:sz="4" w:space="0" w:color="auto"/>
              <w:bottom w:val="single" w:sz="4" w:space="0" w:color="auto"/>
            </w:tcBorders>
            <w:shd w:val="clear" w:color="auto" w:fill="auto"/>
            <w:vAlign w:val="center"/>
          </w:tcPr>
          <w:p w:rsidR="00F74749" w:rsidRDefault="00F74749" w:rsidP="00F8779D">
            <w:pPr>
              <w:jc w:val="right"/>
              <w:rPr>
                <w:rFonts w:eastAsia="新細明體"/>
                <w:b/>
                <w:bCs/>
              </w:rPr>
            </w:pPr>
            <w:r>
              <w:rPr>
                <w:b/>
                <w:bCs/>
              </w:rPr>
              <w:t>-1,416.49</w:t>
            </w:r>
          </w:p>
        </w:tc>
        <w:tc>
          <w:tcPr>
            <w:tcW w:w="1692" w:type="dxa"/>
            <w:tcBorders>
              <w:top w:val="single" w:sz="4" w:space="0" w:color="auto"/>
              <w:bottom w:val="single" w:sz="4" w:space="0" w:color="auto"/>
            </w:tcBorders>
            <w:shd w:val="clear" w:color="auto" w:fill="auto"/>
            <w:vAlign w:val="center"/>
          </w:tcPr>
          <w:p w:rsidR="00F74749" w:rsidRDefault="00F74749" w:rsidP="00F8779D">
            <w:pPr>
              <w:jc w:val="right"/>
              <w:rPr>
                <w:b/>
                <w:bCs/>
              </w:rPr>
            </w:pPr>
            <w:r>
              <w:rPr>
                <w:b/>
                <w:bCs/>
              </w:rPr>
              <w:t>2,002.15</w:t>
            </w:r>
          </w:p>
        </w:tc>
        <w:tc>
          <w:tcPr>
            <w:tcW w:w="1840" w:type="dxa"/>
            <w:tcBorders>
              <w:top w:val="single" w:sz="4" w:space="0" w:color="auto"/>
              <w:bottom w:val="single" w:sz="4" w:space="0" w:color="auto"/>
            </w:tcBorders>
            <w:shd w:val="clear" w:color="auto" w:fill="auto"/>
            <w:vAlign w:val="center"/>
          </w:tcPr>
          <w:p w:rsidR="00F74749" w:rsidRDefault="00F74749" w:rsidP="00F8779D">
            <w:pPr>
              <w:jc w:val="right"/>
              <w:rPr>
                <w:b/>
                <w:bCs/>
              </w:rPr>
            </w:pPr>
            <w:r>
              <w:rPr>
                <w:b/>
                <w:bCs/>
              </w:rPr>
              <w:t xml:space="preserve">-3,418.64 </w:t>
            </w:r>
          </w:p>
        </w:tc>
      </w:tr>
    </w:tbl>
    <w:p w:rsidR="00A67FFB" w:rsidRDefault="00F8779D" w:rsidP="00CB240F">
      <w:pPr>
        <w:tabs>
          <w:tab w:val="left" w:pos="960"/>
        </w:tabs>
        <w:spacing w:line="200" w:lineRule="exact"/>
        <w:ind w:rightChars="483" w:right="1159" w:firstLineChars="2671" w:firstLine="6410"/>
        <w:jc w:val="right"/>
        <w:rPr>
          <w:rFonts w:eastAsia="標楷體"/>
          <w:spacing w:val="20"/>
          <w:sz w:val="22"/>
          <w:szCs w:val="22"/>
        </w:rPr>
      </w:pPr>
      <w:r w:rsidRPr="00272963">
        <w:rPr>
          <w:noProof/>
        </w:rPr>
        <mc:AlternateContent>
          <mc:Choice Requires="wps">
            <w:drawing>
              <wp:anchor distT="0" distB="0" distL="114300" distR="114300" simplePos="0" relativeHeight="251816960" behindDoc="0" locked="0" layoutInCell="1" allowOverlap="1" wp14:anchorId="52665CAE" wp14:editId="3BFE6BDC">
                <wp:simplePos x="0" y="0"/>
                <wp:positionH relativeFrom="column">
                  <wp:posOffset>4340860</wp:posOffset>
                </wp:positionH>
                <wp:positionV relativeFrom="paragraph">
                  <wp:posOffset>55245</wp:posOffset>
                </wp:positionV>
                <wp:extent cx="1367790" cy="243205"/>
                <wp:effectExtent l="0" t="0" r="0"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43205"/>
                        </a:xfrm>
                        <a:prstGeom prst="rect">
                          <a:avLst/>
                        </a:prstGeom>
                        <a:noFill/>
                        <a:ln w="9525">
                          <a:noFill/>
                          <a:miter lim="800000"/>
                          <a:headEnd/>
                          <a:tailEnd/>
                        </a:ln>
                      </wps:spPr>
                      <wps:txbx>
                        <w:txbxContent>
                          <w:p w:rsidR="00133109" w:rsidRDefault="00133109" w:rsidP="004A7267">
                            <w:pPr>
                              <w:pStyle w:val="Web"/>
                              <w:spacing w:before="0" w:beforeAutospacing="0" w:after="0" w:afterAutospacing="0"/>
                              <w:jc w:val="right"/>
                            </w:pPr>
                            <w:r>
                              <w:rPr>
                                <w:rFonts w:ascii="Times New Roman" w:eastAsia="標楷體" w:hAnsi="標楷體" w:cs="Arial" w:hint="eastAsia"/>
                                <w:kern w:val="2"/>
                                <w:sz w:val="22"/>
                                <w:szCs w:val="22"/>
                              </w:rPr>
                              <w:t>單位：新</w:t>
                            </w:r>
                            <w:r>
                              <w:rPr>
                                <w:rFonts w:ascii="Times New Roman" w:eastAsia="標楷體" w:hAnsi="標楷體" w:cs="Arial"/>
                                <w:kern w:val="2"/>
                                <w:sz w:val="22"/>
                                <w:szCs w:val="22"/>
                              </w:rPr>
                              <w:t>臺幣</w:t>
                            </w:r>
                            <w:r>
                              <w:rPr>
                                <w:rFonts w:ascii="Times New Roman" w:eastAsia="標楷體" w:hAnsi="標楷體" w:cs="Arial" w:hint="eastAsia"/>
                                <w:kern w:val="2"/>
                                <w:sz w:val="22"/>
                                <w:szCs w:val="22"/>
                              </w:rPr>
                              <w:t>億元</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52665CAE" id="_x0000_t202" coordsize="21600,21600" o:spt="202" path="m,l,21600r21600,l21600,xe">
                <v:stroke joinstyle="miter"/>
                <v:path gradientshapeok="t" o:connecttype="rect"/>
              </v:shapetype>
              <v:shape id="文字方塊 3" o:spid="_x0000_s1026" type="#_x0000_t202" style="position:absolute;left:0;text-align:left;margin-left:341.8pt;margin-top:4.35pt;width:107.7pt;height:19.1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" filled="f" stroked="f">
                <v:textbox style="mso-fit-shape-to-text:t">
                  <w:txbxContent>
                    <w:p w:rsidR="00133109" w:rsidRDefault="00133109" w:rsidP="004A7267">
                      <w:pPr>
                        <w:pStyle w:val="Web"/>
                        <w:spacing w:before="0" w:beforeAutospacing="0" w:after="0" w:afterAutospacing="0"/>
                        <w:jc w:val="right"/>
                      </w:pPr>
                      <w:r>
                        <w:rPr>
                          <w:rFonts w:ascii="Times New Roman" w:eastAsia="標楷體" w:hAnsi="標楷體" w:cs="Arial" w:hint="eastAsia"/>
                          <w:kern w:val="2"/>
                          <w:sz w:val="22"/>
                          <w:szCs w:val="22"/>
                        </w:rPr>
                        <w:t>單位：新</w:t>
                      </w:r>
                      <w:r>
                        <w:rPr>
                          <w:rFonts w:ascii="Times New Roman" w:eastAsia="標楷體" w:hAnsi="標楷體" w:cs="Arial"/>
                          <w:kern w:val="2"/>
                          <w:sz w:val="22"/>
                          <w:szCs w:val="22"/>
                        </w:rPr>
                        <w:t>臺幣</w:t>
                      </w:r>
                      <w:r>
                        <w:rPr>
                          <w:rFonts w:ascii="Times New Roman" w:eastAsia="標楷體" w:hAnsi="標楷體" w:cs="Arial" w:hint="eastAsia"/>
                          <w:kern w:val="2"/>
                          <w:sz w:val="22"/>
                          <w:szCs w:val="22"/>
                        </w:rPr>
                        <w:t>億元</w:t>
                      </w:r>
                    </w:p>
                  </w:txbxContent>
                </v:textbox>
              </v:shape>
            </w:pict>
          </mc:Fallback>
        </mc:AlternateContent>
      </w:r>
    </w:p>
    <w:p w:rsidR="00D05244" w:rsidRDefault="00887C44" w:rsidP="004A7267">
      <w:pPr>
        <w:jc w:val="center"/>
        <w:rPr>
          <w:noProof/>
        </w:rPr>
      </w:pPr>
      <w:r w:rsidRPr="00887C44">
        <w:rPr>
          <w:noProof/>
        </w:rPr>
        <mc:AlternateContent>
          <mc:Choice Requires="wps">
            <w:drawing>
              <wp:anchor distT="0" distB="0" distL="114300" distR="114300" simplePos="0" relativeHeight="251859968" behindDoc="0" locked="0" layoutInCell="1" allowOverlap="1" wp14:anchorId="3EB2EB1C" wp14:editId="70F26C22">
                <wp:simplePos x="0" y="0"/>
                <wp:positionH relativeFrom="column">
                  <wp:posOffset>3919855</wp:posOffset>
                </wp:positionH>
                <wp:positionV relativeFrom="paragraph">
                  <wp:posOffset>196850</wp:posOffset>
                </wp:positionV>
                <wp:extent cx="815325" cy="312420"/>
                <wp:effectExtent l="0" t="0" r="0" b="0"/>
                <wp:wrapNone/>
                <wp:docPr id="4" name="文字方塊 1"/>
                <wp:cNvGraphicFramePr/>
                <a:graphic xmlns:a="http://schemas.openxmlformats.org/drawingml/2006/main">
                  <a:graphicData uri="http://schemas.microsoft.com/office/word/2010/wordprocessingShape">
                    <wps:wsp>
                      <wps:cNvSpPr txBox="1"/>
                      <wps:spPr>
                        <a:xfrm>
                          <a:off x="0" y="0"/>
                          <a:ext cx="815325" cy="312420"/>
                        </a:xfrm>
                        <a:prstGeom prst="rect">
                          <a:avLst/>
                        </a:prstGeom>
                      </wps:spPr>
                      <wps:txbx>
                        <w:txbxContent>
                          <w:p w:rsidR="00133109" w:rsidRDefault="00133109" w:rsidP="00887C44">
                            <w:pPr>
                              <w:pStyle w:val="Web"/>
                              <w:spacing w:before="0" w:beforeAutospacing="0" w:after="0" w:afterAutospacing="0"/>
                              <w:jc w:val="center"/>
                            </w:pPr>
                            <w:r>
                              <w:rPr>
                                <w:rFonts w:ascii="標楷體" w:eastAsia="標楷體" w:hAnsi="標楷體" w:cs="Times New Roman" w:hint="eastAsia"/>
                                <w:color w:val="000000"/>
                              </w:rPr>
                              <w:t>預算數</w:t>
                            </w:r>
                          </w:p>
                        </w:txbxContent>
                      </wps:txbx>
                      <wps:bodyPr wrap="square" rtlCol="0">
                        <a:noAutofit/>
                      </wps:bodyPr>
                    </wps:wsp>
                  </a:graphicData>
                </a:graphic>
                <wp14:sizeRelV relativeFrom="margin">
                  <wp14:pctHeight>0</wp14:pctHeight>
                </wp14:sizeRelV>
              </wp:anchor>
            </w:drawing>
          </mc:Choice>
          <mc:Fallback>
            <w:pict>
              <v:shape w14:anchorId="3EB2EB1C" id="文字方塊 1" o:spid="_x0000_s1027" type="#_x0000_t202" style="position:absolute;left:0;text-align:left;margin-left:308.65pt;margin-top:15.5pt;width:64.2pt;height:24.6pt;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" filled="f" stroked="f">
                <v:textbox>
                  <w:txbxContent>
                    <w:p w:rsidR="00133109" w:rsidRDefault="00133109" w:rsidP="00887C44">
                      <w:pPr>
                        <w:pStyle w:val="Web"/>
                        <w:spacing w:before="0" w:beforeAutospacing="0" w:after="0" w:afterAutospacing="0"/>
                        <w:jc w:val="center"/>
                      </w:pPr>
                      <w:r>
                        <w:rPr>
                          <w:rFonts w:ascii="標楷體" w:eastAsia="標楷體" w:hAnsi="標楷體" w:cs="Times New Roman" w:hint="eastAsia"/>
                          <w:color w:val="000000"/>
                        </w:rPr>
                        <w:t>預算數</w:t>
                      </w:r>
                    </w:p>
                  </w:txbxContent>
                </v:textbox>
              </v:shape>
            </w:pict>
          </mc:Fallback>
        </mc:AlternateContent>
      </w:r>
      <w:r w:rsidR="00174D73">
        <w:rPr>
          <w:noProof/>
        </w:rPr>
        <mc:AlternateContent>
          <mc:Choice Requires="wps">
            <w:drawing>
              <wp:anchor distT="45720" distB="45720" distL="114300" distR="114300" simplePos="0" relativeHeight="251848704" behindDoc="0" locked="0" layoutInCell="1" allowOverlap="1">
                <wp:simplePos x="0" y="0"/>
                <wp:positionH relativeFrom="column">
                  <wp:posOffset>3609612</wp:posOffset>
                </wp:positionH>
                <wp:positionV relativeFrom="paragraph">
                  <wp:posOffset>1941830</wp:posOffset>
                </wp:positionV>
                <wp:extent cx="1083129" cy="1404620"/>
                <wp:effectExtent l="0" t="0" r="0" b="12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129" cy="1404620"/>
                        </a:xfrm>
                        <a:prstGeom prst="rect">
                          <a:avLst/>
                        </a:prstGeom>
                        <a:noFill/>
                        <a:ln w="9525">
                          <a:noFill/>
                          <a:miter lim="800000"/>
                          <a:headEnd/>
                          <a:tailEnd/>
                        </a:ln>
                      </wps:spPr>
                      <wps:txbx>
                        <w:txbxContent>
                          <w:p w:rsidR="00133109" w:rsidRPr="00B50CB2" w:rsidRDefault="00133109">
                            <w:pPr>
                              <w:rPr>
                                <w:rFonts w:eastAsia="標楷體"/>
                                <w:sz w:val="20"/>
                              </w:rPr>
                            </w:pPr>
                            <w:r w:rsidRPr="00B50CB2">
                              <w:rPr>
                                <w:rFonts w:eastAsia="標楷體"/>
                                <w:sz w:val="20"/>
                              </w:rPr>
                              <w:t>相差</w:t>
                            </w:r>
                            <w:r w:rsidRPr="00B50CB2">
                              <w:rPr>
                                <w:rFonts w:eastAsia="標楷體"/>
                                <w:sz w:val="20"/>
                              </w:rPr>
                              <w:t>3,418</w:t>
                            </w:r>
                            <w:r w:rsidRPr="00B50CB2">
                              <w:rPr>
                                <w:rFonts w:eastAsia="標楷體"/>
                                <w:sz w:val="20"/>
                              </w:rPr>
                              <w:t>億元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8" type="#_x0000_t202" style="position:absolute;left:0;text-align:left;margin-left:284.2pt;margin-top:152.9pt;width:85.3pt;height:110.6pt;z-index:251848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" filled="f" stroked="f">
                <v:textbox style="mso-fit-shape-to-text:t">
                  <w:txbxContent>
                    <w:p w:rsidR="00133109" w:rsidRPr="00B50CB2" w:rsidRDefault="00133109">
                      <w:pPr>
                        <w:rPr>
                          <w:rFonts w:eastAsia="標楷體"/>
                          <w:sz w:val="20"/>
                        </w:rPr>
                      </w:pPr>
                      <w:r w:rsidRPr="00B50CB2">
                        <w:rPr>
                          <w:rFonts w:eastAsia="標楷體"/>
                          <w:sz w:val="20"/>
                        </w:rPr>
                        <w:t>相差</w:t>
                      </w:r>
                      <w:r w:rsidRPr="00B50CB2">
                        <w:rPr>
                          <w:rFonts w:eastAsia="標楷體"/>
                          <w:sz w:val="20"/>
                        </w:rPr>
                        <w:t>3,418</w:t>
                      </w:r>
                      <w:r w:rsidRPr="00B50CB2">
                        <w:rPr>
                          <w:rFonts w:eastAsia="標楷體"/>
                          <w:sz w:val="20"/>
                        </w:rPr>
                        <w:t>億元</w:t>
                      </w:r>
                    </w:p>
                  </w:txbxContent>
                </v:textbox>
              </v:shape>
            </w:pict>
          </mc:Fallback>
        </mc:AlternateContent>
      </w:r>
      <w:r w:rsidR="00174D73">
        <w:rPr>
          <w:noProof/>
        </w:rPr>
        <mc:AlternateContent>
          <mc:Choice Requires="wps">
            <w:drawing>
              <wp:anchor distT="0" distB="0" distL="114300" distR="114300" simplePos="0" relativeHeight="251846656" behindDoc="0" locked="0" layoutInCell="1" allowOverlap="1">
                <wp:simplePos x="0" y="0"/>
                <wp:positionH relativeFrom="column">
                  <wp:posOffset>2973705</wp:posOffset>
                </wp:positionH>
                <wp:positionV relativeFrom="paragraph">
                  <wp:posOffset>1929129</wp:posOffset>
                </wp:positionV>
                <wp:extent cx="2091690" cy="273051"/>
                <wp:effectExtent l="0" t="19050" r="22860" b="12700"/>
                <wp:wrapNone/>
                <wp:docPr id="20" name="弧形箭號 (下彎) 20"/>
                <wp:cNvGraphicFramePr/>
                <a:graphic xmlns:a="http://schemas.openxmlformats.org/drawingml/2006/main">
                  <a:graphicData uri="http://schemas.microsoft.com/office/word/2010/wordprocessingShape">
                    <wps:wsp>
                      <wps:cNvSpPr/>
                      <wps:spPr>
                        <a:xfrm rot="10800000">
                          <a:off x="0" y="0"/>
                          <a:ext cx="2091690" cy="273051"/>
                        </a:xfrm>
                        <a:prstGeom prst="curved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4EBF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弧形箭號 (下彎) 20" o:spid="_x0000_s1026" type="#_x0000_t105" style="position:absolute;margin-left:234.15pt;margin-top:151.9pt;width:164.7pt;height:21.5pt;rotation:18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" adj="20190,21247,16200" fillcolor="#4bacc6 [3208]" strokecolor="#205867 [1608]" strokeweight="1pt"/>
            </w:pict>
          </mc:Fallback>
        </mc:AlternateContent>
      </w:r>
      <w:r w:rsidR="00BD4BD4" w:rsidRPr="002A68F9">
        <w:rPr>
          <w:noProof/>
        </w:rPr>
        <mc:AlternateContent>
          <mc:Choice Requires="wps">
            <w:drawing>
              <wp:anchor distT="0" distB="0" distL="114300" distR="114300" simplePos="0" relativeHeight="251827200" behindDoc="0" locked="0" layoutInCell="1" allowOverlap="1" wp14:anchorId="553C9860" wp14:editId="10AE8EA4">
                <wp:simplePos x="0" y="0"/>
                <wp:positionH relativeFrom="column">
                  <wp:posOffset>1163955</wp:posOffset>
                </wp:positionH>
                <wp:positionV relativeFrom="paragraph">
                  <wp:posOffset>2279015</wp:posOffset>
                </wp:positionV>
                <wp:extent cx="4301656" cy="230505"/>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656" cy="230505"/>
                        </a:xfrm>
                        <a:prstGeom prst="rect">
                          <a:avLst/>
                        </a:prstGeom>
                        <a:noFill/>
                        <a:ln w="9525">
                          <a:noFill/>
                          <a:miter lim="800000"/>
                          <a:headEnd/>
                          <a:tailEnd/>
                        </a:ln>
                      </wps:spPr>
                      <wps:txbx>
                        <w:txbxContent>
                          <w:p w:rsidR="00133109" w:rsidRDefault="00133109" w:rsidP="00596752">
                            <w:pPr>
                              <w:pStyle w:val="Web"/>
                              <w:spacing w:before="0" w:beforeAutospacing="0" w:after="0" w:afterAutospacing="0"/>
                              <w:ind w:right="480"/>
                            </w:pPr>
                            <w:r w:rsidRPr="004A0AB4">
                              <w:rPr>
                                <w:rFonts w:eastAsia="標楷體" w:hAnsi="標楷體" w:hint="eastAsia"/>
                                <w:b/>
                                <w:color w:val="000000"/>
                                <w:spacing w:val="20"/>
                                <w:sz w:val="28"/>
                                <w:szCs w:val="28"/>
                              </w:rPr>
                              <w:t>圖</w:t>
                            </w:r>
                            <w:r w:rsidRPr="002A68F9">
                              <w:rPr>
                                <w:rFonts w:ascii="Times New Roman" w:eastAsia="標楷體" w:hAnsi="Times New Roman" w:cs="Times New Roman"/>
                                <w:b/>
                                <w:color w:val="000000"/>
                                <w:spacing w:val="20"/>
                                <w:sz w:val="28"/>
                                <w:szCs w:val="28"/>
                              </w:rPr>
                              <w:t>1</w:t>
                            </w:r>
                            <w:r w:rsidRPr="004A0AB4">
                              <w:rPr>
                                <w:rFonts w:eastAsia="標楷體"/>
                                <w:b/>
                                <w:color w:val="000000"/>
                                <w:spacing w:val="20"/>
                                <w:sz w:val="28"/>
                                <w:szCs w:val="28"/>
                              </w:rPr>
                              <w:t xml:space="preserve"> </w:t>
                            </w:r>
                            <w:r w:rsidRPr="004A0AB4">
                              <w:rPr>
                                <w:rFonts w:eastAsia="標楷體" w:hAnsi="標楷體" w:hint="eastAsia"/>
                                <w:b/>
                                <w:color w:val="000000"/>
                                <w:spacing w:val="20"/>
                                <w:sz w:val="28"/>
                                <w:szCs w:val="28"/>
                              </w:rPr>
                              <w:t>國營事業</w:t>
                            </w:r>
                            <w:r>
                              <w:rPr>
                                <w:rFonts w:ascii="Times New Roman" w:eastAsia="標楷體" w:hAnsi="Times New Roman" w:cs="Times New Roman"/>
                                <w:b/>
                                <w:color w:val="000000"/>
                                <w:spacing w:val="20"/>
                                <w:sz w:val="28"/>
                                <w:szCs w:val="28"/>
                              </w:rPr>
                              <w:t>111</w:t>
                            </w:r>
                            <w:r>
                              <w:rPr>
                                <w:rFonts w:ascii="Times New Roman" w:eastAsia="標楷體" w:hAnsi="Times New Roman" w:cs="Times New Roman"/>
                                <w:b/>
                                <w:color w:val="000000"/>
                                <w:spacing w:val="20"/>
                                <w:sz w:val="28"/>
                                <w:szCs w:val="28"/>
                              </w:rPr>
                              <w:t>年度</w:t>
                            </w:r>
                            <w:r w:rsidRPr="004A0AB4">
                              <w:rPr>
                                <w:rFonts w:eastAsia="標楷體" w:hAnsi="標楷體" w:hint="eastAsia"/>
                                <w:b/>
                                <w:color w:val="000000"/>
                                <w:spacing w:val="20"/>
                                <w:sz w:val="28"/>
                                <w:szCs w:val="28"/>
                              </w:rPr>
                              <w:t>收入</w:t>
                            </w:r>
                            <w:r w:rsidRPr="007D5177">
                              <w:rPr>
                                <w:rFonts w:eastAsia="標楷體" w:hAnsi="標楷體" w:hint="eastAsia"/>
                                <w:b/>
                                <w:color w:val="000000"/>
                                <w:spacing w:val="20"/>
                                <w:sz w:val="28"/>
                                <w:szCs w:val="28"/>
                              </w:rPr>
                              <w:t>、支出及淨利</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53C9860" id="文字方塊 14" o:spid="_x0000_s1029" type="#_x0000_t202" style="position:absolute;left:0;text-align:left;margin-left:91.65pt;margin-top:179.45pt;width:338.7pt;height:18.15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" filled="f" stroked="f">
                <v:textbox style="mso-fit-shape-to-text:t">
                  <w:txbxContent>
                    <w:p w:rsidR="00133109" w:rsidRDefault="00133109" w:rsidP="00596752">
                      <w:pPr>
                        <w:pStyle w:val="Web"/>
                        <w:spacing w:before="0" w:beforeAutospacing="0" w:after="0" w:afterAutospacing="0"/>
                        <w:ind w:right="480"/>
                      </w:pPr>
                      <w:r w:rsidRPr="004A0AB4">
                        <w:rPr>
                          <w:rFonts w:eastAsia="標楷體" w:hAnsi="標楷體" w:hint="eastAsia"/>
                          <w:b/>
                          <w:color w:val="000000"/>
                          <w:spacing w:val="20"/>
                          <w:sz w:val="28"/>
                          <w:szCs w:val="28"/>
                        </w:rPr>
                        <w:t>圖</w:t>
                      </w:r>
                      <w:r w:rsidRPr="002A68F9">
                        <w:rPr>
                          <w:rFonts w:ascii="Times New Roman" w:eastAsia="標楷體" w:hAnsi="Times New Roman" w:cs="Times New Roman"/>
                          <w:b/>
                          <w:color w:val="000000"/>
                          <w:spacing w:val="20"/>
                          <w:sz w:val="28"/>
                          <w:szCs w:val="28"/>
                        </w:rPr>
                        <w:t>1</w:t>
                      </w:r>
                      <w:r w:rsidRPr="004A0AB4">
                        <w:rPr>
                          <w:rFonts w:eastAsia="標楷體"/>
                          <w:b/>
                          <w:color w:val="000000"/>
                          <w:spacing w:val="20"/>
                          <w:sz w:val="28"/>
                          <w:szCs w:val="28"/>
                        </w:rPr>
                        <w:t xml:space="preserve"> </w:t>
                      </w:r>
                      <w:r w:rsidRPr="004A0AB4">
                        <w:rPr>
                          <w:rFonts w:eastAsia="標楷體" w:hAnsi="標楷體" w:hint="eastAsia"/>
                          <w:b/>
                          <w:color w:val="000000"/>
                          <w:spacing w:val="20"/>
                          <w:sz w:val="28"/>
                          <w:szCs w:val="28"/>
                        </w:rPr>
                        <w:t>國營事業</w:t>
                      </w:r>
                      <w:proofErr w:type="gramStart"/>
                      <w:r>
                        <w:rPr>
                          <w:rFonts w:ascii="Times New Roman" w:eastAsia="標楷體" w:hAnsi="Times New Roman" w:cs="Times New Roman"/>
                          <w:b/>
                          <w:color w:val="000000"/>
                          <w:spacing w:val="20"/>
                          <w:sz w:val="28"/>
                          <w:szCs w:val="28"/>
                        </w:rPr>
                        <w:t>111</w:t>
                      </w:r>
                      <w:proofErr w:type="gramEnd"/>
                      <w:r>
                        <w:rPr>
                          <w:rFonts w:ascii="Times New Roman" w:eastAsia="標楷體" w:hAnsi="Times New Roman" w:cs="Times New Roman"/>
                          <w:b/>
                          <w:color w:val="000000"/>
                          <w:spacing w:val="20"/>
                          <w:sz w:val="28"/>
                          <w:szCs w:val="28"/>
                        </w:rPr>
                        <w:t>年度</w:t>
                      </w:r>
                      <w:r w:rsidRPr="004A0AB4">
                        <w:rPr>
                          <w:rFonts w:eastAsia="標楷體" w:hAnsi="標楷體" w:hint="eastAsia"/>
                          <w:b/>
                          <w:color w:val="000000"/>
                          <w:spacing w:val="20"/>
                          <w:sz w:val="28"/>
                          <w:szCs w:val="28"/>
                        </w:rPr>
                        <w:t>收入</w:t>
                      </w:r>
                      <w:r w:rsidRPr="007D5177">
                        <w:rPr>
                          <w:rFonts w:eastAsia="標楷體" w:hAnsi="標楷體" w:hint="eastAsia"/>
                          <w:b/>
                          <w:color w:val="000000"/>
                          <w:spacing w:val="20"/>
                          <w:sz w:val="28"/>
                          <w:szCs w:val="28"/>
                        </w:rPr>
                        <w:t>、支出及淨利</w:t>
                      </w:r>
                    </w:p>
                  </w:txbxContent>
                </v:textbox>
              </v:shape>
            </w:pict>
          </mc:Fallback>
        </mc:AlternateContent>
      </w:r>
      <w:r w:rsidR="00290D1C">
        <w:rPr>
          <w:noProof/>
        </w:rPr>
        <w:drawing>
          <wp:inline distT="0" distB="0" distL="0" distR="0" wp14:anchorId="69595910">
            <wp:extent cx="4913630" cy="2261870"/>
            <wp:effectExtent l="0" t="0" r="1270" b="508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3630" cy="2261870"/>
                    </a:xfrm>
                    <a:prstGeom prst="rect">
                      <a:avLst/>
                    </a:prstGeom>
                    <a:noFill/>
                  </pic:spPr>
                </pic:pic>
              </a:graphicData>
            </a:graphic>
          </wp:inline>
        </w:drawing>
      </w:r>
    </w:p>
    <w:p w:rsidR="00177136" w:rsidRPr="008165E0" w:rsidRDefault="00177136" w:rsidP="00177136">
      <w:pPr>
        <w:spacing w:beforeLines="150" w:before="360" w:line="360" w:lineRule="auto"/>
        <w:jc w:val="both"/>
        <w:outlineLvl w:val="0"/>
        <w:rPr>
          <w:rFonts w:eastAsia="標楷體"/>
          <w:b/>
          <w:spacing w:val="20"/>
          <w:sz w:val="40"/>
        </w:rPr>
      </w:pPr>
      <w:bookmarkStart w:id="5" w:name="壹、四"/>
      <w:bookmarkEnd w:id="4"/>
      <w:r w:rsidRPr="008165E0">
        <w:rPr>
          <w:rFonts w:eastAsia="標楷體" w:hint="eastAsia"/>
          <w:b/>
          <w:spacing w:val="20"/>
          <w:sz w:val="40"/>
        </w:rPr>
        <w:lastRenderedPageBreak/>
        <w:t>三、</w:t>
      </w:r>
      <w:bookmarkEnd w:id="5"/>
      <w:r w:rsidRPr="008165E0">
        <w:rPr>
          <w:rFonts w:eastAsia="標楷體" w:hint="eastAsia"/>
          <w:b/>
          <w:spacing w:val="20"/>
          <w:sz w:val="40"/>
        </w:rPr>
        <w:t>盈虧撥補實況</w:t>
      </w:r>
    </w:p>
    <w:p w:rsidR="00177136" w:rsidRPr="008165E0" w:rsidRDefault="00177136" w:rsidP="002744BF">
      <w:pPr>
        <w:spacing w:line="580" w:lineRule="exact"/>
        <w:ind w:left="425" w:firstLineChars="200" w:firstLine="640"/>
        <w:jc w:val="both"/>
        <w:rPr>
          <w:rFonts w:eastAsia="標楷體"/>
          <w:spacing w:val="10"/>
          <w:sz w:val="30"/>
        </w:rPr>
      </w:pPr>
      <w:r w:rsidRPr="008165E0">
        <w:rPr>
          <w:rFonts w:eastAsia="標楷體" w:hint="eastAsia"/>
          <w:spacing w:val="10"/>
          <w:sz w:val="30"/>
        </w:rPr>
        <w:t>本年度決算國營事業</w:t>
      </w:r>
      <w:r w:rsidR="007B1924" w:rsidRPr="008165E0">
        <w:rPr>
          <w:rFonts w:eastAsia="標楷體" w:hint="eastAsia"/>
          <w:spacing w:val="10"/>
          <w:sz w:val="30"/>
        </w:rPr>
        <w:t>15</w:t>
      </w:r>
      <w:r w:rsidR="007B1924" w:rsidRPr="008165E0">
        <w:rPr>
          <w:rFonts w:eastAsia="標楷體" w:hint="eastAsia"/>
          <w:spacing w:val="10"/>
          <w:sz w:val="30"/>
        </w:rPr>
        <w:t>單位中，列有盈餘者</w:t>
      </w:r>
      <w:r w:rsidR="007B1924" w:rsidRPr="008165E0">
        <w:rPr>
          <w:rFonts w:eastAsia="標楷體" w:hint="eastAsia"/>
          <w:spacing w:val="10"/>
          <w:sz w:val="30"/>
        </w:rPr>
        <w:t>1</w:t>
      </w:r>
      <w:r w:rsidR="007B1924" w:rsidRPr="008165E0">
        <w:rPr>
          <w:rFonts w:eastAsia="標楷體"/>
          <w:spacing w:val="10"/>
          <w:sz w:val="30"/>
        </w:rPr>
        <w:t>0</w:t>
      </w:r>
      <w:r w:rsidR="007B1924" w:rsidRPr="008165E0">
        <w:rPr>
          <w:rFonts w:eastAsia="標楷體" w:hint="eastAsia"/>
          <w:spacing w:val="10"/>
          <w:sz w:val="30"/>
        </w:rPr>
        <w:t>單位，虧損者</w:t>
      </w:r>
      <w:r w:rsidR="007B1924" w:rsidRPr="008165E0">
        <w:rPr>
          <w:rFonts w:eastAsia="標楷體"/>
          <w:spacing w:val="10"/>
          <w:sz w:val="30"/>
        </w:rPr>
        <w:t>4</w:t>
      </w:r>
      <w:r w:rsidR="007B1924" w:rsidRPr="008165E0">
        <w:rPr>
          <w:rFonts w:eastAsia="標楷體" w:hint="eastAsia"/>
          <w:spacing w:val="10"/>
          <w:sz w:val="30"/>
        </w:rPr>
        <w:t>單位，無盈虧者</w:t>
      </w:r>
      <w:r w:rsidR="007B1924" w:rsidRPr="008165E0">
        <w:rPr>
          <w:rFonts w:eastAsia="標楷體" w:hint="eastAsia"/>
          <w:spacing w:val="10"/>
          <w:sz w:val="30"/>
        </w:rPr>
        <w:t>1</w:t>
      </w:r>
      <w:r w:rsidR="007B1924" w:rsidRPr="008165E0">
        <w:rPr>
          <w:rFonts w:eastAsia="標楷體" w:hint="eastAsia"/>
          <w:spacing w:val="10"/>
          <w:sz w:val="30"/>
        </w:rPr>
        <w:t>單位</w:t>
      </w:r>
      <w:r w:rsidR="00EA3DAF" w:rsidRPr="008165E0">
        <w:rPr>
          <w:rFonts w:eastAsia="標楷體" w:hint="eastAsia"/>
          <w:spacing w:val="10"/>
          <w:sz w:val="30"/>
        </w:rPr>
        <w:t>；</w:t>
      </w:r>
      <w:r w:rsidRPr="008165E0">
        <w:rPr>
          <w:rFonts w:eastAsia="標楷體" w:hint="eastAsia"/>
          <w:spacing w:val="10"/>
          <w:sz w:val="30"/>
        </w:rPr>
        <w:t>可分配盈餘原列</w:t>
      </w:r>
      <w:r w:rsidR="00085BFD" w:rsidRPr="00085BFD">
        <w:rPr>
          <w:rFonts w:eastAsia="標楷體"/>
          <w:spacing w:val="10"/>
          <w:sz w:val="30"/>
        </w:rPr>
        <w:t>9</w:t>
      </w:r>
      <w:r w:rsidR="00085BFD">
        <w:rPr>
          <w:rFonts w:eastAsia="標楷體"/>
          <w:spacing w:val="10"/>
          <w:sz w:val="30"/>
        </w:rPr>
        <w:t>,</w:t>
      </w:r>
      <w:r w:rsidR="00085BFD" w:rsidRPr="00085BFD">
        <w:rPr>
          <w:rFonts w:eastAsia="標楷體"/>
          <w:spacing w:val="10"/>
          <w:sz w:val="30"/>
        </w:rPr>
        <w:t>287</w:t>
      </w:r>
      <w:r w:rsidR="00DD3375" w:rsidRPr="008165E0">
        <w:rPr>
          <w:rFonts w:eastAsia="標楷體" w:hint="eastAsia"/>
          <w:spacing w:val="10"/>
          <w:sz w:val="30"/>
        </w:rPr>
        <w:t>億</w:t>
      </w:r>
      <w:r w:rsidR="00085BFD">
        <w:rPr>
          <w:rFonts w:eastAsia="標楷體" w:hint="eastAsia"/>
          <w:spacing w:val="10"/>
          <w:sz w:val="30"/>
        </w:rPr>
        <w:t>4</w:t>
      </w:r>
      <w:r w:rsidR="00085BFD">
        <w:rPr>
          <w:rFonts w:eastAsia="標楷體"/>
          <w:spacing w:val="10"/>
          <w:sz w:val="30"/>
        </w:rPr>
        <w:t>,</w:t>
      </w:r>
      <w:r w:rsidR="00085BFD">
        <w:rPr>
          <w:rFonts w:eastAsia="標楷體" w:hint="eastAsia"/>
          <w:spacing w:val="10"/>
          <w:sz w:val="30"/>
        </w:rPr>
        <w:t>667</w:t>
      </w:r>
      <w:r w:rsidR="00133109">
        <w:rPr>
          <w:rFonts w:eastAsia="標楷體" w:hint="eastAsia"/>
          <w:spacing w:val="10"/>
          <w:sz w:val="30"/>
        </w:rPr>
        <w:t>萬</w:t>
      </w:r>
      <w:r w:rsidR="00DD3375" w:rsidRPr="008165E0">
        <w:rPr>
          <w:rFonts w:eastAsia="標楷體" w:hint="eastAsia"/>
          <w:spacing w:val="10"/>
          <w:sz w:val="30"/>
        </w:rPr>
        <w:t>餘元，經修正</w:t>
      </w:r>
      <w:r w:rsidR="001C292B" w:rsidRPr="008165E0">
        <w:rPr>
          <w:rFonts w:eastAsia="標楷體" w:hint="eastAsia"/>
          <w:spacing w:val="10"/>
          <w:sz w:val="30"/>
        </w:rPr>
        <w:t>減</w:t>
      </w:r>
      <w:r w:rsidRPr="008165E0">
        <w:rPr>
          <w:rFonts w:eastAsia="標楷體" w:hint="eastAsia"/>
          <w:spacing w:val="10"/>
          <w:sz w:val="30"/>
        </w:rPr>
        <w:t>列</w:t>
      </w:r>
      <w:r w:rsidR="00085BFD">
        <w:rPr>
          <w:rFonts w:eastAsia="標楷體"/>
          <w:spacing w:val="10"/>
          <w:sz w:val="30"/>
        </w:rPr>
        <w:t>1,656</w:t>
      </w:r>
      <w:r w:rsidR="00085BFD">
        <w:rPr>
          <w:rFonts w:eastAsia="標楷體" w:hint="eastAsia"/>
          <w:spacing w:val="10"/>
          <w:sz w:val="30"/>
        </w:rPr>
        <w:t>萬</w:t>
      </w:r>
      <w:r w:rsidRPr="008165E0">
        <w:rPr>
          <w:rFonts w:eastAsia="標楷體" w:hint="eastAsia"/>
          <w:spacing w:val="10"/>
          <w:sz w:val="30"/>
        </w:rPr>
        <w:t>餘元，核定為</w:t>
      </w:r>
      <w:r w:rsidR="00085BFD" w:rsidRPr="00085BFD">
        <w:rPr>
          <w:rFonts w:eastAsia="標楷體"/>
          <w:spacing w:val="10"/>
          <w:sz w:val="30"/>
        </w:rPr>
        <w:t>9</w:t>
      </w:r>
      <w:r w:rsidR="00085BFD">
        <w:rPr>
          <w:rFonts w:eastAsia="標楷體"/>
          <w:spacing w:val="10"/>
          <w:sz w:val="30"/>
        </w:rPr>
        <w:t>,</w:t>
      </w:r>
      <w:r w:rsidR="00085BFD" w:rsidRPr="00085BFD">
        <w:rPr>
          <w:rFonts w:eastAsia="標楷體"/>
          <w:spacing w:val="10"/>
          <w:sz w:val="30"/>
        </w:rPr>
        <w:t>287</w:t>
      </w:r>
      <w:r w:rsidR="00085BFD" w:rsidRPr="008165E0">
        <w:rPr>
          <w:rFonts w:eastAsia="標楷體" w:hint="eastAsia"/>
          <w:spacing w:val="10"/>
          <w:sz w:val="30"/>
        </w:rPr>
        <w:t>億</w:t>
      </w:r>
      <w:r w:rsidR="00085BFD">
        <w:rPr>
          <w:rFonts w:eastAsia="標楷體" w:hint="eastAsia"/>
          <w:spacing w:val="10"/>
          <w:sz w:val="30"/>
        </w:rPr>
        <w:t>3,010</w:t>
      </w:r>
      <w:r w:rsidR="00085BFD">
        <w:rPr>
          <w:rFonts w:eastAsia="標楷體" w:hint="eastAsia"/>
          <w:spacing w:val="10"/>
          <w:sz w:val="30"/>
        </w:rPr>
        <w:t>萬</w:t>
      </w:r>
      <w:r w:rsidRPr="008165E0">
        <w:rPr>
          <w:rFonts w:eastAsia="標楷體" w:hint="eastAsia"/>
          <w:spacing w:val="10"/>
          <w:sz w:val="30"/>
        </w:rPr>
        <w:t>餘元；解繳國庫核定為</w:t>
      </w:r>
      <w:r w:rsidR="00085BFD" w:rsidRPr="00085BFD">
        <w:rPr>
          <w:rFonts w:eastAsia="標楷體"/>
          <w:spacing w:val="10"/>
          <w:sz w:val="30"/>
        </w:rPr>
        <w:t>2</w:t>
      </w:r>
      <w:r w:rsidR="00085BFD">
        <w:rPr>
          <w:rFonts w:eastAsia="標楷體"/>
          <w:spacing w:val="10"/>
          <w:sz w:val="30"/>
        </w:rPr>
        <w:t>,</w:t>
      </w:r>
      <w:r w:rsidR="00085BFD" w:rsidRPr="00085BFD">
        <w:rPr>
          <w:rFonts w:eastAsia="標楷體"/>
          <w:spacing w:val="10"/>
          <w:sz w:val="30"/>
        </w:rPr>
        <w:t>003</w:t>
      </w:r>
      <w:r w:rsidRPr="008165E0">
        <w:rPr>
          <w:rFonts w:eastAsia="標楷體" w:hint="eastAsia"/>
          <w:spacing w:val="10"/>
          <w:sz w:val="30"/>
        </w:rPr>
        <w:t>億餘元。綜計其盈虧撥補之結果如下</w:t>
      </w:r>
      <w:r w:rsidR="002E444B" w:rsidRPr="008165E0">
        <w:rPr>
          <w:rFonts w:eastAsia="標楷體" w:hint="eastAsia"/>
          <w:spacing w:val="20"/>
          <w:sz w:val="30"/>
        </w:rPr>
        <w:t>（詳表</w:t>
      </w:r>
      <w:r w:rsidR="002E444B" w:rsidRPr="008165E0">
        <w:rPr>
          <w:rFonts w:eastAsia="標楷體" w:hint="eastAsia"/>
          <w:spacing w:val="20"/>
          <w:sz w:val="30"/>
        </w:rPr>
        <w:t>2</w:t>
      </w:r>
      <w:r w:rsidR="002E444B" w:rsidRPr="008165E0">
        <w:rPr>
          <w:rFonts w:eastAsia="標楷體" w:hint="eastAsia"/>
          <w:spacing w:val="20"/>
          <w:sz w:val="30"/>
        </w:rPr>
        <w:t>及圖</w:t>
      </w:r>
      <w:r w:rsidR="00CD2FC4" w:rsidRPr="008165E0">
        <w:rPr>
          <w:rFonts w:eastAsia="標楷體" w:hint="eastAsia"/>
          <w:spacing w:val="20"/>
          <w:sz w:val="30"/>
        </w:rPr>
        <w:t>2</w:t>
      </w:r>
      <w:r w:rsidR="002E444B" w:rsidRPr="008165E0">
        <w:rPr>
          <w:rFonts w:eastAsia="標楷體" w:hint="eastAsia"/>
          <w:spacing w:val="20"/>
          <w:sz w:val="30"/>
        </w:rPr>
        <w:t>）</w:t>
      </w:r>
      <w:r w:rsidRPr="008165E0">
        <w:rPr>
          <w:rFonts w:eastAsia="標楷體" w:hint="eastAsia"/>
          <w:spacing w:val="10"/>
          <w:sz w:val="30"/>
        </w:rPr>
        <w:t>：</w:t>
      </w:r>
    </w:p>
    <w:p w:rsidR="00177136" w:rsidRPr="008165E0" w:rsidRDefault="00177136" w:rsidP="00177136">
      <w:pPr>
        <w:spacing w:beforeLines="150" w:before="360" w:afterLines="50" w:after="120" w:line="560" w:lineRule="exact"/>
        <w:ind w:left="482"/>
        <w:outlineLvl w:val="0"/>
        <w:rPr>
          <w:rFonts w:eastAsia="標楷體"/>
          <w:b/>
          <w:spacing w:val="20"/>
          <w:sz w:val="30"/>
          <w:szCs w:val="30"/>
        </w:rPr>
      </w:pPr>
      <w:r w:rsidRPr="008165E0">
        <w:rPr>
          <w:rFonts w:eastAsia="標楷體" w:hint="eastAsia"/>
          <w:b/>
          <w:spacing w:val="20"/>
          <w:sz w:val="30"/>
          <w:szCs w:val="30"/>
        </w:rPr>
        <w:t>(</w:t>
      </w:r>
      <w:r w:rsidRPr="008165E0">
        <w:rPr>
          <w:rFonts w:eastAsia="標楷體" w:hint="eastAsia"/>
          <w:b/>
          <w:spacing w:val="20"/>
          <w:sz w:val="30"/>
          <w:szCs w:val="30"/>
        </w:rPr>
        <w:t>一</w:t>
      </w:r>
      <w:r w:rsidRPr="008165E0">
        <w:rPr>
          <w:rFonts w:eastAsia="標楷體" w:hint="eastAsia"/>
          <w:b/>
          <w:spacing w:val="20"/>
          <w:sz w:val="30"/>
          <w:szCs w:val="30"/>
        </w:rPr>
        <w:t>)</w:t>
      </w:r>
      <w:r w:rsidR="009A498D" w:rsidRPr="008165E0">
        <w:rPr>
          <w:rFonts w:eastAsia="標楷體" w:hint="eastAsia"/>
          <w:b/>
          <w:spacing w:val="20"/>
          <w:sz w:val="30"/>
          <w:szCs w:val="30"/>
        </w:rPr>
        <w:t>盈餘分配</w:t>
      </w:r>
    </w:p>
    <w:p w:rsidR="00177136" w:rsidRPr="008165E0" w:rsidRDefault="00177136" w:rsidP="0065555C">
      <w:pPr>
        <w:adjustRightInd w:val="0"/>
        <w:spacing w:line="620" w:lineRule="exact"/>
        <w:ind w:left="1248" w:hanging="227"/>
        <w:jc w:val="both"/>
        <w:rPr>
          <w:rFonts w:eastAsia="標楷體"/>
          <w:spacing w:val="20"/>
          <w:sz w:val="30"/>
        </w:rPr>
      </w:pPr>
      <w:r w:rsidRPr="008165E0">
        <w:rPr>
          <w:rFonts w:eastAsia="標楷體"/>
          <w:spacing w:val="20"/>
          <w:sz w:val="30"/>
        </w:rPr>
        <w:t>1.</w:t>
      </w:r>
      <w:r w:rsidR="002B3858" w:rsidRPr="008165E0">
        <w:rPr>
          <w:rFonts w:eastAsia="標楷體" w:hint="eastAsia"/>
          <w:spacing w:val="20"/>
          <w:sz w:val="30"/>
        </w:rPr>
        <w:t>可分配之盈餘</w:t>
      </w:r>
    </w:p>
    <w:p w:rsidR="00177136" w:rsidRPr="008165E0" w:rsidRDefault="00177136" w:rsidP="0065555C">
      <w:pPr>
        <w:spacing w:line="600" w:lineRule="exact"/>
        <w:ind w:left="1247"/>
        <w:jc w:val="both"/>
        <w:rPr>
          <w:rFonts w:eastAsia="標楷體"/>
          <w:spacing w:val="20"/>
          <w:sz w:val="30"/>
        </w:rPr>
      </w:pPr>
      <w:r w:rsidRPr="008165E0">
        <w:rPr>
          <w:rFonts w:eastAsia="標楷體" w:hint="eastAsia"/>
          <w:spacing w:val="20"/>
          <w:sz w:val="30"/>
        </w:rPr>
        <w:t>本年度決算列有盈餘者，計有</w:t>
      </w:r>
      <w:r w:rsidRPr="008165E0">
        <w:rPr>
          <w:rFonts w:eastAsia="標楷體" w:hint="eastAsia"/>
          <w:spacing w:val="10"/>
          <w:sz w:val="30"/>
        </w:rPr>
        <w:t>1</w:t>
      </w:r>
      <w:r w:rsidR="00B022DC" w:rsidRPr="008165E0">
        <w:rPr>
          <w:rFonts w:eastAsia="標楷體"/>
          <w:spacing w:val="10"/>
          <w:sz w:val="30"/>
        </w:rPr>
        <w:t>0</w:t>
      </w:r>
      <w:r w:rsidRPr="008165E0">
        <w:rPr>
          <w:rFonts w:eastAsia="標楷體" w:hint="eastAsia"/>
          <w:spacing w:val="20"/>
          <w:sz w:val="30"/>
        </w:rPr>
        <w:t>單位，本期淨利</w:t>
      </w:r>
      <w:r w:rsidR="009E4D6F">
        <w:rPr>
          <w:rFonts w:eastAsia="標楷體"/>
          <w:spacing w:val="20"/>
          <w:sz w:val="30"/>
        </w:rPr>
        <w:t>2,8</w:t>
      </w:r>
      <w:r w:rsidR="00085BFD">
        <w:rPr>
          <w:rFonts w:eastAsia="標楷體"/>
          <w:spacing w:val="20"/>
          <w:sz w:val="30"/>
        </w:rPr>
        <w:t>59</w:t>
      </w:r>
      <w:r w:rsidRPr="008165E0">
        <w:rPr>
          <w:rFonts w:eastAsia="標楷體" w:hint="eastAsia"/>
          <w:spacing w:val="20"/>
          <w:sz w:val="30"/>
        </w:rPr>
        <w:t>億餘元，連同累積盈餘</w:t>
      </w:r>
      <w:r w:rsidR="00085BFD">
        <w:rPr>
          <w:rFonts w:eastAsia="標楷體"/>
          <w:spacing w:val="20"/>
          <w:sz w:val="30"/>
        </w:rPr>
        <w:t>738</w:t>
      </w:r>
      <w:r w:rsidRPr="008165E0">
        <w:rPr>
          <w:rFonts w:eastAsia="標楷體" w:hint="eastAsia"/>
          <w:spacing w:val="20"/>
          <w:sz w:val="30"/>
        </w:rPr>
        <w:t>億餘元、</w:t>
      </w:r>
      <w:r w:rsidR="00B022DC" w:rsidRPr="008165E0">
        <w:rPr>
          <w:rFonts w:eastAsia="標楷體" w:hint="eastAsia"/>
          <w:spacing w:val="20"/>
          <w:sz w:val="30"/>
        </w:rPr>
        <w:t>公積轉列數</w:t>
      </w:r>
      <w:r w:rsidR="00085BFD">
        <w:rPr>
          <w:rFonts w:eastAsia="標楷體"/>
          <w:spacing w:val="20"/>
          <w:sz w:val="30"/>
        </w:rPr>
        <w:t>4</w:t>
      </w:r>
      <w:r w:rsidR="009E4D6F" w:rsidRPr="009E4D6F">
        <w:rPr>
          <w:rFonts w:eastAsia="標楷體" w:hint="eastAsia"/>
          <w:spacing w:val="20"/>
          <w:sz w:val="30"/>
        </w:rPr>
        <w:t>億</w:t>
      </w:r>
      <w:r w:rsidR="00B022DC" w:rsidRPr="008165E0">
        <w:rPr>
          <w:rFonts w:eastAsia="標楷體" w:hint="eastAsia"/>
          <w:spacing w:val="20"/>
          <w:sz w:val="30"/>
        </w:rPr>
        <w:t>餘元、</w:t>
      </w:r>
      <w:r w:rsidRPr="008165E0">
        <w:rPr>
          <w:rFonts w:eastAsia="標楷體" w:hint="eastAsia"/>
          <w:spacing w:val="20"/>
          <w:sz w:val="30"/>
        </w:rPr>
        <w:t>其他綜合損益轉入數</w:t>
      </w:r>
      <w:r w:rsidR="00085BFD">
        <w:rPr>
          <w:rFonts w:eastAsia="標楷體"/>
          <w:spacing w:val="20"/>
          <w:sz w:val="30"/>
        </w:rPr>
        <w:t>141</w:t>
      </w:r>
      <w:r w:rsidR="00DD3375" w:rsidRPr="008165E0">
        <w:rPr>
          <w:rFonts w:eastAsia="標楷體" w:hint="eastAsia"/>
          <w:spacing w:val="20"/>
          <w:sz w:val="30"/>
        </w:rPr>
        <w:t>億</w:t>
      </w:r>
      <w:r w:rsidRPr="008165E0">
        <w:rPr>
          <w:rFonts w:eastAsia="標楷體" w:hint="eastAsia"/>
          <w:spacing w:val="20"/>
          <w:sz w:val="30"/>
        </w:rPr>
        <w:t>餘元，及首次採用國際財務報導準則調整數轉列數</w:t>
      </w:r>
      <w:r w:rsidR="00085BFD">
        <w:rPr>
          <w:rFonts w:eastAsia="標楷體"/>
          <w:spacing w:val="20"/>
          <w:sz w:val="30"/>
        </w:rPr>
        <w:t>5,544</w:t>
      </w:r>
      <w:r w:rsidRPr="008165E0">
        <w:rPr>
          <w:rFonts w:eastAsia="標楷體" w:hint="eastAsia"/>
          <w:spacing w:val="20"/>
          <w:sz w:val="30"/>
        </w:rPr>
        <w:t>億餘元，共有可分配盈餘總額</w:t>
      </w:r>
      <w:r w:rsidR="00085BFD" w:rsidRPr="00085BFD">
        <w:rPr>
          <w:rFonts w:eastAsia="標楷體"/>
          <w:spacing w:val="10"/>
          <w:sz w:val="30"/>
        </w:rPr>
        <w:t>9</w:t>
      </w:r>
      <w:r w:rsidR="00085BFD">
        <w:rPr>
          <w:rFonts w:eastAsia="標楷體"/>
          <w:spacing w:val="10"/>
          <w:sz w:val="30"/>
        </w:rPr>
        <w:t>,</w:t>
      </w:r>
      <w:r w:rsidR="00085BFD" w:rsidRPr="00085BFD">
        <w:rPr>
          <w:rFonts w:eastAsia="標楷體"/>
          <w:spacing w:val="10"/>
          <w:sz w:val="30"/>
        </w:rPr>
        <w:t>287</w:t>
      </w:r>
      <w:r w:rsidR="00085BFD" w:rsidRPr="008165E0">
        <w:rPr>
          <w:rFonts w:eastAsia="標楷體" w:hint="eastAsia"/>
          <w:spacing w:val="10"/>
          <w:sz w:val="30"/>
        </w:rPr>
        <w:t>億</w:t>
      </w:r>
      <w:r w:rsidRPr="008165E0">
        <w:rPr>
          <w:rFonts w:eastAsia="標楷體" w:hint="eastAsia"/>
          <w:spacing w:val="20"/>
          <w:sz w:val="30"/>
        </w:rPr>
        <w:t>餘元。</w:t>
      </w:r>
    </w:p>
    <w:p w:rsidR="00177136" w:rsidRPr="005C5E31" w:rsidRDefault="00177136" w:rsidP="0065555C">
      <w:pPr>
        <w:adjustRightInd w:val="0"/>
        <w:spacing w:line="620" w:lineRule="exact"/>
        <w:ind w:left="1248" w:hanging="227"/>
        <w:jc w:val="both"/>
        <w:rPr>
          <w:rFonts w:eastAsia="標楷體"/>
          <w:spacing w:val="20"/>
          <w:sz w:val="30"/>
        </w:rPr>
      </w:pPr>
      <w:r w:rsidRPr="005C5E31">
        <w:rPr>
          <w:rFonts w:eastAsia="標楷體"/>
          <w:spacing w:val="20"/>
          <w:sz w:val="30"/>
        </w:rPr>
        <w:t>2.</w:t>
      </w:r>
      <w:r w:rsidR="002B3858" w:rsidRPr="005C5E31">
        <w:rPr>
          <w:rFonts w:eastAsia="標楷體" w:hint="eastAsia"/>
          <w:spacing w:val="20"/>
          <w:sz w:val="30"/>
        </w:rPr>
        <w:t>按分配項目分配之情形</w:t>
      </w:r>
    </w:p>
    <w:p w:rsidR="00177136" w:rsidRPr="005C5E31" w:rsidRDefault="00177136" w:rsidP="004F23CB">
      <w:pPr>
        <w:spacing w:beforeLines="100" w:before="240" w:line="360" w:lineRule="auto"/>
        <w:ind w:left="1548" w:hanging="425"/>
        <w:jc w:val="both"/>
        <w:rPr>
          <w:rFonts w:eastAsia="標楷體"/>
          <w:spacing w:val="20"/>
          <w:sz w:val="30"/>
        </w:rPr>
      </w:pPr>
      <w:r w:rsidRPr="005C5E31">
        <w:rPr>
          <w:rFonts w:eastAsia="標楷體"/>
          <w:spacing w:val="20"/>
          <w:sz w:val="30"/>
        </w:rPr>
        <w:t>(</w:t>
      </w:r>
      <w:r w:rsidRPr="005C5E31">
        <w:rPr>
          <w:rFonts w:eastAsia="標楷體" w:hint="eastAsia"/>
          <w:spacing w:val="20"/>
          <w:sz w:val="30"/>
        </w:rPr>
        <w:t>1)</w:t>
      </w:r>
      <w:r w:rsidRPr="005C5E31">
        <w:rPr>
          <w:rFonts w:eastAsia="標楷體" w:hint="eastAsia"/>
          <w:spacing w:val="20"/>
          <w:sz w:val="30"/>
        </w:rPr>
        <w:t>填補虧損</w:t>
      </w:r>
      <w:r w:rsidR="00085BFD">
        <w:rPr>
          <w:rFonts w:eastAsia="標楷體"/>
          <w:spacing w:val="20"/>
          <w:sz w:val="30"/>
        </w:rPr>
        <w:t>4,193</w:t>
      </w:r>
      <w:r w:rsidRPr="005C5E31">
        <w:rPr>
          <w:rFonts w:eastAsia="標楷體" w:hint="eastAsia"/>
          <w:spacing w:val="20"/>
          <w:sz w:val="30"/>
        </w:rPr>
        <w:t>億餘元，占可分配盈餘總額</w:t>
      </w:r>
      <w:r w:rsidR="00085BFD">
        <w:rPr>
          <w:rFonts w:eastAsia="標楷體"/>
          <w:spacing w:val="20"/>
          <w:sz w:val="30"/>
        </w:rPr>
        <w:t>45.2</w:t>
      </w:r>
      <w:r w:rsidRPr="005C5E31">
        <w:rPr>
          <w:rFonts w:eastAsia="標楷體" w:hint="eastAsia"/>
          <w:spacing w:val="20"/>
          <w:sz w:val="30"/>
        </w:rPr>
        <w:t>％，較預算數</w:t>
      </w:r>
      <w:r w:rsidR="007F6F39">
        <w:rPr>
          <w:rFonts w:eastAsia="標楷體"/>
          <w:spacing w:val="20"/>
          <w:sz w:val="30"/>
        </w:rPr>
        <w:t>96</w:t>
      </w:r>
      <w:r w:rsidRPr="005C5E31">
        <w:rPr>
          <w:rFonts w:eastAsia="標楷體" w:hint="eastAsia"/>
          <w:spacing w:val="20"/>
          <w:sz w:val="30"/>
        </w:rPr>
        <w:t>億餘元，計增加</w:t>
      </w:r>
      <w:r w:rsidR="007F6F39" w:rsidRPr="007F6F39">
        <w:rPr>
          <w:rFonts w:eastAsia="標楷體"/>
          <w:spacing w:val="20"/>
          <w:sz w:val="30"/>
        </w:rPr>
        <w:t>4,096</w:t>
      </w:r>
      <w:r w:rsidRPr="005C5E31">
        <w:rPr>
          <w:rFonts w:eastAsia="標楷體" w:hint="eastAsia"/>
          <w:spacing w:val="20"/>
          <w:sz w:val="30"/>
        </w:rPr>
        <w:t>億餘元，約</w:t>
      </w:r>
      <w:r w:rsidR="007F6F39" w:rsidRPr="007F6F39">
        <w:rPr>
          <w:rFonts w:eastAsia="標楷體"/>
          <w:spacing w:val="20"/>
          <w:sz w:val="30"/>
        </w:rPr>
        <w:t>4,230.9</w:t>
      </w:r>
      <w:r w:rsidRPr="005C5E31">
        <w:rPr>
          <w:rFonts w:eastAsia="標楷體" w:hint="eastAsia"/>
          <w:spacing w:val="20"/>
          <w:sz w:val="30"/>
        </w:rPr>
        <w:t>％。</w:t>
      </w:r>
    </w:p>
    <w:p w:rsidR="00177136" w:rsidRPr="005C5E31" w:rsidRDefault="00177136" w:rsidP="004F23CB">
      <w:pPr>
        <w:spacing w:line="360" w:lineRule="auto"/>
        <w:ind w:left="1548" w:hanging="425"/>
        <w:jc w:val="both"/>
        <w:rPr>
          <w:rFonts w:eastAsia="標楷體"/>
          <w:spacing w:val="20"/>
          <w:sz w:val="30"/>
        </w:rPr>
      </w:pPr>
      <w:r w:rsidRPr="005C5E31">
        <w:rPr>
          <w:rFonts w:eastAsia="標楷體"/>
          <w:spacing w:val="20"/>
          <w:sz w:val="30"/>
        </w:rPr>
        <w:t>(</w:t>
      </w:r>
      <w:r w:rsidRPr="005C5E31">
        <w:rPr>
          <w:rFonts w:eastAsia="標楷體" w:hint="eastAsia"/>
          <w:spacing w:val="20"/>
          <w:sz w:val="30"/>
        </w:rPr>
        <w:t>2)</w:t>
      </w:r>
      <w:r w:rsidRPr="005C5E31">
        <w:rPr>
          <w:rFonts w:eastAsia="標楷體" w:hint="eastAsia"/>
          <w:spacing w:val="20"/>
          <w:sz w:val="30"/>
        </w:rPr>
        <w:t>提存公積</w:t>
      </w:r>
      <w:r w:rsidR="007F6F39" w:rsidRPr="007F6F39">
        <w:rPr>
          <w:rFonts w:eastAsia="標楷體"/>
          <w:spacing w:val="20"/>
          <w:sz w:val="30"/>
        </w:rPr>
        <w:t>2,242</w:t>
      </w:r>
      <w:r w:rsidRPr="005C5E31">
        <w:rPr>
          <w:rFonts w:eastAsia="標楷體" w:hint="eastAsia"/>
          <w:spacing w:val="20"/>
          <w:sz w:val="30"/>
        </w:rPr>
        <w:t>億餘元，占可分配盈餘總額</w:t>
      </w:r>
      <w:r w:rsidR="007F6F39" w:rsidRPr="007F6F39">
        <w:rPr>
          <w:rFonts w:eastAsia="標楷體"/>
          <w:spacing w:val="20"/>
          <w:sz w:val="30"/>
        </w:rPr>
        <w:t>24.1</w:t>
      </w:r>
      <w:r w:rsidRPr="005C5E31">
        <w:rPr>
          <w:rFonts w:eastAsia="標楷體" w:hint="eastAsia"/>
          <w:spacing w:val="20"/>
          <w:sz w:val="30"/>
        </w:rPr>
        <w:t>％</w:t>
      </w:r>
      <w:r w:rsidRPr="005C5E31">
        <w:rPr>
          <w:rFonts w:ascii="標楷體" w:eastAsia="標楷體" w:hAnsi="標楷體" w:hint="eastAsia"/>
          <w:spacing w:val="20"/>
          <w:sz w:val="30"/>
        </w:rPr>
        <w:t>，</w:t>
      </w:r>
      <w:r w:rsidRPr="005C5E31">
        <w:rPr>
          <w:rFonts w:eastAsia="標楷體" w:hint="eastAsia"/>
          <w:spacing w:val="20"/>
          <w:sz w:val="30"/>
        </w:rPr>
        <w:t>較預算數</w:t>
      </w:r>
      <w:r w:rsidR="007F6F39">
        <w:rPr>
          <w:rFonts w:eastAsia="標楷體"/>
          <w:spacing w:val="20"/>
          <w:sz w:val="30"/>
        </w:rPr>
        <w:t>469</w:t>
      </w:r>
      <w:r w:rsidRPr="005C5E31">
        <w:rPr>
          <w:rFonts w:eastAsia="標楷體" w:hint="eastAsia"/>
          <w:spacing w:val="20"/>
          <w:sz w:val="30"/>
        </w:rPr>
        <w:t>億餘元，計增加</w:t>
      </w:r>
      <w:r w:rsidR="007F6F39" w:rsidRPr="007F6F39">
        <w:rPr>
          <w:rFonts w:eastAsia="標楷體"/>
          <w:spacing w:val="20"/>
          <w:sz w:val="30"/>
        </w:rPr>
        <w:t>1,772</w:t>
      </w:r>
      <w:r w:rsidRPr="005C5E31">
        <w:rPr>
          <w:rFonts w:eastAsia="標楷體" w:hint="eastAsia"/>
          <w:spacing w:val="20"/>
          <w:sz w:val="30"/>
        </w:rPr>
        <w:t>億餘元，約</w:t>
      </w:r>
      <w:r w:rsidR="007F6F39" w:rsidRPr="007F6F39">
        <w:rPr>
          <w:rFonts w:eastAsia="標楷體"/>
          <w:spacing w:val="20"/>
          <w:sz w:val="30"/>
        </w:rPr>
        <w:t>377.3</w:t>
      </w:r>
      <w:r w:rsidRPr="005C5E31">
        <w:rPr>
          <w:rFonts w:eastAsia="標楷體" w:hint="eastAsia"/>
          <w:spacing w:val="20"/>
          <w:sz w:val="30"/>
        </w:rPr>
        <w:t>％。</w:t>
      </w:r>
    </w:p>
    <w:p w:rsidR="00DF32BA" w:rsidRPr="005C5E31" w:rsidRDefault="00DF32BA" w:rsidP="004F23CB">
      <w:pPr>
        <w:spacing w:line="360" w:lineRule="auto"/>
        <w:ind w:left="1548" w:hanging="425"/>
        <w:jc w:val="both"/>
        <w:rPr>
          <w:rFonts w:eastAsia="標楷體"/>
          <w:spacing w:val="20"/>
          <w:sz w:val="30"/>
        </w:rPr>
      </w:pPr>
      <w:r w:rsidRPr="005C5E31">
        <w:rPr>
          <w:rFonts w:eastAsia="標楷體"/>
          <w:spacing w:val="20"/>
          <w:sz w:val="30"/>
        </w:rPr>
        <w:t>(</w:t>
      </w:r>
      <w:r w:rsidRPr="005C5E31">
        <w:rPr>
          <w:rFonts w:eastAsia="標楷體" w:hint="eastAsia"/>
          <w:spacing w:val="20"/>
          <w:sz w:val="30"/>
        </w:rPr>
        <w:t>3)</w:t>
      </w:r>
      <w:r w:rsidRPr="005C5E31">
        <w:rPr>
          <w:rFonts w:eastAsia="標楷體" w:hint="eastAsia"/>
          <w:spacing w:val="22"/>
          <w:sz w:val="30"/>
        </w:rPr>
        <w:t>依國營港務股份有限公司設置條例</w:t>
      </w:r>
      <w:r w:rsidR="000E312D" w:rsidRPr="005C5E31">
        <w:rPr>
          <w:rFonts w:eastAsia="標楷體" w:hint="eastAsia"/>
          <w:spacing w:val="22"/>
          <w:sz w:val="30"/>
        </w:rPr>
        <w:t>規定，</w:t>
      </w:r>
      <w:r w:rsidR="000E312D" w:rsidRPr="005C5E31">
        <w:rPr>
          <w:rFonts w:eastAsia="標楷體" w:hint="eastAsia"/>
          <w:spacing w:val="20"/>
          <w:sz w:val="30"/>
        </w:rPr>
        <w:t>分配航港建設基金</w:t>
      </w:r>
      <w:r w:rsidRPr="005C5E31">
        <w:rPr>
          <w:rFonts w:eastAsia="標楷體" w:hint="eastAsia"/>
          <w:spacing w:val="20"/>
          <w:sz w:val="30"/>
        </w:rPr>
        <w:t>之其他依法分配數及提撥地方政府</w:t>
      </w:r>
      <w:r w:rsidR="007F6F39">
        <w:rPr>
          <w:rFonts w:eastAsia="標楷體"/>
          <w:spacing w:val="20"/>
          <w:sz w:val="30"/>
        </w:rPr>
        <w:t>63</w:t>
      </w:r>
      <w:r w:rsidRPr="005C5E31">
        <w:rPr>
          <w:rFonts w:eastAsia="標楷體" w:hint="eastAsia"/>
          <w:spacing w:val="20"/>
          <w:sz w:val="30"/>
        </w:rPr>
        <w:t>億餘元，占可分配盈餘總額</w:t>
      </w:r>
      <w:r w:rsidR="007F6F39" w:rsidRPr="007F6F39">
        <w:rPr>
          <w:rFonts w:eastAsia="標楷體"/>
          <w:spacing w:val="20"/>
          <w:sz w:val="30"/>
        </w:rPr>
        <w:t>0.7</w:t>
      </w:r>
      <w:r w:rsidRPr="005C5E31">
        <w:rPr>
          <w:rFonts w:eastAsia="標楷體" w:hint="eastAsia"/>
          <w:spacing w:val="20"/>
          <w:sz w:val="30"/>
        </w:rPr>
        <w:t>％</w:t>
      </w:r>
      <w:r w:rsidRPr="005C5E31">
        <w:rPr>
          <w:rFonts w:ascii="標楷體" w:eastAsia="標楷體" w:hAnsi="標楷體" w:hint="eastAsia"/>
          <w:spacing w:val="20"/>
          <w:sz w:val="30"/>
        </w:rPr>
        <w:t>，</w:t>
      </w:r>
      <w:r w:rsidR="003A5879" w:rsidRPr="005C5E31">
        <w:rPr>
          <w:rFonts w:ascii="標楷體" w:eastAsia="標楷體" w:hAnsi="標楷體" w:hint="eastAsia"/>
          <w:spacing w:val="20"/>
          <w:sz w:val="30"/>
        </w:rPr>
        <w:t>較</w:t>
      </w:r>
      <w:r w:rsidRPr="005C5E31">
        <w:rPr>
          <w:rFonts w:eastAsia="標楷體" w:hint="eastAsia"/>
          <w:spacing w:val="20"/>
          <w:sz w:val="30"/>
        </w:rPr>
        <w:t>預算數</w:t>
      </w:r>
      <w:r w:rsidR="007F6F39" w:rsidRPr="007F6F39">
        <w:rPr>
          <w:rFonts w:eastAsia="標楷體"/>
          <w:spacing w:val="20"/>
          <w:sz w:val="30"/>
        </w:rPr>
        <w:t>24</w:t>
      </w:r>
      <w:r w:rsidRPr="005C5E31">
        <w:rPr>
          <w:rFonts w:eastAsia="標楷體" w:hint="eastAsia"/>
          <w:spacing w:val="20"/>
          <w:sz w:val="30"/>
        </w:rPr>
        <w:t>億餘元</w:t>
      </w:r>
      <w:r w:rsidR="0053475A" w:rsidRPr="005C5E31">
        <w:rPr>
          <w:rFonts w:eastAsia="標楷體" w:hint="eastAsia"/>
          <w:spacing w:val="20"/>
          <w:sz w:val="30"/>
        </w:rPr>
        <w:t>，計</w:t>
      </w:r>
      <w:r w:rsidR="00297894">
        <w:rPr>
          <w:rFonts w:eastAsia="標楷體" w:hint="eastAsia"/>
          <w:spacing w:val="20"/>
          <w:sz w:val="30"/>
        </w:rPr>
        <w:t>增加</w:t>
      </w:r>
      <w:r w:rsidR="007F6F39" w:rsidRPr="007F6F39">
        <w:rPr>
          <w:rFonts w:eastAsia="標楷體"/>
          <w:spacing w:val="20"/>
          <w:sz w:val="30"/>
        </w:rPr>
        <w:t>38</w:t>
      </w:r>
      <w:r w:rsidR="0053475A" w:rsidRPr="005C5E31">
        <w:rPr>
          <w:rFonts w:eastAsia="標楷體" w:hint="eastAsia"/>
          <w:spacing w:val="20"/>
          <w:sz w:val="30"/>
        </w:rPr>
        <w:t>億餘元</w:t>
      </w:r>
      <w:r w:rsidRPr="005C5E31">
        <w:rPr>
          <w:rFonts w:eastAsia="標楷體" w:hint="eastAsia"/>
          <w:spacing w:val="20"/>
          <w:sz w:val="30"/>
        </w:rPr>
        <w:t>，約</w:t>
      </w:r>
      <w:r w:rsidR="007F6F39" w:rsidRPr="007F6F39">
        <w:rPr>
          <w:rFonts w:eastAsia="標楷體"/>
          <w:spacing w:val="20"/>
          <w:sz w:val="30"/>
        </w:rPr>
        <w:t>155.2</w:t>
      </w:r>
      <w:r w:rsidRPr="005C5E31">
        <w:rPr>
          <w:rFonts w:eastAsia="標楷體" w:hint="eastAsia"/>
          <w:spacing w:val="20"/>
          <w:sz w:val="30"/>
        </w:rPr>
        <w:t>％。</w:t>
      </w:r>
    </w:p>
    <w:p w:rsidR="00177136" w:rsidRPr="005C5E31" w:rsidRDefault="00DF32BA" w:rsidP="004F23CB">
      <w:pPr>
        <w:spacing w:line="360" w:lineRule="auto"/>
        <w:ind w:left="1548" w:hanging="610"/>
        <w:jc w:val="both"/>
        <w:rPr>
          <w:rFonts w:eastAsia="標楷體"/>
          <w:spacing w:val="20"/>
          <w:sz w:val="30"/>
        </w:rPr>
      </w:pPr>
      <w:r w:rsidRPr="005C5E31">
        <w:rPr>
          <w:rFonts w:eastAsia="標楷體"/>
          <w:spacing w:val="20"/>
          <w:sz w:val="30"/>
        </w:rPr>
        <w:t xml:space="preserve"> </w:t>
      </w:r>
      <w:r w:rsidR="00177136" w:rsidRPr="005C5E31">
        <w:rPr>
          <w:rFonts w:eastAsia="標楷體"/>
          <w:spacing w:val="20"/>
          <w:sz w:val="30"/>
        </w:rPr>
        <w:t>(</w:t>
      </w:r>
      <w:r w:rsidRPr="005C5E31">
        <w:rPr>
          <w:rFonts w:eastAsia="標楷體" w:hint="eastAsia"/>
          <w:spacing w:val="20"/>
          <w:sz w:val="30"/>
        </w:rPr>
        <w:t>4</w:t>
      </w:r>
      <w:r w:rsidR="00177136" w:rsidRPr="005C5E31">
        <w:rPr>
          <w:rFonts w:eastAsia="標楷體" w:hint="eastAsia"/>
          <w:spacing w:val="20"/>
          <w:sz w:val="30"/>
        </w:rPr>
        <w:t>)</w:t>
      </w:r>
      <w:r w:rsidR="00177136" w:rsidRPr="005C5E31">
        <w:rPr>
          <w:rFonts w:eastAsia="標楷體" w:hint="eastAsia"/>
          <w:spacing w:val="12"/>
          <w:sz w:val="30"/>
        </w:rPr>
        <w:t>撥付股（官）息紅利</w:t>
      </w:r>
      <w:r w:rsidR="007F6F39" w:rsidRPr="007F6F39">
        <w:rPr>
          <w:rFonts w:eastAsia="標楷體"/>
          <w:spacing w:val="12"/>
          <w:sz w:val="30"/>
        </w:rPr>
        <w:t>2,005</w:t>
      </w:r>
      <w:r w:rsidR="00177136" w:rsidRPr="005C5E31">
        <w:rPr>
          <w:rFonts w:eastAsia="標楷體" w:hint="eastAsia"/>
          <w:spacing w:val="12"/>
          <w:sz w:val="30"/>
        </w:rPr>
        <w:t>億餘元，占可分配盈餘總額</w:t>
      </w:r>
      <w:r w:rsidR="007F6F39" w:rsidRPr="007F6F39">
        <w:rPr>
          <w:rFonts w:eastAsia="標楷體"/>
          <w:spacing w:val="12"/>
          <w:sz w:val="30"/>
        </w:rPr>
        <w:t>21.6</w:t>
      </w:r>
      <w:r w:rsidR="00177136" w:rsidRPr="005C5E31">
        <w:rPr>
          <w:rFonts w:eastAsia="標楷體" w:hint="eastAsia"/>
          <w:spacing w:val="12"/>
          <w:sz w:val="30"/>
        </w:rPr>
        <w:t>％</w:t>
      </w:r>
      <w:r w:rsidR="00177136" w:rsidRPr="005C5E31">
        <w:rPr>
          <w:rFonts w:ascii="標楷體" w:eastAsia="標楷體" w:hAnsi="標楷體" w:hint="eastAsia"/>
          <w:spacing w:val="20"/>
          <w:sz w:val="30"/>
        </w:rPr>
        <w:t>，</w:t>
      </w:r>
      <w:r w:rsidR="00177136" w:rsidRPr="005C5E31">
        <w:rPr>
          <w:rFonts w:eastAsia="標楷體" w:hint="eastAsia"/>
          <w:spacing w:val="20"/>
          <w:sz w:val="30"/>
        </w:rPr>
        <w:lastRenderedPageBreak/>
        <w:t>較預算數</w:t>
      </w:r>
      <w:r w:rsidR="007F6F39" w:rsidRPr="007F6F39">
        <w:rPr>
          <w:rFonts w:eastAsia="標楷體"/>
          <w:spacing w:val="20"/>
          <w:sz w:val="30"/>
        </w:rPr>
        <w:t>2,069</w:t>
      </w:r>
      <w:r w:rsidR="00177136" w:rsidRPr="005C5E31">
        <w:rPr>
          <w:rFonts w:eastAsia="標楷體" w:hint="eastAsia"/>
          <w:spacing w:val="20"/>
          <w:sz w:val="30"/>
        </w:rPr>
        <w:t>億餘元，計</w:t>
      </w:r>
      <w:r w:rsidR="00745E17">
        <w:rPr>
          <w:rFonts w:eastAsia="標楷體" w:hint="eastAsia"/>
          <w:spacing w:val="20"/>
          <w:sz w:val="30"/>
        </w:rPr>
        <w:t>減少</w:t>
      </w:r>
      <w:r w:rsidR="007F6F39">
        <w:rPr>
          <w:rFonts w:eastAsia="標楷體"/>
          <w:spacing w:val="20"/>
          <w:sz w:val="30"/>
        </w:rPr>
        <w:t>63</w:t>
      </w:r>
      <w:r w:rsidR="00177136" w:rsidRPr="005C5E31">
        <w:rPr>
          <w:rFonts w:eastAsia="標楷體" w:hint="eastAsia"/>
          <w:spacing w:val="20"/>
          <w:sz w:val="30"/>
        </w:rPr>
        <w:t>億餘元，約</w:t>
      </w:r>
      <w:r w:rsidR="007F6F39">
        <w:rPr>
          <w:rFonts w:eastAsia="標楷體"/>
          <w:spacing w:val="20"/>
          <w:sz w:val="30"/>
        </w:rPr>
        <w:t>3.1</w:t>
      </w:r>
      <w:r w:rsidR="00177136" w:rsidRPr="005C5E31">
        <w:rPr>
          <w:rFonts w:eastAsia="標楷體" w:hint="eastAsia"/>
          <w:spacing w:val="20"/>
          <w:sz w:val="30"/>
        </w:rPr>
        <w:t>％。</w:t>
      </w:r>
    </w:p>
    <w:p w:rsidR="00177136" w:rsidRPr="005C5E31" w:rsidRDefault="00DF32BA" w:rsidP="004F23CB">
      <w:pPr>
        <w:spacing w:line="360" w:lineRule="auto"/>
        <w:ind w:left="1548" w:hanging="582"/>
        <w:jc w:val="both"/>
        <w:rPr>
          <w:rFonts w:eastAsia="標楷體"/>
          <w:spacing w:val="20"/>
          <w:sz w:val="30"/>
        </w:rPr>
      </w:pPr>
      <w:r w:rsidRPr="005C5E31">
        <w:rPr>
          <w:rFonts w:eastAsia="標楷體"/>
          <w:spacing w:val="20"/>
          <w:sz w:val="30"/>
        </w:rPr>
        <w:t xml:space="preserve"> </w:t>
      </w:r>
      <w:r w:rsidR="00177136" w:rsidRPr="005C5E31">
        <w:rPr>
          <w:rFonts w:eastAsia="標楷體"/>
          <w:spacing w:val="20"/>
          <w:sz w:val="30"/>
        </w:rPr>
        <w:t>(</w:t>
      </w:r>
      <w:r w:rsidR="00177136" w:rsidRPr="005C5E31">
        <w:rPr>
          <w:rFonts w:eastAsia="標楷體" w:hint="eastAsia"/>
          <w:spacing w:val="20"/>
          <w:sz w:val="30"/>
        </w:rPr>
        <w:t>5)</w:t>
      </w:r>
      <w:r w:rsidR="00177136" w:rsidRPr="005C5E31">
        <w:rPr>
          <w:rFonts w:eastAsia="標楷體" w:hint="eastAsia"/>
          <w:spacing w:val="20"/>
          <w:sz w:val="30"/>
        </w:rPr>
        <w:t>未分配盈餘</w:t>
      </w:r>
      <w:r w:rsidR="007F6F39">
        <w:rPr>
          <w:rFonts w:eastAsia="標楷體"/>
          <w:spacing w:val="20"/>
          <w:sz w:val="30"/>
        </w:rPr>
        <w:t>783</w:t>
      </w:r>
      <w:r w:rsidR="00177136" w:rsidRPr="005C5E31">
        <w:rPr>
          <w:rFonts w:eastAsia="標楷體" w:hint="eastAsia"/>
          <w:spacing w:val="20"/>
          <w:sz w:val="30"/>
        </w:rPr>
        <w:t>億餘元，占可分配盈餘總額</w:t>
      </w:r>
      <w:r w:rsidR="00C953D0">
        <w:rPr>
          <w:rFonts w:eastAsia="標楷體"/>
          <w:spacing w:val="20"/>
          <w:sz w:val="30"/>
        </w:rPr>
        <w:t>8.4</w:t>
      </w:r>
      <w:r w:rsidR="00177136" w:rsidRPr="005C5E31">
        <w:rPr>
          <w:rFonts w:eastAsia="標楷體" w:hint="eastAsia"/>
          <w:spacing w:val="20"/>
          <w:sz w:val="30"/>
        </w:rPr>
        <w:t>％</w:t>
      </w:r>
      <w:r w:rsidR="00177136" w:rsidRPr="005C5E31">
        <w:rPr>
          <w:rFonts w:ascii="標楷體" w:eastAsia="標楷體" w:hAnsi="標楷體" w:hint="eastAsia"/>
          <w:spacing w:val="20"/>
          <w:sz w:val="30"/>
        </w:rPr>
        <w:t>，</w:t>
      </w:r>
      <w:r w:rsidR="00177136" w:rsidRPr="005C5E31">
        <w:rPr>
          <w:rFonts w:eastAsia="標楷體" w:hint="eastAsia"/>
          <w:spacing w:val="20"/>
          <w:sz w:val="30"/>
        </w:rPr>
        <w:t>較預算數</w:t>
      </w:r>
      <w:r w:rsidR="007F6F39" w:rsidRPr="007F6F39">
        <w:rPr>
          <w:rFonts w:eastAsia="標楷體"/>
          <w:spacing w:val="20"/>
          <w:sz w:val="30"/>
        </w:rPr>
        <w:t>20</w:t>
      </w:r>
      <w:r w:rsidR="007F6F39">
        <w:rPr>
          <w:rFonts w:eastAsia="標楷體"/>
          <w:spacing w:val="20"/>
          <w:sz w:val="30"/>
        </w:rPr>
        <w:t>0</w:t>
      </w:r>
      <w:r w:rsidR="00177136" w:rsidRPr="005C5E31">
        <w:rPr>
          <w:rFonts w:eastAsia="標楷體" w:hint="eastAsia"/>
          <w:spacing w:val="20"/>
          <w:sz w:val="30"/>
        </w:rPr>
        <w:t>億餘元，計增加</w:t>
      </w:r>
      <w:r w:rsidR="00745E17">
        <w:rPr>
          <w:rFonts w:eastAsia="標楷體"/>
          <w:spacing w:val="20"/>
          <w:sz w:val="30"/>
        </w:rPr>
        <w:t>5</w:t>
      </w:r>
      <w:r w:rsidR="00197D3C">
        <w:rPr>
          <w:rFonts w:eastAsia="標楷體"/>
          <w:spacing w:val="20"/>
          <w:sz w:val="30"/>
        </w:rPr>
        <w:t>82</w:t>
      </w:r>
      <w:r w:rsidR="00177136" w:rsidRPr="005C5E31">
        <w:rPr>
          <w:rFonts w:eastAsia="標楷體" w:hint="eastAsia"/>
          <w:spacing w:val="20"/>
          <w:sz w:val="30"/>
        </w:rPr>
        <w:t>億餘元，約</w:t>
      </w:r>
      <w:r w:rsidR="00197D3C" w:rsidRPr="00197D3C">
        <w:rPr>
          <w:rFonts w:eastAsia="標楷體"/>
          <w:spacing w:val="20"/>
          <w:sz w:val="30"/>
        </w:rPr>
        <w:t>289.6</w:t>
      </w:r>
      <w:r w:rsidR="00177136" w:rsidRPr="005C5E31">
        <w:rPr>
          <w:rFonts w:eastAsia="標楷體" w:hint="eastAsia"/>
          <w:spacing w:val="20"/>
          <w:sz w:val="30"/>
        </w:rPr>
        <w:t>％。</w:t>
      </w:r>
    </w:p>
    <w:p w:rsidR="00177136" w:rsidRPr="005C5E31" w:rsidRDefault="00177136" w:rsidP="0065555C">
      <w:pPr>
        <w:adjustRightInd w:val="0"/>
        <w:spacing w:afterLines="100" w:after="240" w:line="620" w:lineRule="exact"/>
        <w:ind w:left="1248" w:hanging="227"/>
        <w:jc w:val="both"/>
        <w:rPr>
          <w:rFonts w:eastAsia="標楷體"/>
          <w:spacing w:val="20"/>
          <w:sz w:val="30"/>
        </w:rPr>
      </w:pPr>
      <w:r w:rsidRPr="005C5E31">
        <w:rPr>
          <w:rFonts w:eastAsia="標楷體"/>
          <w:spacing w:val="20"/>
          <w:sz w:val="30"/>
        </w:rPr>
        <w:t>3.</w:t>
      </w:r>
      <w:r w:rsidR="002B3858" w:rsidRPr="005C5E31">
        <w:rPr>
          <w:rFonts w:eastAsia="標楷體" w:hint="eastAsia"/>
          <w:spacing w:val="20"/>
          <w:sz w:val="30"/>
        </w:rPr>
        <w:t>按所得對象分配之情形</w:t>
      </w:r>
    </w:p>
    <w:p w:rsidR="00177136" w:rsidRPr="005C5E31" w:rsidRDefault="00177136" w:rsidP="004F23CB">
      <w:pPr>
        <w:spacing w:line="360" w:lineRule="auto"/>
        <w:ind w:left="1548" w:hanging="425"/>
        <w:jc w:val="both"/>
        <w:rPr>
          <w:rFonts w:eastAsia="標楷體"/>
          <w:spacing w:val="20"/>
          <w:sz w:val="30"/>
        </w:rPr>
      </w:pPr>
      <w:r w:rsidRPr="005C5E31">
        <w:rPr>
          <w:rFonts w:eastAsia="標楷體"/>
          <w:spacing w:val="20"/>
          <w:sz w:val="30"/>
        </w:rPr>
        <w:t>(1</w:t>
      </w:r>
      <w:r w:rsidRPr="005C5E31">
        <w:rPr>
          <w:rFonts w:eastAsia="標楷體" w:hint="eastAsia"/>
          <w:spacing w:val="20"/>
          <w:sz w:val="30"/>
        </w:rPr>
        <w:t>)</w:t>
      </w:r>
      <w:r w:rsidRPr="005C5E31">
        <w:rPr>
          <w:rFonts w:eastAsia="標楷體" w:hint="eastAsia"/>
          <w:spacing w:val="20"/>
          <w:sz w:val="30"/>
        </w:rPr>
        <w:t>中央政府及地方政府股（官）息紅利共</w:t>
      </w:r>
      <w:r w:rsidR="006044A4">
        <w:rPr>
          <w:rFonts w:eastAsia="標楷體"/>
          <w:spacing w:val="20"/>
          <w:sz w:val="30"/>
        </w:rPr>
        <w:t>2,003</w:t>
      </w:r>
      <w:r w:rsidRPr="005C5E31">
        <w:rPr>
          <w:rFonts w:eastAsia="標楷體" w:hint="eastAsia"/>
          <w:spacing w:val="20"/>
          <w:sz w:val="30"/>
        </w:rPr>
        <w:t>億餘元，占可分配盈餘總額</w:t>
      </w:r>
      <w:r w:rsidR="006044A4" w:rsidRPr="006044A4">
        <w:rPr>
          <w:rFonts w:eastAsia="標楷體"/>
          <w:spacing w:val="20"/>
          <w:sz w:val="30"/>
        </w:rPr>
        <w:t>21.</w:t>
      </w:r>
      <w:r w:rsidR="00F81856">
        <w:rPr>
          <w:rFonts w:eastAsia="標楷體"/>
          <w:spacing w:val="20"/>
          <w:sz w:val="30"/>
        </w:rPr>
        <w:t>5</w:t>
      </w:r>
      <w:r w:rsidRPr="005C5E31">
        <w:rPr>
          <w:rFonts w:eastAsia="標楷體" w:hint="eastAsia"/>
          <w:spacing w:val="20"/>
          <w:sz w:val="30"/>
        </w:rPr>
        <w:t>％。</w:t>
      </w:r>
    </w:p>
    <w:p w:rsidR="00177136" w:rsidRPr="005C5E31" w:rsidRDefault="00177136" w:rsidP="004F23CB">
      <w:pPr>
        <w:spacing w:line="360" w:lineRule="auto"/>
        <w:ind w:left="1548" w:hanging="425"/>
        <w:jc w:val="both"/>
        <w:rPr>
          <w:rFonts w:eastAsia="標楷體"/>
          <w:spacing w:val="20"/>
          <w:sz w:val="30"/>
        </w:rPr>
      </w:pPr>
      <w:r w:rsidRPr="005C5E31">
        <w:rPr>
          <w:rFonts w:eastAsia="標楷體"/>
          <w:spacing w:val="20"/>
          <w:sz w:val="30"/>
        </w:rPr>
        <w:t>(2)</w:t>
      </w:r>
      <w:r w:rsidRPr="005C5E31">
        <w:rPr>
          <w:rFonts w:eastAsia="標楷體" w:hint="eastAsia"/>
          <w:spacing w:val="20"/>
          <w:sz w:val="30"/>
        </w:rPr>
        <w:t>其他政府機關及民股股東股（官）息紅利共</w:t>
      </w:r>
      <w:r w:rsidR="006044A4">
        <w:rPr>
          <w:rFonts w:eastAsia="標楷體"/>
          <w:spacing w:val="20"/>
          <w:sz w:val="30"/>
        </w:rPr>
        <w:t>1</w:t>
      </w:r>
      <w:r w:rsidRPr="005C5E31">
        <w:rPr>
          <w:rFonts w:eastAsia="標楷體" w:hint="eastAsia"/>
          <w:spacing w:val="20"/>
          <w:sz w:val="30"/>
        </w:rPr>
        <w:t>億餘元，占可分配盈餘總額</w:t>
      </w:r>
      <w:r w:rsidR="00DD3375" w:rsidRPr="005C5E31">
        <w:rPr>
          <w:rFonts w:eastAsia="標楷體" w:hint="eastAsia"/>
          <w:spacing w:val="20"/>
          <w:sz w:val="30"/>
        </w:rPr>
        <w:t>0.</w:t>
      </w:r>
      <w:r w:rsidR="001906BC" w:rsidRPr="005C5E31">
        <w:rPr>
          <w:rFonts w:eastAsia="標楷體"/>
          <w:spacing w:val="20"/>
          <w:sz w:val="30"/>
        </w:rPr>
        <w:t>1</w:t>
      </w:r>
      <w:r w:rsidRPr="005C5E31">
        <w:rPr>
          <w:rFonts w:eastAsia="標楷體" w:hint="eastAsia"/>
          <w:spacing w:val="20"/>
          <w:sz w:val="30"/>
        </w:rPr>
        <w:t>％。</w:t>
      </w:r>
    </w:p>
    <w:p w:rsidR="00177136" w:rsidRPr="005C5E31" w:rsidRDefault="00177136" w:rsidP="004F23CB">
      <w:pPr>
        <w:spacing w:line="360" w:lineRule="auto"/>
        <w:ind w:left="1548" w:hanging="425"/>
        <w:jc w:val="both"/>
        <w:rPr>
          <w:rFonts w:eastAsia="標楷體"/>
          <w:spacing w:val="20"/>
          <w:sz w:val="30"/>
        </w:rPr>
      </w:pPr>
      <w:r w:rsidRPr="005C5E31">
        <w:rPr>
          <w:rFonts w:eastAsia="標楷體"/>
          <w:spacing w:val="20"/>
          <w:sz w:val="30"/>
        </w:rPr>
        <w:t>(3)</w:t>
      </w:r>
      <w:r w:rsidRPr="005C5E31">
        <w:rPr>
          <w:rFonts w:eastAsia="標楷體" w:hint="eastAsia"/>
          <w:spacing w:val="20"/>
          <w:sz w:val="30"/>
        </w:rPr>
        <w:t>依法分配航港建設基金及提撥地方政府共</w:t>
      </w:r>
      <w:r w:rsidR="006044A4">
        <w:rPr>
          <w:rFonts w:eastAsia="標楷體"/>
          <w:spacing w:val="20"/>
          <w:sz w:val="30"/>
        </w:rPr>
        <w:t>63</w:t>
      </w:r>
      <w:r w:rsidRPr="005C5E31">
        <w:rPr>
          <w:rFonts w:eastAsia="標楷體" w:hint="eastAsia"/>
          <w:spacing w:val="20"/>
          <w:sz w:val="30"/>
        </w:rPr>
        <w:t>億餘元，占可分配盈餘總額</w:t>
      </w:r>
      <w:r w:rsidR="006044A4">
        <w:rPr>
          <w:rFonts w:eastAsia="標楷體"/>
          <w:spacing w:val="20"/>
          <w:sz w:val="30"/>
        </w:rPr>
        <w:t>0.7</w:t>
      </w:r>
      <w:r w:rsidRPr="005C5E31">
        <w:rPr>
          <w:rFonts w:eastAsia="標楷體" w:hint="eastAsia"/>
          <w:spacing w:val="20"/>
          <w:sz w:val="30"/>
        </w:rPr>
        <w:t>％。</w:t>
      </w:r>
    </w:p>
    <w:p w:rsidR="00864F3F" w:rsidRDefault="00177136" w:rsidP="004F23CB">
      <w:pPr>
        <w:spacing w:line="360" w:lineRule="auto"/>
        <w:ind w:left="1548" w:hanging="425"/>
        <w:jc w:val="both"/>
        <w:rPr>
          <w:rFonts w:eastAsia="標楷體"/>
          <w:spacing w:val="20"/>
          <w:sz w:val="30"/>
        </w:rPr>
      </w:pPr>
      <w:r w:rsidRPr="005C5E31">
        <w:rPr>
          <w:rFonts w:eastAsia="標楷體"/>
          <w:spacing w:val="20"/>
          <w:sz w:val="30"/>
        </w:rPr>
        <w:t>(</w:t>
      </w:r>
      <w:r w:rsidRPr="005C5E31">
        <w:rPr>
          <w:rFonts w:eastAsia="標楷體" w:hint="eastAsia"/>
          <w:spacing w:val="20"/>
          <w:sz w:val="30"/>
        </w:rPr>
        <w:t>4</w:t>
      </w:r>
      <w:r w:rsidRPr="005C5E31">
        <w:rPr>
          <w:rFonts w:eastAsia="標楷體"/>
          <w:spacing w:val="20"/>
          <w:sz w:val="30"/>
        </w:rPr>
        <w:t>)</w:t>
      </w:r>
      <w:r w:rsidRPr="005C5E31">
        <w:rPr>
          <w:rFonts w:eastAsia="標楷體" w:hint="eastAsia"/>
          <w:spacing w:val="20"/>
          <w:sz w:val="30"/>
        </w:rPr>
        <w:t>留存事業機</w:t>
      </w:r>
      <w:r w:rsidR="003E3DD9">
        <w:rPr>
          <w:rFonts w:eastAsia="標楷體" w:hint="eastAsia"/>
          <w:spacing w:val="20"/>
          <w:sz w:val="30"/>
        </w:rPr>
        <w:t>關</w:t>
      </w:r>
      <w:r w:rsidR="006044A4" w:rsidRPr="006044A4">
        <w:rPr>
          <w:rFonts w:eastAsia="標楷體"/>
          <w:spacing w:val="20"/>
          <w:sz w:val="30"/>
        </w:rPr>
        <w:t>7,218</w:t>
      </w:r>
      <w:r w:rsidRPr="005C5E31">
        <w:rPr>
          <w:rFonts w:eastAsia="標楷體" w:hint="eastAsia"/>
          <w:spacing w:val="20"/>
          <w:sz w:val="30"/>
        </w:rPr>
        <w:t>億餘元，占可分配盈餘總額</w:t>
      </w:r>
      <w:r w:rsidR="006044A4">
        <w:rPr>
          <w:rFonts w:eastAsia="標楷體"/>
          <w:spacing w:val="20"/>
          <w:sz w:val="30"/>
        </w:rPr>
        <w:t>77.7</w:t>
      </w:r>
      <w:r w:rsidRPr="005C5E31">
        <w:rPr>
          <w:rFonts w:eastAsia="標楷體" w:hint="eastAsia"/>
          <w:spacing w:val="20"/>
          <w:sz w:val="30"/>
        </w:rPr>
        <w:t>％，</w:t>
      </w:r>
      <w:r w:rsidR="007B1924">
        <w:rPr>
          <w:rFonts w:eastAsia="標楷體" w:hint="eastAsia"/>
          <w:spacing w:val="20"/>
          <w:sz w:val="30"/>
        </w:rPr>
        <w:t>包含</w:t>
      </w:r>
      <w:r w:rsidRPr="005C5E31">
        <w:rPr>
          <w:rFonts w:eastAsia="標楷體" w:hint="eastAsia"/>
          <w:spacing w:val="20"/>
          <w:sz w:val="30"/>
        </w:rPr>
        <w:t>填補虧損</w:t>
      </w:r>
      <w:r w:rsidR="006044A4" w:rsidRPr="006044A4">
        <w:rPr>
          <w:rFonts w:eastAsia="標楷體"/>
          <w:spacing w:val="20"/>
          <w:sz w:val="30"/>
        </w:rPr>
        <w:t>4,193</w:t>
      </w:r>
      <w:r w:rsidRPr="005C5E31">
        <w:rPr>
          <w:rFonts w:eastAsia="標楷體" w:hint="eastAsia"/>
          <w:spacing w:val="20"/>
          <w:sz w:val="30"/>
        </w:rPr>
        <w:t>億餘元</w:t>
      </w:r>
      <w:r w:rsidR="0088715E">
        <w:rPr>
          <w:rFonts w:eastAsia="標楷體" w:hint="eastAsia"/>
          <w:spacing w:val="20"/>
          <w:sz w:val="30"/>
        </w:rPr>
        <w:t>，</w:t>
      </w:r>
      <w:r w:rsidRPr="005C5E31">
        <w:rPr>
          <w:rFonts w:eastAsia="標楷體" w:hint="eastAsia"/>
          <w:spacing w:val="20"/>
          <w:sz w:val="30"/>
        </w:rPr>
        <w:t>提存</w:t>
      </w:r>
      <w:r w:rsidRPr="00F95E28">
        <w:rPr>
          <w:rFonts w:eastAsia="標楷體" w:hint="eastAsia"/>
          <w:spacing w:val="20"/>
          <w:sz w:val="30"/>
        </w:rPr>
        <w:t>法定公積</w:t>
      </w:r>
      <w:r w:rsidR="00C71CF6" w:rsidRPr="00F95E28">
        <w:rPr>
          <w:rFonts w:eastAsia="標楷體" w:hint="eastAsia"/>
          <w:spacing w:val="20"/>
          <w:sz w:val="30"/>
        </w:rPr>
        <w:t>及特別公積</w:t>
      </w:r>
      <w:r w:rsidR="00F95E28">
        <w:rPr>
          <w:rFonts w:eastAsia="標楷體" w:hint="eastAsia"/>
          <w:spacing w:val="20"/>
          <w:sz w:val="30"/>
        </w:rPr>
        <w:t>合計</w:t>
      </w:r>
      <w:r w:rsidR="006044A4" w:rsidRPr="006044A4">
        <w:rPr>
          <w:rFonts w:eastAsia="標楷體"/>
          <w:spacing w:val="20"/>
          <w:sz w:val="30"/>
        </w:rPr>
        <w:t>2,242</w:t>
      </w:r>
      <w:r w:rsidRPr="005C5E31">
        <w:rPr>
          <w:rFonts w:eastAsia="標楷體" w:hint="eastAsia"/>
          <w:spacing w:val="20"/>
          <w:sz w:val="30"/>
        </w:rPr>
        <w:t>億餘元，未分配盈餘</w:t>
      </w:r>
      <w:r w:rsidR="0088715E" w:rsidRPr="0088715E">
        <w:rPr>
          <w:rFonts w:eastAsia="標楷體"/>
          <w:spacing w:val="20"/>
          <w:sz w:val="30"/>
        </w:rPr>
        <w:t>7</w:t>
      </w:r>
      <w:r w:rsidR="006044A4">
        <w:rPr>
          <w:rFonts w:eastAsia="標楷體"/>
          <w:spacing w:val="20"/>
          <w:sz w:val="30"/>
        </w:rPr>
        <w:t>83</w:t>
      </w:r>
      <w:r w:rsidRPr="005C5E31">
        <w:rPr>
          <w:rFonts w:eastAsia="標楷體" w:hint="eastAsia"/>
          <w:spacing w:val="20"/>
          <w:sz w:val="30"/>
        </w:rPr>
        <w:t>億餘元。</w:t>
      </w:r>
    </w:p>
    <w:p w:rsidR="0041030E" w:rsidRPr="005C5E31" w:rsidRDefault="0041030E" w:rsidP="00F7223A">
      <w:pPr>
        <w:tabs>
          <w:tab w:val="center" w:pos="5287"/>
        </w:tabs>
        <w:spacing w:beforeLines="150" w:before="360" w:afterLines="50" w:after="120" w:line="360" w:lineRule="auto"/>
        <w:ind w:left="482"/>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二</w:t>
      </w:r>
      <w:r w:rsidRPr="005C5E31">
        <w:rPr>
          <w:rFonts w:eastAsia="標楷體" w:hint="eastAsia"/>
          <w:b/>
          <w:spacing w:val="20"/>
          <w:sz w:val="30"/>
          <w:szCs w:val="30"/>
        </w:rPr>
        <w:t>)</w:t>
      </w:r>
      <w:r w:rsidRPr="00F75D1D">
        <w:rPr>
          <w:rFonts w:eastAsia="標楷體" w:hint="eastAsia"/>
          <w:b/>
          <w:spacing w:val="20"/>
          <w:sz w:val="30"/>
          <w:szCs w:val="30"/>
        </w:rPr>
        <w:t>虧損填補</w:t>
      </w:r>
    </w:p>
    <w:p w:rsidR="0065555C" w:rsidRDefault="0041030E" w:rsidP="0065555C">
      <w:pPr>
        <w:adjustRightInd w:val="0"/>
        <w:spacing w:beforeLines="50" w:before="120" w:line="360" w:lineRule="auto"/>
        <w:ind w:left="1021"/>
        <w:jc w:val="both"/>
        <w:rPr>
          <w:rFonts w:eastAsia="標楷體"/>
          <w:spacing w:val="20"/>
          <w:sz w:val="30"/>
        </w:rPr>
      </w:pPr>
      <w:r w:rsidRPr="005C5E31">
        <w:rPr>
          <w:rFonts w:eastAsia="標楷體" w:hint="eastAsia"/>
          <w:spacing w:val="20"/>
          <w:sz w:val="30"/>
        </w:rPr>
        <w:t>本年度決算列有虧損者，計有</w:t>
      </w:r>
      <w:r w:rsidR="00B022DC" w:rsidRPr="008165E0">
        <w:rPr>
          <w:rFonts w:eastAsia="標楷體" w:hint="eastAsia"/>
          <w:spacing w:val="20"/>
          <w:sz w:val="30"/>
        </w:rPr>
        <w:t>台灣中油股份有限公司</w:t>
      </w:r>
      <w:r w:rsidR="00F75D1D">
        <w:rPr>
          <w:rFonts w:eastAsia="標楷體" w:hint="eastAsia"/>
          <w:spacing w:val="20"/>
          <w:sz w:val="30"/>
        </w:rPr>
        <w:t>、</w:t>
      </w:r>
      <w:r w:rsidR="00F75D1D" w:rsidRPr="00F75D1D">
        <w:rPr>
          <w:rFonts w:eastAsia="標楷體" w:hint="eastAsia"/>
          <w:spacing w:val="20"/>
          <w:sz w:val="30"/>
        </w:rPr>
        <w:t>台灣電力股份有限公司</w:t>
      </w:r>
      <w:r w:rsidR="00B022DC" w:rsidRPr="008165E0">
        <w:rPr>
          <w:rFonts w:eastAsia="標楷體" w:hint="eastAsia"/>
          <w:spacing w:val="20"/>
          <w:sz w:val="30"/>
        </w:rPr>
        <w:t>、</w:t>
      </w:r>
      <w:r w:rsidRPr="008165E0">
        <w:rPr>
          <w:rFonts w:eastAsia="標楷體"/>
          <w:spacing w:val="20"/>
          <w:sz w:val="30"/>
        </w:rPr>
        <w:t>交通部臺灣鐵路管理局</w:t>
      </w:r>
      <w:r w:rsidR="00B022DC" w:rsidRPr="008165E0">
        <w:rPr>
          <w:rFonts w:eastAsia="標楷體" w:hint="eastAsia"/>
          <w:spacing w:val="20"/>
          <w:sz w:val="30"/>
        </w:rPr>
        <w:t>及桃園國際機場股份有限公司</w:t>
      </w:r>
      <w:r w:rsidR="00B022DC" w:rsidRPr="008165E0">
        <w:rPr>
          <w:rFonts w:eastAsia="標楷體"/>
          <w:spacing w:val="10"/>
          <w:sz w:val="30"/>
        </w:rPr>
        <w:t>4</w:t>
      </w:r>
      <w:r w:rsidRPr="008165E0">
        <w:rPr>
          <w:rFonts w:eastAsia="標楷體" w:hint="eastAsia"/>
          <w:spacing w:val="20"/>
          <w:sz w:val="30"/>
        </w:rPr>
        <w:t>單位。本</w:t>
      </w:r>
      <w:r w:rsidRPr="008165E0">
        <w:rPr>
          <w:rFonts w:eastAsia="標楷體"/>
          <w:spacing w:val="20"/>
          <w:sz w:val="30"/>
        </w:rPr>
        <w:t>年度決算淨損</w:t>
      </w:r>
      <w:r w:rsidR="00F75D1D">
        <w:rPr>
          <w:rFonts w:eastAsia="標楷體"/>
          <w:spacing w:val="20"/>
          <w:sz w:val="30"/>
        </w:rPr>
        <w:t>4,276</w:t>
      </w:r>
      <w:r w:rsidRPr="008165E0">
        <w:rPr>
          <w:rFonts w:eastAsia="標楷體" w:hint="eastAsia"/>
          <w:spacing w:val="20"/>
          <w:sz w:val="30"/>
        </w:rPr>
        <w:t>億餘元，累積虧損</w:t>
      </w:r>
      <w:r w:rsidR="00F75D1D">
        <w:rPr>
          <w:rFonts w:eastAsia="標楷體"/>
          <w:spacing w:val="20"/>
          <w:sz w:val="30"/>
        </w:rPr>
        <w:t>2</w:t>
      </w:r>
      <w:r w:rsidR="000A5927">
        <w:rPr>
          <w:rFonts w:eastAsia="標楷體"/>
          <w:spacing w:val="20"/>
          <w:sz w:val="30"/>
        </w:rPr>
        <w:t>,</w:t>
      </w:r>
      <w:r w:rsidR="00F75D1D">
        <w:rPr>
          <w:rFonts w:eastAsia="標楷體"/>
          <w:spacing w:val="20"/>
          <w:sz w:val="30"/>
        </w:rPr>
        <w:t>283</w:t>
      </w:r>
      <w:r w:rsidRPr="008165E0">
        <w:rPr>
          <w:rFonts w:eastAsia="標楷體" w:hint="eastAsia"/>
          <w:spacing w:val="20"/>
          <w:sz w:val="30"/>
        </w:rPr>
        <w:t>億餘元</w:t>
      </w:r>
      <w:r w:rsidR="00F75D1D">
        <w:rPr>
          <w:rFonts w:eastAsia="標楷體" w:hint="eastAsia"/>
          <w:spacing w:val="20"/>
          <w:sz w:val="30"/>
        </w:rPr>
        <w:t>、</w:t>
      </w:r>
      <w:r w:rsidR="00F75D1D" w:rsidRPr="00F75D1D">
        <w:rPr>
          <w:rFonts w:eastAsia="標楷體" w:hint="eastAsia"/>
          <w:spacing w:val="20"/>
          <w:sz w:val="30"/>
        </w:rPr>
        <w:t>追溯適用及追溯重編之影響數</w:t>
      </w:r>
      <w:r w:rsidR="00F75D1D">
        <w:rPr>
          <w:rFonts w:eastAsia="標楷體" w:hint="eastAsia"/>
          <w:spacing w:val="20"/>
          <w:sz w:val="30"/>
        </w:rPr>
        <w:t>461</w:t>
      </w:r>
      <w:r w:rsidR="00F75D1D">
        <w:rPr>
          <w:rFonts w:eastAsia="標楷體" w:hint="eastAsia"/>
          <w:spacing w:val="20"/>
          <w:sz w:val="30"/>
        </w:rPr>
        <w:t>億餘元</w:t>
      </w:r>
      <w:r w:rsidRPr="008165E0">
        <w:rPr>
          <w:rFonts w:eastAsia="標楷體" w:hint="eastAsia"/>
          <w:spacing w:val="20"/>
          <w:sz w:val="30"/>
        </w:rPr>
        <w:t>及其他綜合損益轉入數</w:t>
      </w:r>
      <w:r w:rsidR="00F75D1D">
        <w:rPr>
          <w:rFonts w:eastAsia="標楷體"/>
          <w:spacing w:val="20"/>
          <w:sz w:val="30"/>
        </w:rPr>
        <w:t>11</w:t>
      </w:r>
      <w:r w:rsidRPr="008165E0">
        <w:rPr>
          <w:rFonts w:eastAsia="標楷體" w:hint="eastAsia"/>
          <w:spacing w:val="20"/>
          <w:sz w:val="30"/>
        </w:rPr>
        <w:t>億餘元，合計</w:t>
      </w:r>
      <w:r w:rsidR="00F75D1D">
        <w:rPr>
          <w:rFonts w:eastAsia="標楷體" w:hint="eastAsia"/>
          <w:spacing w:val="20"/>
          <w:sz w:val="30"/>
        </w:rPr>
        <w:t>7</w:t>
      </w:r>
      <w:r w:rsidRPr="008165E0">
        <w:rPr>
          <w:rFonts w:eastAsia="標楷體" w:hint="eastAsia"/>
          <w:spacing w:val="20"/>
          <w:sz w:val="30"/>
        </w:rPr>
        <w:t>,</w:t>
      </w:r>
      <w:r w:rsidR="00F75D1D">
        <w:rPr>
          <w:rFonts w:eastAsia="標楷體"/>
          <w:spacing w:val="20"/>
          <w:sz w:val="30"/>
        </w:rPr>
        <w:t>032</w:t>
      </w:r>
      <w:r w:rsidRPr="008165E0">
        <w:rPr>
          <w:rFonts w:eastAsia="標楷體" w:hint="eastAsia"/>
          <w:spacing w:val="20"/>
          <w:sz w:val="30"/>
        </w:rPr>
        <w:t>億餘元，除</w:t>
      </w:r>
      <w:r w:rsidR="00133109" w:rsidRPr="00133109">
        <w:rPr>
          <w:rFonts w:eastAsia="標楷體" w:hint="eastAsia"/>
          <w:spacing w:val="20"/>
          <w:sz w:val="30"/>
        </w:rPr>
        <w:t>中央政府出資</w:t>
      </w:r>
      <w:r w:rsidR="00133109">
        <w:rPr>
          <w:rFonts w:eastAsia="標楷體" w:hint="eastAsia"/>
          <w:spacing w:val="20"/>
          <w:sz w:val="30"/>
        </w:rPr>
        <w:t>填補</w:t>
      </w:r>
      <w:r w:rsidR="00133109" w:rsidRPr="00133109">
        <w:rPr>
          <w:rFonts w:eastAsia="標楷體" w:hint="eastAsia"/>
          <w:spacing w:val="20"/>
          <w:sz w:val="30"/>
        </w:rPr>
        <w:t>39</w:t>
      </w:r>
      <w:r w:rsidR="00133109" w:rsidRPr="00133109">
        <w:rPr>
          <w:rFonts w:eastAsia="標楷體" w:hint="eastAsia"/>
          <w:spacing w:val="20"/>
          <w:sz w:val="30"/>
        </w:rPr>
        <w:t>億餘元及</w:t>
      </w:r>
      <w:r w:rsidRPr="008165E0">
        <w:rPr>
          <w:rFonts w:eastAsia="標楷體" w:hint="eastAsia"/>
          <w:spacing w:val="20"/>
          <w:sz w:val="30"/>
        </w:rPr>
        <w:t>撥用盈餘</w:t>
      </w:r>
      <w:r w:rsidR="00F75D1D">
        <w:rPr>
          <w:rFonts w:eastAsia="標楷體"/>
          <w:spacing w:val="20"/>
          <w:sz w:val="30"/>
        </w:rPr>
        <w:t>4,193</w:t>
      </w:r>
      <w:r w:rsidRPr="008165E0">
        <w:rPr>
          <w:rFonts w:eastAsia="標楷體" w:hint="eastAsia"/>
          <w:spacing w:val="20"/>
          <w:sz w:val="30"/>
        </w:rPr>
        <w:t>億餘元填</w:t>
      </w:r>
      <w:r w:rsidRPr="008165E0">
        <w:rPr>
          <w:rFonts w:eastAsia="標楷體"/>
          <w:spacing w:val="20"/>
          <w:sz w:val="30"/>
        </w:rPr>
        <w:t>補</w:t>
      </w:r>
      <w:r w:rsidRPr="008165E0">
        <w:rPr>
          <w:rFonts w:eastAsia="標楷體" w:hint="eastAsia"/>
          <w:spacing w:val="20"/>
          <w:sz w:val="30"/>
        </w:rPr>
        <w:t>外，尚有待填補之虧損</w:t>
      </w:r>
      <w:r w:rsidRPr="008165E0">
        <w:rPr>
          <w:rFonts w:eastAsia="標楷體" w:hint="eastAsia"/>
          <w:spacing w:val="20"/>
          <w:sz w:val="30"/>
        </w:rPr>
        <w:t>2,</w:t>
      </w:r>
      <w:r w:rsidR="00F75D1D">
        <w:rPr>
          <w:rFonts w:eastAsia="標楷體"/>
          <w:spacing w:val="20"/>
          <w:sz w:val="30"/>
        </w:rPr>
        <w:t>800</w:t>
      </w:r>
      <w:r w:rsidRPr="008165E0">
        <w:rPr>
          <w:rFonts w:eastAsia="標楷體" w:hint="eastAsia"/>
          <w:spacing w:val="20"/>
          <w:sz w:val="30"/>
        </w:rPr>
        <w:t>億餘元，</w:t>
      </w:r>
      <w:r w:rsidRPr="008165E0">
        <w:rPr>
          <w:rFonts w:eastAsia="標楷體"/>
          <w:spacing w:val="20"/>
          <w:sz w:val="30"/>
        </w:rPr>
        <w:t>包括</w:t>
      </w:r>
      <w:r w:rsidR="00816D51" w:rsidRPr="008165E0">
        <w:rPr>
          <w:rFonts w:eastAsia="標楷體" w:hint="eastAsia"/>
          <w:spacing w:val="20"/>
          <w:sz w:val="30"/>
        </w:rPr>
        <w:t>台灣中油股份有限公司</w:t>
      </w:r>
      <w:r w:rsidR="00F75D1D">
        <w:rPr>
          <w:rFonts w:eastAsia="標楷體"/>
          <w:spacing w:val="20"/>
          <w:sz w:val="30"/>
        </w:rPr>
        <w:t>663</w:t>
      </w:r>
      <w:r w:rsidR="00816D51" w:rsidRPr="008165E0">
        <w:rPr>
          <w:rFonts w:eastAsia="標楷體" w:hint="eastAsia"/>
          <w:spacing w:val="20"/>
          <w:sz w:val="30"/>
        </w:rPr>
        <w:t>億</w:t>
      </w:r>
      <w:r w:rsidR="00816D51" w:rsidRPr="008165E0">
        <w:rPr>
          <w:rFonts w:eastAsia="標楷體"/>
          <w:spacing w:val="20"/>
          <w:sz w:val="30"/>
        </w:rPr>
        <w:t>餘元</w:t>
      </w:r>
      <w:r w:rsidR="00816D51" w:rsidRPr="008165E0">
        <w:rPr>
          <w:rFonts w:eastAsia="標楷體" w:hint="eastAsia"/>
          <w:spacing w:val="20"/>
          <w:sz w:val="30"/>
        </w:rPr>
        <w:t>、</w:t>
      </w:r>
      <w:r w:rsidR="00386000" w:rsidRPr="008165E0">
        <w:rPr>
          <w:rFonts w:eastAsia="標楷體"/>
          <w:spacing w:val="20"/>
          <w:sz w:val="30"/>
        </w:rPr>
        <w:t>台灣電力股份有限公司</w:t>
      </w:r>
      <w:r w:rsidR="00F75D1D">
        <w:rPr>
          <w:rFonts w:eastAsia="標楷體"/>
          <w:spacing w:val="20"/>
          <w:sz w:val="30"/>
        </w:rPr>
        <w:t>2,063</w:t>
      </w:r>
      <w:r w:rsidR="00386000" w:rsidRPr="008165E0">
        <w:rPr>
          <w:rFonts w:eastAsia="標楷體" w:hint="eastAsia"/>
          <w:spacing w:val="20"/>
          <w:sz w:val="30"/>
        </w:rPr>
        <w:t>億</w:t>
      </w:r>
      <w:r w:rsidR="00386000" w:rsidRPr="008165E0">
        <w:rPr>
          <w:rFonts w:eastAsia="標楷體"/>
          <w:spacing w:val="20"/>
          <w:sz w:val="30"/>
        </w:rPr>
        <w:t>餘元</w:t>
      </w:r>
      <w:r w:rsidR="00816D51" w:rsidRPr="008165E0">
        <w:rPr>
          <w:rFonts w:eastAsia="標楷體" w:hint="eastAsia"/>
          <w:spacing w:val="20"/>
          <w:sz w:val="30"/>
        </w:rPr>
        <w:t>及桃園國際機場股份有限公司</w:t>
      </w:r>
      <w:r w:rsidR="00F75D1D">
        <w:rPr>
          <w:rFonts w:eastAsia="標楷體"/>
          <w:spacing w:val="20"/>
          <w:sz w:val="30"/>
        </w:rPr>
        <w:t>73</w:t>
      </w:r>
      <w:r w:rsidRPr="005C5E31">
        <w:rPr>
          <w:rFonts w:eastAsia="標楷體" w:hint="eastAsia"/>
          <w:spacing w:val="20"/>
          <w:sz w:val="30"/>
        </w:rPr>
        <w:t>億</w:t>
      </w:r>
      <w:r w:rsidRPr="005C5E31">
        <w:rPr>
          <w:rFonts w:eastAsia="標楷體"/>
          <w:spacing w:val="20"/>
          <w:sz w:val="30"/>
        </w:rPr>
        <w:t>餘元</w:t>
      </w:r>
      <w:r w:rsidR="000469FD" w:rsidRPr="008165E0">
        <w:rPr>
          <w:rFonts w:eastAsia="標楷體" w:hint="eastAsia"/>
          <w:spacing w:val="20"/>
          <w:sz w:val="30"/>
        </w:rPr>
        <w:t>，留待以後年度填補</w:t>
      </w:r>
      <w:r w:rsidRPr="005C5E31">
        <w:rPr>
          <w:rFonts w:eastAsia="標楷體" w:hint="eastAsia"/>
          <w:spacing w:val="20"/>
          <w:sz w:val="30"/>
        </w:rPr>
        <w:t>。</w:t>
      </w:r>
    </w:p>
    <w:p w:rsidR="00177136" w:rsidRPr="004A0AB4" w:rsidRDefault="00177136" w:rsidP="00DE6D6C">
      <w:pPr>
        <w:spacing w:beforeLines="150" w:before="360" w:line="580" w:lineRule="exact"/>
        <w:ind w:left="1548" w:hanging="425"/>
        <w:jc w:val="center"/>
        <w:rPr>
          <w:rFonts w:eastAsia="標楷體"/>
          <w:b/>
          <w:spacing w:val="20"/>
          <w:sz w:val="28"/>
          <w:szCs w:val="28"/>
        </w:rPr>
      </w:pPr>
      <w:r w:rsidRPr="004A0AB4">
        <w:rPr>
          <w:rFonts w:eastAsia="標楷體" w:hint="eastAsia"/>
          <w:b/>
          <w:spacing w:val="20"/>
          <w:sz w:val="28"/>
          <w:szCs w:val="28"/>
        </w:rPr>
        <w:lastRenderedPageBreak/>
        <w:t>表</w:t>
      </w:r>
      <w:r w:rsidRPr="004A0AB4">
        <w:rPr>
          <w:rFonts w:eastAsia="標楷體" w:hint="eastAsia"/>
          <w:b/>
          <w:spacing w:val="20"/>
          <w:sz w:val="28"/>
          <w:szCs w:val="28"/>
        </w:rPr>
        <w:t xml:space="preserve">2 </w:t>
      </w:r>
      <w:r w:rsidRPr="004A0AB4">
        <w:rPr>
          <w:rFonts w:eastAsia="標楷體" w:hint="eastAsia"/>
          <w:b/>
          <w:spacing w:val="20"/>
          <w:sz w:val="28"/>
          <w:szCs w:val="28"/>
        </w:rPr>
        <w:t>國營事業</w:t>
      </w:r>
      <w:r w:rsidR="00E17694">
        <w:rPr>
          <w:rFonts w:eastAsia="標楷體" w:hint="eastAsia"/>
          <w:b/>
          <w:spacing w:val="20"/>
          <w:sz w:val="28"/>
          <w:szCs w:val="28"/>
        </w:rPr>
        <w:t>111</w:t>
      </w:r>
      <w:r w:rsidR="00E17694">
        <w:rPr>
          <w:rFonts w:eastAsia="標楷體" w:hint="eastAsia"/>
          <w:b/>
          <w:spacing w:val="20"/>
          <w:sz w:val="28"/>
          <w:szCs w:val="28"/>
        </w:rPr>
        <w:t>年度</w:t>
      </w:r>
      <w:r w:rsidRPr="004A0AB4">
        <w:rPr>
          <w:rFonts w:eastAsia="標楷體" w:hint="eastAsia"/>
          <w:b/>
          <w:spacing w:val="20"/>
          <w:sz w:val="28"/>
          <w:szCs w:val="28"/>
        </w:rPr>
        <w:t>決算盈餘分配情形</w:t>
      </w:r>
    </w:p>
    <w:p w:rsidR="00177136" w:rsidRPr="005C5E31" w:rsidRDefault="00177136" w:rsidP="00734286">
      <w:pPr>
        <w:kinsoku w:val="0"/>
        <w:overflowPunct w:val="0"/>
        <w:autoSpaceDE w:val="0"/>
        <w:autoSpaceDN w:val="0"/>
        <w:spacing w:line="300" w:lineRule="exact"/>
        <w:ind w:leftChars="50" w:left="120" w:rightChars="11" w:right="26" w:firstLineChars="50" w:firstLine="130"/>
        <w:jc w:val="right"/>
        <w:rPr>
          <w:rFonts w:eastAsia="標楷體"/>
          <w:spacing w:val="20"/>
          <w:sz w:val="36"/>
        </w:rPr>
      </w:pPr>
      <w:r w:rsidRPr="0065555C">
        <w:rPr>
          <w:rFonts w:eastAsia="標楷體" w:hint="eastAsia"/>
          <w:spacing w:val="20"/>
          <w:sz w:val="22"/>
          <w:szCs w:val="18"/>
        </w:rPr>
        <w:t>單</w:t>
      </w:r>
      <w:r w:rsidRPr="0065555C">
        <w:rPr>
          <w:rFonts w:eastAsia="標楷體"/>
          <w:spacing w:val="20"/>
          <w:sz w:val="22"/>
          <w:szCs w:val="18"/>
        </w:rPr>
        <w:t>位：</w:t>
      </w:r>
      <w:r w:rsidR="00734286" w:rsidRPr="00734286">
        <w:rPr>
          <w:rFonts w:eastAsia="標楷體" w:hAnsi="標楷體" w:cs="Arial" w:hint="eastAsia"/>
          <w:sz w:val="22"/>
          <w:szCs w:val="22"/>
        </w:rPr>
        <w:t>新臺幣億元</w:t>
      </w:r>
    </w:p>
    <w:tbl>
      <w:tblPr>
        <w:tblW w:w="4596" w:type="pct"/>
        <w:tblInd w:w="737"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3656"/>
        <w:gridCol w:w="951"/>
        <w:gridCol w:w="3657"/>
        <w:gridCol w:w="1003"/>
      </w:tblGrid>
      <w:tr w:rsidR="00B2520F" w:rsidRPr="005C5E31" w:rsidTr="00FE32C5">
        <w:trPr>
          <w:trHeight w:val="339"/>
        </w:trPr>
        <w:tc>
          <w:tcPr>
            <w:tcW w:w="1973" w:type="pct"/>
            <w:tcBorders>
              <w:top w:val="single" w:sz="4" w:space="0" w:color="auto"/>
              <w:bottom w:val="single" w:sz="4" w:space="0" w:color="auto"/>
            </w:tcBorders>
            <w:shd w:val="clear" w:color="auto" w:fill="auto"/>
            <w:noWrap/>
            <w:vAlign w:val="center"/>
          </w:tcPr>
          <w:p w:rsidR="00177136" w:rsidRPr="006F2008" w:rsidRDefault="00177136" w:rsidP="00326D9E">
            <w:pPr>
              <w:widowControl/>
              <w:jc w:val="center"/>
              <w:rPr>
                <w:rFonts w:ascii="標楷體" w:eastAsia="標楷體" w:hAnsi="標楷體" w:cs="新細明體"/>
                <w:b/>
                <w:kern w:val="0"/>
                <w:szCs w:val="24"/>
              </w:rPr>
            </w:pPr>
            <w:r w:rsidRPr="006F2008">
              <w:rPr>
                <w:rFonts w:ascii="標楷體" w:eastAsia="標楷體" w:hAnsi="標楷體" w:cs="新細明體" w:hint="eastAsia"/>
                <w:b/>
                <w:kern w:val="0"/>
                <w:szCs w:val="24"/>
              </w:rPr>
              <w:t>按分配項目分</w:t>
            </w:r>
          </w:p>
        </w:tc>
        <w:tc>
          <w:tcPr>
            <w:tcW w:w="513" w:type="pct"/>
            <w:tcBorders>
              <w:top w:val="single" w:sz="4" w:space="0" w:color="auto"/>
              <w:bottom w:val="single" w:sz="4" w:space="0" w:color="auto"/>
            </w:tcBorders>
            <w:shd w:val="clear" w:color="auto" w:fill="auto"/>
            <w:noWrap/>
            <w:vAlign w:val="center"/>
          </w:tcPr>
          <w:p w:rsidR="00177136" w:rsidRPr="006F2008" w:rsidRDefault="00177136" w:rsidP="00326D9E">
            <w:pPr>
              <w:widowControl/>
              <w:jc w:val="center"/>
              <w:rPr>
                <w:rFonts w:ascii="標楷體" w:eastAsia="標楷體" w:hAnsi="標楷體" w:cs="新細明體"/>
                <w:b/>
                <w:kern w:val="0"/>
                <w:szCs w:val="24"/>
              </w:rPr>
            </w:pPr>
            <w:r w:rsidRPr="006F2008">
              <w:rPr>
                <w:rFonts w:ascii="標楷體" w:eastAsia="標楷體" w:hAnsi="標楷體" w:cs="新細明體" w:hint="eastAsia"/>
                <w:b/>
                <w:kern w:val="0"/>
                <w:szCs w:val="24"/>
              </w:rPr>
              <w:t>決算</w:t>
            </w:r>
            <w:r w:rsidR="00CE7D7D" w:rsidRPr="00CE7D7D">
              <w:rPr>
                <w:rFonts w:ascii="標楷體" w:eastAsia="標楷體" w:hAnsi="標楷體" w:cs="新細明體" w:hint="eastAsia"/>
                <w:b/>
                <w:kern w:val="0"/>
                <w:szCs w:val="24"/>
              </w:rPr>
              <w:t>數</w:t>
            </w:r>
          </w:p>
        </w:tc>
        <w:tc>
          <w:tcPr>
            <w:tcW w:w="1973" w:type="pct"/>
            <w:tcBorders>
              <w:top w:val="single" w:sz="4" w:space="0" w:color="auto"/>
              <w:bottom w:val="single" w:sz="4" w:space="0" w:color="auto"/>
            </w:tcBorders>
            <w:shd w:val="clear" w:color="auto" w:fill="auto"/>
            <w:noWrap/>
            <w:vAlign w:val="center"/>
          </w:tcPr>
          <w:p w:rsidR="00177136" w:rsidRPr="006F2008" w:rsidRDefault="00177136" w:rsidP="00326D9E">
            <w:pPr>
              <w:widowControl/>
              <w:jc w:val="center"/>
              <w:rPr>
                <w:rFonts w:ascii="標楷體" w:eastAsia="標楷體" w:hAnsi="標楷體" w:cs="新細明體"/>
                <w:b/>
                <w:kern w:val="0"/>
                <w:szCs w:val="24"/>
              </w:rPr>
            </w:pPr>
            <w:r w:rsidRPr="006F2008">
              <w:rPr>
                <w:rFonts w:ascii="標楷體" w:eastAsia="標楷體" w:hAnsi="標楷體" w:cs="新細明體" w:hint="eastAsia"/>
                <w:b/>
                <w:kern w:val="0"/>
                <w:szCs w:val="24"/>
              </w:rPr>
              <w:t>按所得對象分</w:t>
            </w:r>
          </w:p>
        </w:tc>
        <w:tc>
          <w:tcPr>
            <w:tcW w:w="541" w:type="pct"/>
            <w:tcBorders>
              <w:top w:val="single" w:sz="4" w:space="0" w:color="auto"/>
              <w:bottom w:val="single" w:sz="4" w:space="0" w:color="auto"/>
            </w:tcBorders>
            <w:shd w:val="clear" w:color="auto" w:fill="auto"/>
            <w:noWrap/>
            <w:vAlign w:val="center"/>
          </w:tcPr>
          <w:p w:rsidR="00177136" w:rsidRPr="006F2008" w:rsidRDefault="00177136" w:rsidP="00326D9E">
            <w:pPr>
              <w:widowControl/>
              <w:jc w:val="center"/>
              <w:rPr>
                <w:rFonts w:ascii="標楷體" w:eastAsia="標楷體" w:hAnsi="標楷體" w:cs="新細明體"/>
                <w:b/>
                <w:kern w:val="0"/>
                <w:szCs w:val="24"/>
              </w:rPr>
            </w:pPr>
            <w:r w:rsidRPr="006F2008">
              <w:rPr>
                <w:rFonts w:ascii="標楷體" w:eastAsia="標楷體" w:hAnsi="標楷體" w:cs="新細明體" w:hint="eastAsia"/>
                <w:b/>
                <w:kern w:val="0"/>
                <w:szCs w:val="24"/>
              </w:rPr>
              <w:t>決算</w:t>
            </w:r>
            <w:r w:rsidR="00CE7D7D" w:rsidRPr="00CE7D7D">
              <w:rPr>
                <w:rFonts w:ascii="標楷體" w:eastAsia="標楷體" w:hAnsi="標楷體" w:cs="新細明體" w:hint="eastAsia"/>
                <w:b/>
                <w:kern w:val="0"/>
                <w:szCs w:val="24"/>
              </w:rPr>
              <w:t>數</w:t>
            </w:r>
          </w:p>
        </w:tc>
      </w:tr>
      <w:tr w:rsidR="00FE32C5" w:rsidRPr="005C5E31" w:rsidTr="00FE32C5">
        <w:trPr>
          <w:trHeight w:val="339"/>
        </w:trPr>
        <w:tc>
          <w:tcPr>
            <w:tcW w:w="1973" w:type="pct"/>
            <w:tcBorders>
              <w:top w:val="single" w:sz="4" w:space="0" w:color="auto"/>
            </w:tcBorders>
            <w:shd w:val="clear" w:color="auto" w:fill="auto"/>
            <w:noWrap/>
            <w:vAlign w:val="center"/>
          </w:tcPr>
          <w:p w:rsidR="00FE32C5" w:rsidRPr="006F2008" w:rsidRDefault="00FE32C5" w:rsidP="00FE32C5">
            <w:pPr>
              <w:widowControl/>
              <w:rPr>
                <w:rFonts w:ascii="標楷體" w:eastAsia="標楷體" w:hAnsi="標楷體" w:cs="新細明體"/>
                <w:kern w:val="0"/>
                <w:szCs w:val="24"/>
              </w:rPr>
            </w:pPr>
            <w:r w:rsidRPr="006F2008">
              <w:rPr>
                <w:rFonts w:ascii="標楷體" w:eastAsia="標楷體" w:hAnsi="標楷體" w:cs="新細明體" w:hint="eastAsia"/>
                <w:kern w:val="0"/>
                <w:szCs w:val="24"/>
              </w:rPr>
              <w:t>填補虧損</w:t>
            </w:r>
          </w:p>
        </w:tc>
        <w:tc>
          <w:tcPr>
            <w:tcW w:w="513" w:type="pct"/>
            <w:tcBorders>
              <w:top w:val="nil"/>
              <w:left w:val="nil"/>
              <w:bottom w:val="nil"/>
              <w:right w:val="single" w:sz="4" w:space="0" w:color="auto"/>
            </w:tcBorders>
            <w:shd w:val="clear" w:color="auto" w:fill="auto"/>
            <w:noWrap/>
            <w:vAlign w:val="center"/>
          </w:tcPr>
          <w:p w:rsidR="00FE32C5" w:rsidRDefault="00FE32C5" w:rsidP="00FE32C5">
            <w:pPr>
              <w:widowControl/>
              <w:jc w:val="right"/>
              <w:rPr>
                <w:rFonts w:eastAsia="新細明體"/>
              </w:rPr>
            </w:pPr>
            <w:r>
              <w:rPr>
                <w:rFonts w:hint="eastAsia"/>
              </w:rPr>
              <w:t xml:space="preserve">4,193.31 </w:t>
            </w:r>
          </w:p>
        </w:tc>
        <w:tc>
          <w:tcPr>
            <w:tcW w:w="1973" w:type="pct"/>
            <w:tcBorders>
              <w:top w:val="single" w:sz="4" w:space="0" w:color="auto"/>
              <w:left w:val="single" w:sz="4" w:space="0" w:color="auto"/>
            </w:tcBorders>
            <w:shd w:val="clear" w:color="auto" w:fill="auto"/>
            <w:noWrap/>
            <w:vAlign w:val="center"/>
          </w:tcPr>
          <w:p w:rsidR="00FE32C5" w:rsidRPr="006F2008" w:rsidRDefault="00FE32C5" w:rsidP="00FE32C5">
            <w:pPr>
              <w:widowControl/>
              <w:rPr>
                <w:rFonts w:ascii="標楷體" w:eastAsia="標楷體" w:hAnsi="標楷體" w:cs="新細明體"/>
                <w:kern w:val="0"/>
                <w:szCs w:val="24"/>
              </w:rPr>
            </w:pPr>
            <w:r w:rsidRPr="006F2008">
              <w:rPr>
                <w:rFonts w:ascii="標楷體" w:eastAsia="標楷體" w:hAnsi="標楷體" w:cs="新細明體" w:hint="eastAsia"/>
                <w:kern w:val="0"/>
                <w:szCs w:val="24"/>
              </w:rPr>
              <w:t>中央政府及地方政府</w:t>
            </w:r>
          </w:p>
        </w:tc>
        <w:tc>
          <w:tcPr>
            <w:tcW w:w="541" w:type="pct"/>
            <w:tcBorders>
              <w:top w:val="nil"/>
              <w:left w:val="nil"/>
              <w:bottom w:val="nil"/>
              <w:right w:val="single" w:sz="4" w:space="0" w:color="auto"/>
            </w:tcBorders>
            <w:shd w:val="clear" w:color="auto" w:fill="auto"/>
            <w:noWrap/>
            <w:vAlign w:val="center"/>
          </w:tcPr>
          <w:p w:rsidR="00FE32C5" w:rsidRDefault="00FE32C5" w:rsidP="00FE32C5">
            <w:pPr>
              <w:widowControl/>
              <w:jc w:val="right"/>
              <w:rPr>
                <w:rFonts w:eastAsia="新細明體"/>
              </w:rPr>
            </w:pPr>
            <w:r>
              <w:rPr>
                <w:rFonts w:hint="eastAsia"/>
              </w:rPr>
              <w:t xml:space="preserve">2,003.39 </w:t>
            </w:r>
          </w:p>
        </w:tc>
      </w:tr>
      <w:tr w:rsidR="00FE32C5" w:rsidRPr="005C5E31" w:rsidTr="00FE32C5">
        <w:trPr>
          <w:trHeight w:val="339"/>
        </w:trPr>
        <w:tc>
          <w:tcPr>
            <w:tcW w:w="1973" w:type="pct"/>
            <w:shd w:val="clear" w:color="auto" w:fill="auto"/>
            <w:noWrap/>
            <w:vAlign w:val="center"/>
          </w:tcPr>
          <w:p w:rsidR="00FE32C5" w:rsidRPr="006F2008" w:rsidRDefault="00FE32C5" w:rsidP="00FE32C5">
            <w:pPr>
              <w:widowControl/>
              <w:rPr>
                <w:rFonts w:ascii="標楷體" w:eastAsia="標楷體" w:hAnsi="標楷體" w:cs="新細明體"/>
                <w:kern w:val="0"/>
                <w:szCs w:val="24"/>
              </w:rPr>
            </w:pPr>
            <w:r w:rsidRPr="006F2008">
              <w:rPr>
                <w:rFonts w:ascii="標楷體" w:eastAsia="標楷體" w:hAnsi="標楷體" w:cs="新細明體" w:hint="eastAsia"/>
                <w:kern w:val="0"/>
                <w:szCs w:val="24"/>
              </w:rPr>
              <w:t>提存公積</w:t>
            </w:r>
          </w:p>
        </w:tc>
        <w:tc>
          <w:tcPr>
            <w:tcW w:w="513" w:type="pct"/>
            <w:tcBorders>
              <w:top w:val="nil"/>
              <w:left w:val="nil"/>
              <w:bottom w:val="nil"/>
              <w:right w:val="single" w:sz="4" w:space="0" w:color="auto"/>
            </w:tcBorders>
            <w:shd w:val="clear" w:color="auto" w:fill="auto"/>
            <w:noWrap/>
            <w:vAlign w:val="center"/>
          </w:tcPr>
          <w:p w:rsidR="00FE32C5" w:rsidRDefault="00FE32C5" w:rsidP="00FE32C5">
            <w:pPr>
              <w:jc w:val="right"/>
            </w:pPr>
            <w:r>
              <w:rPr>
                <w:rFonts w:hint="eastAsia"/>
              </w:rPr>
              <w:t xml:space="preserve">2,242.57 </w:t>
            </w:r>
          </w:p>
        </w:tc>
        <w:tc>
          <w:tcPr>
            <w:tcW w:w="1973" w:type="pct"/>
            <w:tcBorders>
              <w:left w:val="single" w:sz="4" w:space="0" w:color="auto"/>
            </w:tcBorders>
            <w:shd w:val="clear" w:color="auto" w:fill="auto"/>
            <w:noWrap/>
            <w:vAlign w:val="center"/>
          </w:tcPr>
          <w:p w:rsidR="00FE32C5" w:rsidRPr="006F2008" w:rsidRDefault="00FE32C5" w:rsidP="00FE32C5">
            <w:pPr>
              <w:widowControl/>
              <w:rPr>
                <w:rFonts w:ascii="標楷體" w:eastAsia="標楷體" w:hAnsi="標楷體" w:cs="新細明體"/>
                <w:kern w:val="0"/>
                <w:szCs w:val="24"/>
              </w:rPr>
            </w:pPr>
            <w:r w:rsidRPr="006F2008">
              <w:rPr>
                <w:rFonts w:ascii="標楷體" w:eastAsia="標楷體" w:hAnsi="標楷體" w:cs="新細明體" w:hint="eastAsia"/>
                <w:kern w:val="0"/>
                <w:szCs w:val="24"/>
              </w:rPr>
              <w:t>其他政府機關及民股股東</w:t>
            </w:r>
          </w:p>
        </w:tc>
        <w:tc>
          <w:tcPr>
            <w:tcW w:w="541" w:type="pct"/>
            <w:tcBorders>
              <w:top w:val="nil"/>
              <w:left w:val="nil"/>
              <w:bottom w:val="nil"/>
              <w:right w:val="single" w:sz="4" w:space="0" w:color="auto"/>
            </w:tcBorders>
            <w:shd w:val="clear" w:color="auto" w:fill="auto"/>
            <w:noWrap/>
            <w:vAlign w:val="center"/>
          </w:tcPr>
          <w:p w:rsidR="00FE32C5" w:rsidRDefault="00FE32C5" w:rsidP="00FE32C5">
            <w:pPr>
              <w:jc w:val="right"/>
            </w:pPr>
            <w:r>
              <w:rPr>
                <w:rFonts w:hint="eastAsia"/>
              </w:rPr>
              <w:t xml:space="preserve">1.87 </w:t>
            </w:r>
          </w:p>
        </w:tc>
      </w:tr>
      <w:tr w:rsidR="00FE32C5" w:rsidRPr="005C5E31" w:rsidTr="00FE32C5">
        <w:trPr>
          <w:trHeight w:val="339"/>
        </w:trPr>
        <w:tc>
          <w:tcPr>
            <w:tcW w:w="1973" w:type="pct"/>
            <w:shd w:val="clear" w:color="auto" w:fill="auto"/>
            <w:noWrap/>
            <w:vAlign w:val="center"/>
          </w:tcPr>
          <w:p w:rsidR="00FE32C5" w:rsidRPr="006F2008" w:rsidRDefault="00FE32C5" w:rsidP="00FE32C5">
            <w:pPr>
              <w:widowControl/>
              <w:rPr>
                <w:rFonts w:ascii="標楷體" w:eastAsia="標楷體" w:hAnsi="標楷體" w:cs="新細明體"/>
                <w:kern w:val="0"/>
                <w:szCs w:val="24"/>
              </w:rPr>
            </w:pPr>
            <w:r w:rsidRPr="006F2008">
              <w:rPr>
                <w:rFonts w:ascii="標楷體" w:eastAsia="標楷體" w:hAnsi="標楷體" w:cs="新細明體" w:hint="eastAsia"/>
                <w:kern w:val="0"/>
                <w:szCs w:val="24"/>
              </w:rPr>
              <w:t>分配航港建設基金及提撥地方政府</w:t>
            </w:r>
          </w:p>
        </w:tc>
        <w:tc>
          <w:tcPr>
            <w:tcW w:w="513" w:type="pct"/>
            <w:tcBorders>
              <w:top w:val="nil"/>
              <w:left w:val="nil"/>
              <w:bottom w:val="nil"/>
              <w:right w:val="single" w:sz="4" w:space="0" w:color="auto"/>
            </w:tcBorders>
            <w:shd w:val="clear" w:color="auto" w:fill="auto"/>
            <w:noWrap/>
            <w:vAlign w:val="center"/>
          </w:tcPr>
          <w:p w:rsidR="00FE32C5" w:rsidRDefault="00FE32C5" w:rsidP="00FE32C5">
            <w:pPr>
              <w:jc w:val="right"/>
            </w:pPr>
            <w:r>
              <w:rPr>
                <w:rFonts w:hint="eastAsia"/>
              </w:rPr>
              <w:t xml:space="preserve">63.09 </w:t>
            </w:r>
          </w:p>
        </w:tc>
        <w:tc>
          <w:tcPr>
            <w:tcW w:w="1973" w:type="pct"/>
            <w:tcBorders>
              <w:left w:val="single" w:sz="4" w:space="0" w:color="auto"/>
            </w:tcBorders>
            <w:shd w:val="clear" w:color="auto" w:fill="auto"/>
            <w:noWrap/>
            <w:vAlign w:val="center"/>
          </w:tcPr>
          <w:p w:rsidR="00FE32C5" w:rsidRPr="006F2008" w:rsidRDefault="00FE32C5" w:rsidP="00FE32C5">
            <w:pPr>
              <w:widowControl/>
              <w:rPr>
                <w:rFonts w:ascii="標楷體" w:eastAsia="標楷體" w:hAnsi="標楷體" w:cs="新細明體"/>
                <w:kern w:val="0"/>
                <w:szCs w:val="24"/>
              </w:rPr>
            </w:pPr>
            <w:r w:rsidRPr="006F2008">
              <w:rPr>
                <w:rFonts w:ascii="標楷體" w:eastAsia="標楷體" w:hAnsi="標楷體" w:cs="新細明體" w:hint="eastAsia"/>
                <w:kern w:val="0"/>
                <w:szCs w:val="24"/>
              </w:rPr>
              <w:t>分配航港建設基金及提撥地方政府</w:t>
            </w:r>
          </w:p>
        </w:tc>
        <w:tc>
          <w:tcPr>
            <w:tcW w:w="541" w:type="pct"/>
            <w:tcBorders>
              <w:top w:val="nil"/>
              <w:left w:val="nil"/>
              <w:bottom w:val="nil"/>
              <w:right w:val="single" w:sz="4" w:space="0" w:color="auto"/>
            </w:tcBorders>
            <w:shd w:val="clear" w:color="auto" w:fill="auto"/>
            <w:noWrap/>
            <w:vAlign w:val="center"/>
          </w:tcPr>
          <w:p w:rsidR="00FE32C5" w:rsidRDefault="00FE32C5" w:rsidP="00FE32C5">
            <w:pPr>
              <w:jc w:val="right"/>
            </w:pPr>
            <w:r>
              <w:rPr>
                <w:rFonts w:hint="eastAsia"/>
              </w:rPr>
              <w:t xml:space="preserve">63.09 </w:t>
            </w:r>
          </w:p>
        </w:tc>
      </w:tr>
      <w:tr w:rsidR="00FE32C5" w:rsidRPr="005C5E31" w:rsidTr="00FE32C5">
        <w:trPr>
          <w:trHeight w:val="339"/>
        </w:trPr>
        <w:tc>
          <w:tcPr>
            <w:tcW w:w="1973" w:type="pct"/>
            <w:shd w:val="clear" w:color="auto" w:fill="auto"/>
            <w:noWrap/>
            <w:vAlign w:val="center"/>
          </w:tcPr>
          <w:p w:rsidR="00FE32C5" w:rsidRPr="006F2008" w:rsidRDefault="00FE32C5" w:rsidP="00FE32C5">
            <w:pPr>
              <w:widowControl/>
              <w:rPr>
                <w:rFonts w:ascii="標楷體" w:eastAsia="標楷體" w:hAnsi="標楷體" w:cs="新細明體"/>
                <w:kern w:val="0"/>
                <w:szCs w:val="24"/>
              </w:rPr>
            </w:pPr>
            <w:r w:rsidRPr="006F2008">
              <w:rPr>
                <w:rFonts w:ascii="標楷體" w:eastAsia="標楷體" w:hAnsi="標楷體" w:cs="新細明體" w:hint="eastAsia"/>
                <w:kern w:val="0"/>
                <w:szCs w:val="24"/>
              </w:rPr>
              <w:t>撥付股（官）息紅利</w:t>
            </w:r>
          </w:p>
        </w:tc>
        <w:tc>
          <w:tcPr>
            <w:tcW w:w="513" w:type="pct"/>
            <w:tcBorders>
              <w:top w:val="nil"/>
              <w:left w:val="nil"/>
              <w:bottom w:val="nil"/>
              <w:right w:val="single" w:sz="4" w:space="0" w:color="auto"/>
            </w:tcBorders>
            <w:shd w:val="clear" w:color="auto" w:fill="auto"/>
            <w:noWrap/>
            <w:vAlign w:val="center"/>
          </w:tcPr>
          <w:p w:rsidR="00FE32C5" w:rsidRDefault="00FE32C5" w:rsidP="00FE32C5">
            <w:pPr>
              <w:jc w:val="right"/>
            </w:pPr>
            <w:r>
              <w:rPr>
                <w:rFonts w:hint="eastAsia"/>
              </w:rPr>
              <w:t xml:space="preserve">2,005.26 </w:t>
            </w:r>
          </w:p>
        </w:tc>
        <w:tc>
          <w:tcPr>
            <w:tcW w:w="1973" w:type="pct"/>
            <w:tcBorders>
              <w:left w:val="single" w:sz="4" w:space="0" w:color="auto"/>
            </w:tcBorders>
            <w:shd w:val="clear" w:color="auto" w:fill="auto"/>
            <w:noWrap/>
            <w:vAlign w:val="center"/>
          </w:tcPr>
          <w:p w:rsidR="00FE32C5" w:rsidRPr="006F2008" w:rsidRDefault="00FE32C5" w:rsidP="00FE32C5">
            <w:pPr>
              <w:widowControl/>
              <w:rPr>
                <w:rFonts w:ascii="標楷體" w:eastAsia="標楷體" w:hAnsi="標楷體" w:cs="新細明體"/>
                <w:kern w:val="0"/>
                <w:szCs w:val="24"/>
              </w:rPr>
            </w:pPr>
            <w:r w:rsidRPr="006F2008">
              <w:rPr>
                <w:rFonts w:ascii="標楷體" w:eastAsia="標楷體" w:hAnsi="標楷體" w:cs="新細明體" w:hint="eastAsia"/>
                <w:kern w:val="0"/>
                <w:szCs w:val="24"/>
              </w:rPr>
              <w:t>留存事業機關</w:t>
            </w:r>
          </w:p>
        </w:tc>
        <w:tc>
          <w:tcPr>
            <w:tcW w:w="541" w:type="pct"/>
            <w:tcBorders>
              <w:top w:val="nil"/>
              <w:left w:val="nil"/>
              <w:bottom w:val="nil"/>
              <w:right w:val="single" w:sz="4" w:space="0" w:color="auto"/>
            </w:tcBorders>
            <w:shd w:val="clear" w:color="auto" w:fill="auto"/>
            <w:noWrap/>
            <w:vAlign w:val="center"/>
          </w:tcPr>
          <w:p w:rsidR="00FE32C5" w:rsidRDefault="00FE32C5" w:rsidP="00FE32C5">
            <w:pPr>
              <w:jc w:val="right"/>
            </w:pPr>
            <w:r>
              <w:rPr>
                <w:rFonts w:hint="eastAsia"/>
              </w:rPr>
              <w:t xml:space="preserve">7,218.95 </w:t>
            </w:r>
          </w:p>
        </w:tc>
      </w:tr>
      <w:tr w:rsidR="00FE32C5" w:rsidRPr="005C5E31" w:rsidTr="00FE32C5">
        <w:trPr>
          <w:trHeight w:val="339"/>
        </w:trPr>
        <w:tc>
          <w:tcPr>
            <w:tcW w:w="1973" w:type="pct"/>
            <w:tcBorders>
              <w:bottom w:val="single" w:sz="4" w:space="0" w:color="auto"/>
            </w:tcBorders>
            <w:shd w:val="clear" w:color="auto" w:fill="auto"/>
            <w:noWrap/>
            <w:vAlign w:val="center"/>
          </w:tcPr>
          <w:p w:rsidR="00FE32C5" w:rsidRPr="006F2008" w:rsidRDefault="00FE32C5" w:rsidP="00FE32C5">
            <w:pPr>
              <w:widowControl/>
              <w:rPr>
                <w:rFonts w:ascii="標楷體" w:eastAsia="標楷體" w:hAnsi="標楷體" w:cs="新細明體"/>
                <w:kern w:val="0"/>
                <w:szCs w:val="24"/>
              </w:rPr>
            </w:pPr>
            <w:r w:rsidRPr="006F2008">
              <w:rPr>
                <w:rFonts w:ascii="標楷體" w:eastAsia="標楷體" w:hAnsi="標楷體" w:cs="新細明體" w:hint="eastAsia"/>
                <w:kern w:val="0"/>
                <w:szCs w:val="24"/>
              </w:rPr>
              <w:t>未分配盈餘</w:t>
            </w:r>
          </w:p>
        </w:tc>
        <w:tc>
          <w:tcPr>
            <w:tcW w:w="513" w:type="pct"/>
            <w:tcBorders>
              <w:top w:val="nil"/>
              <w:left w:val="nil"/>
              <w:bottom w:val="single" w:sz="4" w:space="0" w:color="auto"/>
              <w:right w:val="single" w:sz="4" w:space="0" w:color="auto"/>
            </w:tcBorders>
            <w:shd w:val="clear" w:color="auto" w:fill="auto"/>
            <w:noWrap/>
            <w:vAlign w:val="center"/>
          </w:tcPr>
          <w:p w:rsidR="00FE32C5" w:rsidRDefault="00FE32C5" w:rsidP="00FE32C5">
            <w:pPr>
              <w:jc w:val="right"/>
            </w:pPr>
            <w:r>
              <w:rPr>
                <w:rFonts w:hint="eastAsia"/>
              </w:rPr>
              <w:t xml:space="preserve">783.07 </w:t>
            </w:r>
          </w:p>
        </w:tc>
        <w:tc>
          <w:tcPr>
            <w:tcW w:w="1973" w:type="pct"/>
            <w:tcBorders>
              <w:left w:val="single" w:sz="4" w:space="0" w:color="auto"/>
              <w:bottom w:val="single" w:sz="4" w:space="0" w:color="auto"/>
            </w:tcBorders>
            <w:shd w:val="clear" w:color="auto" w:fill="auto"/>
            <w:noWrap/>
            <w:vAlign w:val="center"/>
          </w:tcPr>
          <w:p w:rsidR="00FE32C5" w:rsidRPr="006F2008" w:rsidRDefault="00FE32C5" w:rsidP="00FE32C5">
            <w:pPr>
              <w:widowControl/>
              <w:rPr>
                <w:rFonts w:ascii="新細明體" w:eastAsia="新細明體" w:hAnsi="新細明體" w:cs="新細明體"/>
                <w:kern w:val="0"/>
                <w:szCs w:val="24"/>
              </w:rPr>
            </w:pPr>
            <w:r w:rsidRPr="006F2008">
              <w:rPr>
                <w:rFonts w:ascii="新細明體" w:eastAsia="新細明體" w:hAnsi="新細明體" w:cs="新細明體" w:hint="eastAsia"/>
                <w:kern w:val="0"/>
                <w:szCs w:val="24"/>
              </w:rPr>
              <w:t xml:space="preserve">　</w:t>
            </w:r>
          </w:p>
        </w:tc>
        <w:tc>
          <w:tcPr>
            <w:tcW w:w="541" w:type="pct"/>
            <w:tcBorders>
              <w:top w:val="nil"/>
              <w:left w:val="nil"/>
              <w:bottom w:val="single" w:sz="4" w:space="0" w:color="auto"/>
              <w:right w:val="single" w:sz="4" w:space="0" w:color="auto"/>
            </w:tcBorders>
            <w:shd w:val="clear" w:color="auto" w:fill="auto"/>
            <w:noWrap/>
            <w:vAlign w:val="center"/>
          </w:tcPr>
          <w:p w:rsidR="00FE32C5" w:rsidRDefault="00FE32C5" w:rsidP="00FE32C5">
            <w:pPr>
              <w:jc w:val="right"/>
            </w:pPr>
          </w:p>
        </w:tc>
      </w:tr>
      <w:tr w:rsidR="00FE32C5" w:rsidRPr="005C5E31" w:rsidTr="00FE32C5">
        <w:trPr>
          <w:trHeight w:val="339"/>
        </w:trPr>
        <w:tc>
          <w:tcPr>
            <w:tcW w:w="1973" w:type="pct"/>
            <w:tcBorders>
              <w:top w:val="single" w:sz="4" w:space="0" w:color="auto"/>
              <w:bottom w:val="single" w:sz="4" w:space="0" w:color="auto"/>
            </w:tcBorders>
            <w:shd w:val="clear" w:color="auto" w:fill="auto"/>
            <w:noWrap/>
            <w:vAlign w:val="center"/>
          </w:tcPr>
          <w:p w:rsidR="00FE32C5" w:rsidRPr="006F2008" w:rsidRDefault="00FE32C5" w:rsidP="00FE32C5">
            <w:pPr>
              <w:widowControl/>
              <w:jc w:val="center"/>
              <w:rPr>
                <w:rFonts w:ascii="標楷體" w:eastAsia="標楷體" w:hAnsi="標楷體" w:cs="新細明體"/>
                <w:b/>
                <w:kern w:val="0"/>
                <w:szCs w:val="24"/>
              </w:rPr>
            </w:pPr>
            <w:r w:rsidRPr="006F2008">
              <w:rPr>
                <w:rFonts w:ascii="標楷體" w:eastAsia="標楷體" w:hAnsi="標楷體" w:cs="新細明體" w:hint="eastAsia"/>
                <w:b/>
                <w:kern w:val="0"/>
                <w:szCs w:val="24"/>
              </w:rPr>
              <w:t>合     計</w:t>
            </w: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FE32C5" w:rsidRPr="00F75D1D" w:rsidRDefault="00FE32C5" w:rsidP="00FE32C5">
            <w:pPr>
              <w:jc w:val="right"/>
              <w:rPr>
                <w:b/>
              </w:rPr>
            </w:pPr>
            <w:r w:rsidRPr="00F75D1D">
              <w:rPr>
                <w:rFonts w:hint="eastAsia"/>
                <w:b/>
              </w:rPr>
              <w:t xml:space="preserve">9,287.30 </w:t>
            </w:r>
          </w:p>
        </w:tc>
        <w:tc>
          <w:tcPr>
            <w:tcW w:w="1973" w:type="pct"/>
            <w:tcBorders>
              <w:top w:val="single" w:sz="4" w:space="0" w:color="auto"/>
              <w:left w:val="single" w:sz="4" w:space="0" w:color="auto"/>
              <w:bottom w:val="single" w:sz="4" w:space="0" w:color="auto"/>
            </w:tcBorders>
            <w:shd w:val="clear" w:color="auto" w:fill="auto"/>
            <w:noWrap/>
            <w:vAlign w:val="center"/>
          </w:tcPr>
          <w:p w:rsidR="00FE32C5" w:rsidRPr="00F75D1D" w:rsidRDefault="00FE32C5" w:rsidP="00FE32C5">
            <w:pPr>
              <w:widowControl/>
              <w:jc w:val="center"/>
              <w:rPr>
                <w:rFonts w:ascii="新細明體" w:eastAsia="新細明體" w:hAnsi="新細明體" w:cs="新細明體"/>
                <w:b/>
                <w:kern w:val="0"/>
                <w:szCs w:val="24"/>
              </w:rPr>
            </w:pPr>
            <w:r w:rsidRPr="00F75D1D">
              <w:rPr>
                <w:rFonts w:ascii="標楷體" w:eastAsia="標楷體" w:hAnsi="標楷體" w:cs="新細明體" w:hint="eastAsia"/>
                <w:b/>
                <w:kern w:val="0"/>
                <w:szCs w:val="24"/>
              </w:rPr>
              <w:t>合     計</w:t>
            </w: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FE32C5" w:rsidRPr="00F75D1D" w:rsidRDefault="00FE32C5" w:rsidP="00FE32C5">
            <w:pPr>
              <w:widowControl/>
              <w:jc w:val="right"/>
              <w:rPr>
                <w:rFonts w:eastAsia="新細明體"/>
                <w:b/>
              </w:rPr>
            </w:pPr>
            <w:r w:rsidRPr="00F75D1D">
              <w:rPr>
                <w:rFonts w:hint="eastAsia"/>
                <w:b/>
              </w:rPr>
              <w:t xml:space="preserve">9,287.30 </w:t>
            </w:r>
          </w:p>
        </w:tc>
      </w:tr>
    </w:tbl>
    <w:p w:rsidR="00FC733D" w:rsidRDefault="00FC733D" w:rsidP="00E20F42">
      <w:pPr>
        <w:spacing w:line="360" w:lineRule="auto"/>
        <w:ind w:left="624" w:firstLineChars="35" w:firstLine="98"/>
        <w:outlineLvl w:val="0"/>
        <w:rPr>
          <w:rFonts w:eastAsia="標楷體"/>
          <w:noProof/>
          <w:spacing w:val="20"/>
        </w:rPr>
      </w:pPr>
    </w:p>
    <w:tbl>
      <w:tblPr>
        <w:tblStyle w:val="af3"/>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4616"/>
      </w:tblGrid>
      <w:tr w:rsidR="00E20F42" w:rsidTr="007B5B73">
        <w:tc>
          <w:tcPr>
            <w:tcW w:w="9468" w:type="dxa"/>
            <w:gridSpan w:val="2"/>
          </w:tcPr>
          <w:p w:rsidR="00E20F42" w:rsidRPr="00E20F42" w:rsidRDefault="00E20F42" w:rsidP="00E20F42">
            <w:pPr>
              <w:jc w:val="center"/>
              <w:outlineLvl w:val="0"/>
              <w:rPr>
                <w:noProof/>
                <w:color w:val="3333FF"/>
              </w:rPr>
            </w:pPr>
            <w:r w:rsidRPr="00E20F42">
              <w:rPr>
                <w:noProof/>
                <w:color w:val="3333FF"/>
              </w:rPr>
              <w:drawing>
                <wp:inline distT="0" distB="0" distL="0" distR="0" wp14:anchorId="4EB45F51" wp14:editId="78B97912">
                  <wp:extent cx="2800350" cy="847725"/>
                  <wp:effectExtent l="361950" t="19050" r="285750" b="47625"/>
                  <wp:docPr id="12" name="資料庫圖表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7B5B73" w:rsidTr="007B5B73">
        <w:tblPrEx>
          <w:tblCellMar>
            <w:left w:w="28" w:type="dxa"/>
            <w:right w:w="28" w:type="dxa"/>
          </w:tblCellMar>
        </w:tblPrEx>
        <w:tc>
          <w:tcPr>
            <w:tcW w:w="4402" w:type="dxa"/>
          </w:tcPr>
          <w:p w:rsidR="00814CE6" w:rsidRDefault="000141EC" w:rsidP="0053202C">
            <w:pPr>
              <w:spacing w:afterLines="50" w:after="120" w:line="360" w:lineRule="auto"/>
              <w:outlineLvl w:val="0"/>
              <w:rPr>
                <w:rFonts w:eastAsia="標楷體"/>
                <w:noProof/>
                <w:spacing w:val="20"/>
              </w:rPr>
            </w:pPr>
            <w:r>
              <w:rPr>
                <w:rFonts w:eastAsia="標楷體"/>
                <w:noProof/>
                <w:spacing w:val="20"/>
              </w:rPr>
              <w:drawing>
                <wp:inline distT="0" distB="0" distL="0" distR="0" wp14:anchorId="6D49BF23">
                  <wp:extent cx="3230880" cy="3176270"/>
                  <wp:effectExtent l="0" t="0" r="7620" b="508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0880" cy="3176270"/>
                          </a:xfrm>
                          <a:prstGeom prst="rect">
                            <a:avLst/>
                          </a:prstGeom>
                          <a:noFill/>
                        </pic:spPr>
                      </pic:pic>
                    </a:graphicData>
                  </a:graphic>
                </wp:inline>
              </w:drawing>
            </w:r>
          </w:p>
        </w:tc>
        <w:tc>
          <w:tcPr>
            <w:tcW w:w="5066" w:type="dxa"/>
          </w:tcPr>
          <w:p w:rsidR="00814CE6" w:rsidRDefault="000141EC" w:rsidP="0053202C">
            <w:pPr>
              <w:spacing w:afterLines="50" w:after="120" w:line="360" w:lineRule="auto"/>
              <w:outlineLvl w:val="0"/>
              <w:rPr>
                <w:rFonts w:eastAsia="標楷體"/>
                <w:noProof/>
                <w:spacing w:val="20"/>
              </w:rPr>
            </w:pPr>
            <w:r>
              <w:rPr>
                <w:rFonts w:eastAsia="標楷體"/>
                <w:noProof/>
                <w:spacing w:val="20"/>
              </w:rPr>
              <w:drawing>
                <wp:inline distT="0" distB="0" distL="0" distR="0" wp14:anchorId="380A8EA3">
                  <wp:extent cx="3081020" cy="3176270"/>
                  <wp:effectExtent l="0" t="0" r="5080" b="508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1020" cy="3176270"/>
                          </a:xfrm>
                          <a:prstGeom prst="rect">
                            <a:avLst/>
                          </a:prstGeom>
                          <a:noFill/>
                        </pic:spPr>
                      </pic:pic>
                    </a:graphicData>
                  </a:graphic>
                </wp:inline>
              </w:drawing>
            </w:r>
          </w:p>
        </w:tc>
      </w:tr>
    </w:tbl>
    <w:p w:rsidR="00177136" w:rsidRPr="00963D26" w:rsidRDefault="00177136" w:rsidP="000C07F5">
      <w:pPr>
        <w:spacing w:afterLines="50" w:after="120" w:line="360" w:lineRule="auto"/>
        <w:ind w:left="624" w:firstLineChars="94" w:firstLine="301"/>
        <w:jc w:val="center"/>
        <w:outlineLvl w:val="0"/>
        <w:rPr>
          <w:rFonts w:eastAsia="標楷體"/>
          <w:b/>
          <w:spacing w:val="20"/>
          <w:sz w:val="18"/>
          <w:szCs w:val="18"/>
        </w:rPr>
      </w:pPr>
      <w:r w:rsidRPr="00963D26">
        <w:rPr>
          <w:rFonts w:eastAsia="標楷體" w:hint="eastAsia"/>
          <w:b/>
          <w:spacing w:val="20"/>
          <w:sz w:val="28"/>
          <w:szCs w:val="28"/>
        </w:rPr>
        <w:t>圖</w:t>
      </w:r>
      <w:r w:rsidR="00CD2FC4" w:rsidRPr="00963D26">
        <w:rPr>
          <w:rFonts w:eastAsia="標楷體" w:hint="eastAsia"/>
          <w:b/>
          <w:spacing w:val="20"/>
          <w:sz w:val="28"/>
          <w:szCs w:val="28"/>
        </w:rPr>
        <w:t>2</w:t>
      </w:r>
      <w:r w:rsidRPr="00963D26">
        <w:rPr>
          <w:rFonts w:eastAsia="標楷體" w:hint="eastAsia"/>
          <w:b/>
          <w:spacing w:val="20"/>
          <w:sz w:val="28"/>
          <w:szCs w:val="28"/>
        </w:rPr>
        <w:t xml:space="preserve"> </w:t>
      </w:r>
      <w:r w:rsidRPr="00963D26">
        <w:rPr>
          <w:rFonts w:eastAsia="標楷體" w:hint="eastAsia"/>
          <w:b/>
          <w:spacing w:val="20"/>
          <w:sz w:val="28"/>
          <w:szCs w:val="28"/>
        </w:rPr>
        <w:t>國營事業</w:t>
      </w:r>
      <w:r w:rsidR="00E17694">
        <w:rPr>
          <w:rFonts w:eastAsia="標楷體" w:hint="eastAsia"/>
          <w:b/>
          <w:spacing w:val="20"/>
          <w:sz w:val="28"/>
          <w:szCs w:val="28"/>
        </w:rPr>
        <w:t>111</w:t>
      </w:r>
      <w:r w:rsidR="00E17694">
        <w:rPr>
          <w:rFonts w:eastAsia="標楷體" w:hint="eastAsia"/>
          <w:b/>
          <w:spacing w:val="20"/>
          <w:sz w:val="28"/>
          <w:szCs w:val="28"/>
        </w:rPr>
        <w:t>年度</w:t>
      </w:r>
      <w:r w:rsidRPr="00963D26">
        <w:rPr>
          <w:rFonts w:eastAsia="標楷體" w:hint="eastAsia"/>
          <w:b/>
          <w:spacing w:val="20"/>
          <w:sz w:val="28"/>
          <w:szCs w:val="28"/>
        </w:rPr>
        <w:t>決算盈餘分配</w:t>
      </w:r>
      <w:r w:rsidRPr="00963D26">
        <w:rPr>
          <w:rFonts w:eastAsia="標楷體" w:hint="eastAsia"/>
          <w:b/>
          <w:spacing w:val="20"/>
          <w:sz w:val="18"/>
          <w:szCs w:val="18"/>
        </w:rPr>
        <w:t xml:space="preserve">                                                         </w:t>
      </w:r>
    </w:p>
    <w:p w:rsidR="0065555C" w:rsidRPr="005C5E31" w:rsidRDefault="0065555C" w:rsidP="0065555C">
      <w:pPr>
        <w:spacing w:beforeLines="150" w:before="360" w:afterLines="50" w:after="120" w:line="360" w:lineRule="auto"/>
        <w:ind w:left="482"/>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三</w:t>
      </w:r>
      <w:r w:rsidRPr="005C5E31">
        <w:rPr>
          <w:rFonts w:eastAsia="標楷體" w:hint="eastAsia"/>
          <w:b/>
          <w:spacing w:val="20"/>
          <w:sz w:val="30"/>
          <w:szCs w:val="30"/>
        </w:rPr>
        <w:t>)</w:t>
      </w:r>
      <w:r w:rsidRPr="005C5E31">
        <w:rPr>
          <w:rFonts w:eastAsia="標楷體" w:hint="eastAsia"/>
          <w:b/>
          <w:spacing w:val="20"/>
          <w:sz w:val="30"/>
          <w:szCs w:val="30"/>
        </w:rPr>
        <w:t>繳庫盈餘</w:t>
      </w:r>
    </w:p>
    <w:p w:rsidR="0065555C" w:rsidRPr="005C5E31" w:rsidRDefault="0065555C" w:rsidP="00681544">
      <w:pPr>
        <w:adjustRightInd w:val="0"/>
        <w:spacing w:line="360" w:lineRule="auto"/>
        <w:ind w:left="1248" w:hanging="227"/>
        <w:jc w:val="both"/>
        <w:rPr>
          <w:rFonts w:eastAsia="標楷體"/>
          <w:spacing w:val="20"/>
          <w:sz w:val="30"/>
        </w:rPr>
      </w:pPr>
      <w:r w:rsidRPr="005C5E31">
        <w:rPr>
          <w:rFonts w:eastAsia="標楷體"/>
          <w:spacing w:val="20"/>
          <w:sz w:val="30"/>
        </w:rPr>
        <w:t>1.</w:t>
      </w:r>
      <w:r w:rsidRPr="005C5E31">
        <w:rPr>
          <w:rFonts w:eastAsia="標楷體" w:hint="eastAsia"/>
          <w:spacing w:val="20"/>
          <w:sz w:val="30"/>
        </w:rPr>
        <w:t>應繳納</w:t>
      </w:r>
      <w:r w:rsidRPr="005C5E31">
        <w:rPr>
          <w:rFonts w:eastAsia="標楷體"/>
          <w:spacing w:val="20"/>
          <w:sz w:val="30"/>
        </w:rPr>
        <w:t>國</w:t>
      </w:r>
      <w:r w:rsidRPr="005C5E31">
        <w:rPr>
          <w:rFonts w:eastAsia="標楷體" w:hint="eastAsia"/>
          <w:spacing w:val="20"/>
          <w:sz w:val="30"/>
        </w:rPr>
        <w:t>庫盈餘</w:t>
      </w:r>
    </w:p>
    <w:p w:rsidR="0065555C" w:rsidRPr="005C5E31" w:rsidRDefault="0065555C" w:rsidP="00681544">
      <w:pPr>
        <w:spacing w:line="360" w:lineRule="auto"/>
        <w:ind w:left="1321"/>
        <w:jc w:val="both"/>
        <w:rPr>
          <w:rFonts w:eastAsia="標楷體"/>
          <w:spacing w:val="14"/>
          <w:sz w:val="30"/>
        </w:rPr>
      </w:pPr>
      <w:r w:rsidRPr="005C5E31">
        <w:rPr>
          <w:rFonts w:eastAsia="標楷體" w:hint="eastAsia"/>
          <w:spacing w:val="14"/>
          <w:sz w:val="30"/>
        </w:rPr>
        <w:t>本年度</w:t>
      </w:r>
      <w:r w:rsidR="00721577">
        <w:rPr>
          <w:rFonts w:eastAsia="標楷體" w:hint="eastAsia"/>
          <w:spacing w:val="14"/>
          <w:sz w:val="30"/>
        </w:rPr>
        <w:t>決算</w:t>
      </w:r>
      <w:r w:rsidRPr="005C5E31">
        <w:rPr>
          <w:rFonts w:eastAsia="標楷體" w:hint="eastAsia"/>
          <w:spacing w:val="14"/>
          <w:sz w:val="30"/>
        </w:rPr>
        <w:t>國營事業繳庫盈餘共</w:t>
      </w:r>
      <w:r w:rsidR="00F75D1D">
        <w:rPr>
          <w:rFonts w:eastAsia="標楷體"/>
          <w:spacing w:val="14"/>
          <w:sz w:val="30"/>
        </w:rPr>
        <w:t>2</w:t>
      </w:r>
      <w:r w:rsidR="00C71CF6" w:rsidRPr="00C71CF6">
        <w:rPr>
          <w:rFonts w:eastAsia="標楷體"/>
          <w:spacing w:val="14"/>
          <w:sz w:val="30"/>
        </w:rPr>
        <w:t>,</w:t>
      </w:r>
      <w:r w:rsidR="00F75D1D">
        <w:rPr>
          <w:rFonts w:eastAsia="標楷體"/>
          <w:spacing w:val="14"/>
          <w:sz w:val="30"/>
        </w:rPr>
        <w:t>00</w:t>
      </w:r>
      <w:r w:rsidR="00C71CF6" w:rsidRPr="00C71CF6">
        <w:rPr>
          <w:rFonts w:eastAsia="標楷體"/>
          <w:spacing w:val="14"/>
          <w:sz w:val="30"/>
        </w:rPr>
        <w:t>3</w:t>
      </w:r>
      <w:r w:rsidRPr="005C5E31">
        <w:rPr>
          <w:rFonts w:eastAsia="標楷體" w:hint="eastAsia"/>
          <w:spacing w:val="14"/>
          <w:sz w:val="30"/>
        </w:rPr>
        <w:t>億餘元，</w:t>
      </w:r>
      <w:r w:rsidR="00420504" w:rsidRPr="005C5E31">
        <w:rPr>
          <w:rFonts w:eastAsia="標楷體" w:hint="eastAsia"/>
          <w:spacing w:val="14"/>
          <w:sz w:val="30"/>
        </w:rPr>
        <w:t>占中央政府投資資本額</w:t>
      </w:r>
      <w:r w:rsidR="00420504" w:rsidRPr="005C5E31">
        <w:rPr>
          <w:rFonts w:eastAsia="標楷體"/>
          <w:spacing w:val="14"/>
          <w:sz w:val="30"/>
        </w:rPr>
        <w:t>1</w:t>
      </w:r>
      <w:r w:rsidR="00420504" w:rsidRPr="005C5E31">
        <w:rPr>
          <w:rFonts w:eastAsia="標楷體" w:hint="eastAsia"/>
          <w:spacing w:val="14"/>
          <w:sz w:val="30"/>
        </w:rPr>
        <w:t>兆</w:t>
      </w:r>
      <w:r w:rsidR="00420504" w:rsidRPr="00314D3B">
        <w:rPr>
          <w:rFonts w:eastAsia="標楷體"/>
          <w:spacing w:val="14"/>
          <w:sz w:val="30"/>
        </w:rPr>
        <w:t>3</w:t>
      </w:r>
      <w:r w:rsidR="00420504">
        <w:rPr>
          <w:rFonts w:eastAsia="標楷體"/>
          <w:spacing w:val="14"/>
          <w:sz w:val="30"/>
        </w:rPr>
        <w:t>,</w:t>
      </w:r>
      <w:r w:rsidR="00F17949">
        <w:rPr>
          <w:rFonts w:eastAsia="標楷體"/>
          <w:spacing w:val="14"/>
          <w:sz w:val="30"/>
        </w:rPr>
        <w:t>8</w:t>
      </w:r>
      <w:r w:rsidR="00E8308E">
        <w:rPr>
          <w:rFonts w:eastAsia="標楷體"/>
          <w:spacing w:val="14"/>
          <w:sz w:val="30"/>
        </w:rPr>
        <w:t>2</w:t>
      </w:r>
      <w:r w:rsidR="00420504">
        <w:rPr>
          <w:rFonts w:eastAsia="標楷體"/>
          <w:spacing w:val="14"/>
          <w:sz w:val="30"/>
        </w:rPr>
        <w:t>2</w:t>
      </w:r>
      <w:r w:rsidR="00420504" w:rsidRPr="005C5E31">
        <w:rPr>
          <w:rFonts w:eastAsia="標楷體" w:hint="eastAsia"/>
          <w:spacing w:val="14"/>
          <w:sz w:val="30"/>
        </w:rPr>
        <w:t>億餘元之</w:t>
      </w:r>
      <w:r w:rsidR="00420504" w:rsidRPr="005C5E31">
        <w:rPr>
          <w:rFonts w:eastAsia="標楷體" w:hint="eastAsia"/>
          <w:spacing w:val="14"/>
          <w:sz w:val="30"/>
        </w:rPr>
        <w:t>1</w:t>
      </w:r>
      <w:r w:rsidR="0007765C">
        <w:rPr>
          <w:rFonts w:eastAsia="標楷體"/>
          <w:spacing w:val="14"/>
          <w:sz w:val="30"/>
        </w:rPr>
        <w:t>4.5</w:t>
      </w:r>
      <w:r w:rsidR="00420504" w:rsidRPr="005C5E31">
        <w:rPr>
          <w:rFonts w:eastAsia="標楷體" w:hint="eastAsia"/>
          <w:spacing w:val="14"/>
          <w:sz w:val="30"/>
        </w:rPr>
        <w:t>％</w:t>
      </w:r>
      <w:r w:rsidR="00420504">
        <w:rPr>
          <w:rFonts w:eastAsia="標楷體" w:hint="eastAsia"/>
          <w:spacing w:val="14"/>
          <w:sz w:val="30"/>
        </w:rPr>
        <w:t>；</w:t>
      </w:r>
      <w:r w:rsidRPr="005C5E31">
        <w:rPr>
          <w:rFonts w:eastAsia="標楷體" w:hint="eastAsia"/>
          <w:spacing w:val="14"/>
          <w:sz w:val="30"/>
        </w:rPr>
        <w:t>較預算數</w:t>
      </w:r>
      <w:r w:rsidR="00F75D1D">
        <w:rPr>
          <w:rFonts w:eastAsia="標楷體"/>
          <w:spacing w:val="14"/>
          <w:sz w:val="30"/>
        </w:rPr>
        <w:t>2</w:t>
      </w:r>
      <w:r w:rsidR="00C71CF6" w:rsidRPr="00C71CF6">
        <w:rPr>
          <w:rFonts w:eastAsia="標楷體"/>
          <w:spacing w:val="14"/>
          <w:sz w:val="30"/>
        </w:rPr>
        <w:t>,</w:t>
      </w:r>
      <w:r w:rsidR="00F75D1D">
        <w:rPr>
          <w:rFonts w:eastAsia="標楷體"/>
          <w:spacing w:val="14"/>
          <w:sz w:val="30"/>
        </w:rPr>
        <w:t>028</w:t>
      </w:r>
      <w:r w:rsidRPr="005C5E31">
        <w:rPr>
          <w:rFonts w:eastAsia="標楷體" w:hint="eastAsia"/>
          <w:spacing w:val="14"/>
          <w:sz w:val="30"/>
        </w:rPr>
        <w:t>億餘元，</w:t>
      </w:r>
      <w:r w:rsidRPr="005C5E31">
        <w:rPr>
          <w:rFonts w:eastAsia="標楷體" w:hint="eastAsia"/>
          <w:spacing w:val="14"/>
          <w:sz w:val="30"/>
        </w:rPr>
        <w:lastRenderedPageBreak/>
        <w:t>計</w:t>
      </w:r>
      <w:r w:rsidR="00314D3B">
        <w:rPr>
          <w:rFonts w:eastAsia="標楷體" w:hint="eastAsia"/>
          <w:spacing w:val="14"/>
          <w:sz w:val="30"/>
        </w:rPr>
        <w:t>減少</w:t>
      </w:r>
      <w:r w:rsidR="0007765C">
        <w:rPr>
          <w:rFonts w:eastAsia="標楷體"/>
          <w:spacing w:val="14"/>
          <w:sz w:val="30"/>
        </w:rPr>
        <w:t>24</w:t>
      </w:r>
      <w:r w:rsidRPr="005C5E31">
        <w:rPr>
          <w:rFonts w:eastAsia="標楷體" w:hint="eastAsia"/>
          <w:spacing w:val="14"/>
          <w:sz w:val="30"/>
        </w:rPr>
        <w:t>億餘元，約</w:t>
      </w:r>
      <w:r w:rsidR="0007765C">
        <w:rPr>
          <w:rFonts w:eastAsia="標楷體"/>
          <w:spacing w:val="14"/>
          <w:sz w:val="30"/>
        </w:rPr>
        <w:t>1.2</w:t>
      </w:r>
      <w:r w:rsidRPr="005C5E31">
        <w:rPr>
          <w:rFonts w:eastAsia="標楷體" w:hint="eastAsia"/>
          <w:spacing w:val="14"/>
          <w:sz w:val="30"/>
        </w:rPr>
        <w:t>％。</w:t>
      </w:r>
    </w:p>
    <w:p w:rsidR="0065555C" w:rsidRPr="005C5E31" w:rsidRDefault="0065555C" w:rsidP="00681544">
      <w:pPr>
        <w:adjustRightInd w:val="0"/>
        <w:spacing w:line="360" w:lineRule="auto"/>
        <w:ind w:left="1248" w:hanging="227"/>
        <w:jc w:val="both"/>
        <w:rPr>
          <w:rFonts w:eastAsia="標楷體"/>
          <w:spacing w:val="20"/>
          <w:sz w:val="30"/>
        </w:rPr>
      </w:pPr>
      <w:r w:rsidRPr="005C5E31">
        <w:rPr>
          <w:rFonts w:eastAsia="標楷體"/>
          <w:spacing w:val="20"/>
          <w:sz w:val="30"/>
        </w:rPr>
        <w:t>2.</w:t>
      </w:r>
      <w:r w:rsidRPr="005C5E31">
        <w:rPr>
          <w:rFonts w:eastAsia="標楷體" w:hint="eastAsia"/>
          <w:spacing w:val="20"/>
          <w:sz w:val="30"/>
        </w:rPr>
        <w:t>各國營事業盈餘繳庫之情形</w:t>
      </w:r>
    </w:p>
    <w:p w:rsidR="0065555C" w:rsidRPr="005C5E31" w:rsidRDefault="0065555C" w:rsidP="00681544">
      <w:pPr>
        <w:spacing w:line="360" w:lineRule="auto"/>
        <w:ind w:left="1548" w:hanging="425"/>
        <w:jc w:val="both"/>
        <w:rPr>
          <w:rFonts w:eastAsia="標楷體"/>
          <w:spacing w:val="20"/>
          <w:sz w:val="30"/>
        </w:rPr>
      </w:pPr>
      <w:r w:rsidRPr="005C5E31">
        <w:rPr>
          <w:rFonts w:eastAsia="標楷體"/>
          <w:spacing w:val="20"/>
          <w:sz w:val="30"/>
        </w:rPr>
        <w:t>(1</w:t>
      </w:r>
      <w:r w:rsidRPr="005C5E31">
        <w:rPr>
          <w:rFonts w:eastAsia="標楷體" w:hint="eastAsia"/>
          <w:spacing w:val="20"/>
          <w:sz w:val="30"/>
        </w:rPr>
        <w:t>)</w:t>
      </w:r>
      <w:r w:rsidRPr="005C5E31">
        <w:rPr>
          <w:rFonts w:eastAsia="標楷體" w:hint="eastAsia"/>
          <w:spacing w:val="16"/>
          <w:sz w:val="30"/>
        </w:rPr>
        <w:t>中央銀行繳庫盈餘為</w:t>
      </w:r>
      <w:r w:rsidR="0026493A" w:rsidRPr="0026493A">
        <w:rPr>
          <w:rFonts w:eastAsia="標楷體"/>
          <w:spacing w:val="16"/>
          <w:sz w:val="30"/>
        </w:rPr>
        <w:t>1,750</w:t>
      </w:r>
      <w:r w:rsidRPr="005C5E31">
        <w:rPr>
          <w:rFonts w:eastAsia="標楷體" w:hint="eastAsia"/>
          <w:spacing w:val="16"/>
          <w:sz w:val="30"/>
        </w:rPr>
        <w:t>億餘元，占繳庫盈餘總額</w:t>
      </w:r>
      <w:r w:rsidR="00C71CF6">
        <w:rPr>
          <w:rFonts w:eastAsia="標楷體"/>
          <w:spacing w:val="16"/>
          <w:sz w:val="30"/>
        </w:rPr>
        <w:t>87.</w:t>
      </w:r>
      <w:r w:rsidR="000D6919">
        <w:rPr>
          <w:rFonts w:eastAsia="標楷體"/>
          <w:spacing w:val="16"/>
          <w:sz w:val="30"/>
        </w:rPr>
        <w:t>4</w:t>
      </w:r>
      <w:r w:rsidRPr="005C5E31">
        <w:rPr>
          <w:rFonts w:eastAsia="標楷體" w:hint="eastAsia"/>
          <w:spacing w:val="16"/>
          <w:sz w:val="30"/>
        </w:rPr>
        <w:t>％</w:t>
      </w:r>
      <w:r w:rsidR="000469FD">
        <w:rPr>
          <w:rFonts w:eastAsia="標楷體" w:hint="eastAsia"/>
          <w:spacing w:val="16"/>
          <w:sz w:val="30"/>
        </w:rPr>
        <w:t>；</w:t>
      </w:r>
      <w:r w:rsidRPr="005C5E31">
        <w:rPr>
          <w:rFonts w:eastAsia="標楷體" w:hint="eastAsia"/>
          <w:spacing w:val="12"/>
          <w:sz w:val="30"/>
        </w:rPr>
        <w:t>較預算數</w:t>
      </w:r>
      <w:r w:rsidR="0026493A" w:rsidRPr="0026493A">
        <w:rPr>
          <w:rFonts w:eastAsia="標楷體"/>
          <w:spacing w:val="12"/>
          <w:sz w:val="30"/>
        </w:rPr>
        <w:t>1,750</w:t>
      </w:r>
      <w:r w:rsidRPr="005C5E31">
        <w:rPr>
          <w:rFonts w:eastAsia="標楷體" w:hint="eastAsia"/>
          <w:spacing w:val="12"/>
          <w:sz w:val="30"/>
        </w:rPr>
        <w:t>億餘元</w:t>
      </w:r>
      <w:r w:rsidRPr="002E27A2">
        <w:rPr>
          <w:rFonts w:ascii="標楷體" w:eastAsia="標楷體" w:hAnsi="標楷體" w:hint="eastAsia"/>
          <w:spacing w:val="12"/>
          <w:sz w:val="30"/>
        </w:rPr>
        <w:t>，</w:t>
      </w:r>
      <w:r w:rsidRPr="005C5E31">
        <w:rPr>
          <w:rFonts w:eastAsia="標楷體" w:hint="eastAsia"/>
          <w:spacing w:val="12"/>
          <w:sz w:val="30"/>
        </w:rPr>
        <w:t>計增加</w:t>
      </w:r>
      <w:r w:rsidR="0026493A">
        <w:rPr>
          <w:rFonts w:eastAsia="標楷體"/>
          <w:spacing w:val="12"/>
          <w:sz w:val="30"/>
        </w:rPr>
        <w:t>64</w:t>
      </w:r>
      <w:r w:rsidRPr="005C5E31">
        <w:rPr>
          <w:rFonts w:eastAsia="標楷體" w:hint="eastAsia"/>
          <w:spacing w:val="12"/>
          <w:sz w:val="30"/>
        </w:rPr>
        <w:t>萬餘元。</w:t>
      </w:r>
    </w:p>
    <w:p w:rsidR="0065555C" w:rsidRPr="005C5E31" w:rsidRDefault="0065555C" w:rsidP="00681544">
      <w:pPr>
        <w:spacing w:line="360" w:lineRule="auto"/>
        <w:ind w:left="1548" w:hanging="425"/>
        <w:jc w:val="both"/>
        <w:rPr>
          <w:rFonts w:eastAsia="標楷體"/>
          <w:spacing w:val="20"/>
          <w:sz w:val="30"/>
        </w:rPr>
      </w:pPr>
      <w:r w:rsidRPr="005C5E31">
        <w:rPr>
          <w:rFonts w:eastAsia="標楷體" w:hint="eastAsia"/>
          <w:spacing w:val="12"/>
          <w:sz w:val="30"/>
        </w:rPr>
        <w:t>(2)</w:t>
      </w:r>
      <w:r w:rsidRPr="005C5E31">
        <w:rPr>
          <w:rFonts w:eastAsia="標楷體" w:hint="eastAsia"/>
          <w:spacing w:val="4"/>
          <w:sz w:val="30"/>
        </w:rPr>
        <w:t>台灣糖業股份有限公司繳庫盈餘為</w:t>
      </w:r>
      <w:r w:rsidR="0026493A">
        <w:rPr>
          <w:rFonts w:eastAsia="標楷體"/>
          <w:spacing w:val="4"/>
          <w:sz w:val="30"/>
        </w:rPr>
        <w:t>26</w:t>
      </w:r>
      <w:r w:rsidRPr="005C5E31">
        <w:rPr>
          <w:rFonts w:eastAsia="標楷體" w:hint="eastAsia"/>
          <w:spacing w:val="4"/>
          <w:sz w:val="30"/>
        </w:rPr>
        <w:t>億餘元，占繳庫盈餘總額</w:t>
      </w:r>
      <w:r w:rsidR="000D6919">
        <w:rPr>
          <w:rFonts w:eastAsia="標楷體"/>
          <w:spacing w:val="-2"/>
          <w:sz w:val="30"/>
        </w:rPr>
        <w:t>1.3</w:t>
      </w:r>
      <w:r w:rsidRPr="005C5E31">
        <w:rPr>
          <w:rFonts w:eastAsia="標楷體" w:hint="eastAsia"/>
          <w:spacing w:val="4"/>
          <w:sz w:val="30"/>
        </w:rPr>
        <w:t>％</w:t>
      </w:r>
      <w:r w:rsidR="000469FD">
        <w:rPr>
          <w:rFonts w:eastAsia="標楷體" w:hint="eastAsia"/>
          <w:spacing w:val="16"/>
          <w:sz w:val="30"/>
        </w:rPr>
        <w:t>；</w:t>
      </w:r>
      <w:r w:rsidRPr="005C5E31">
        <w:rPr>
          <w:rFonts w:eastAsia="標楷體" w:hint="eastAsia"/>
          <w:spacing w:val="-2"/>
          <w:sz w:val="30"/>
        </w:rPr>
        <w:t>較預算數</w:t>
      </w:r>
      <w:r w:rsidR="00C71CF6">
        <w:rPr>
          <w:rFonts w:eastAsia="標楷體"/>
          <w:spacing w:val="-2"/>
          <w:sz w:val="30"/>
        </w:rPr>
        <w:t>47</w:t>
      </w:r>
      <w:r w:rsidRPr="005C5E31">
        <w:rPr>
          <w:rFonts w:eastAsia="標楷體" w:hint="eastAsia"/>
          <w:spacing w:val="-2"/>
          <w:sz w:val="30"/>
        </w:rPr>
        <w:t>億餘元，計</w:t>
      </w:r>
      <w:r w:rsidR="00440DB6">
        <w:rPr>
          <w:rFonts w:eastAsia="標楷體" w:hint="eastAsia"/>
          <w:spacing w:val="-2"/>
          <w:sz w:val="30"/>
        </w:rPr>
        <w:t>減少</w:t>
      </w:r>
      <w:r w:rsidR="0026493A">
        <w:rPr>
          <w:rFonts w:eastAsia="標楷體"/>
          <w:spacing w:val="-2"/>
          <w:sz w:val="30"/>
        </w:rPr>
        <w:t>2</w:t>
      </w:r>
      <w:r w:rsidR="00440DB6">
        <w:rPr>
          <w:rFonts w:eastAsia="標楷體" w:hint="eastAsia"/>
          <w:spacing w:val="-2"/>
          <w:sz w:val="30"/>
        </w:rPr>
        <w:t>1</w:t>
      </w:r>
      <w:r w:rsidRPr="005C5E31">
        <w:rPr>
          <w:rFonts w:eastAsia="標楷體" w:hint="eastAsia"/>
          <w:spacing w:val="-2"/>
          <w:sz w:val="30"/>
        </w:rPr>
        <w:t>億餘元，約</w:t>
      </w:r>
      <w:r w:rsidR="00A853D0">
        <w:rPr>
          <w:rFonts w:eastAsia="標楷體"/>
          <w:spacing w:val="-2"/>
          <w:sz w:val="30"/>
        </w:rPr>
        <w:t>45.1</w:t>
      </w:r>
      <w:r w:rsidRPr="005C5E31">
        <w:rPr>
          <w:rFonts w:eastAsia="標楷體" w:hint="eastAsia"/>
          <w:spacing w:val="-2"/>
          <w:sz w:val="30"/>
        </w:rPr>
        <w:t>％。</w:t>
      </w:r>
    </w:p>
    <w:p w:rsidR="0065555C" w:rsidRPr="005C5E31" w:rsidRDefault="0065555C" w:rsidP="00681544">
      <w:pPr>
        <w:spacing w:line="360" w:lineRule="auto"/>
        <w:ind w:left="1548" w:hanging="425"/>
        <w:jc w:val="both"/>
        <w:rPr>
          <w:rFonts w:eastAsia="標楷體"/>
          <w:spacing w:val="20"/>
          <w:sz w:val="30"/>
        </w:rPr>
      </w:pPr>
      <w:r w:rsidRPr="005C5E31">
        <w:rPr>
          <w:rFonts w:eastAsia="標楷體" w:hint="eastAsia"/>
          <w:spacing w:val="20"/>
          <w:sz w:val="30"/>
        </w:rPr>
        <w:t>(3)</w:t>
      </w:r>
      <w:r w:rsidR="004E20E0" w:rsidRPr="004E20E0">
        <w:rPr>
          <w:rFonts w:eastAsia="標楷體" w:hint="eastAsia"/>
          <w:spacing w:val="10"/>
          <w:sz w:val="30"/>
        </w:rPr>
        <w:t>中國輸出入銀行</w:t>
      </w:r>
      <w:r w:rsidRPr="005C5E31">
        <w:rPr>
          <w:rFonts w:eastAsia="標楷體" w:hint="eastAsia"/>
          <w:spacing w:val="10"/>
          <w:sz w:val="30"/>
        </w:rPr>
        <w:t>繳庫盈餘為</w:t>
      </w:r>
      <w:r w:rsidR="00440DB6">
        <w:rPr>
          <w:rFonts w:eastAsia="標楷體"/>
          <w:spacing w:val="10"/>
          <w:sz w:val="30"/>
        </w:rPr>
        <w:t>3</w:t>
      </w:r>
      <w:r w:rsidR="00440DB6">
        <w:rPr>
          <w:rFonts w:eastAsia="標楷體" w:hint="eastAsia"/>
          <w:spacing w:val="10"/>
          <w:sz w:val="30"/>
        </w:rPr>
        <w:t>億</w:t>
      </w:r>
      <w:r w:rsidRPr="005C5E31">
        <w:rPr>
          <w:rFonts w:eastAsia="標楷體" w:hint="eastAsia"/>
          <w:spacing w:val="10"/>
          <w:sz w:val="30"/>
        </w:rPr>
        <w:t>餘元，占繳庫盈餘總額</w:t>
      </w:r>
      <w:r w:rsidR="00440DB6">
        <w:rPr>
          <w:rFonts w:eastAsia="標楷體"/>
          <w:spacing w:val="10"/>
          <w:sz w:val="30"/>
        </w:rPr>
        <w:t>0.2</w:t>
      </w:r>
      <w:r w:rsidR="004E20E0" w:rsidRPr="005C5E31">
        <w:rPr>
          <w:rFonts w:eastAsia="標楷體" w:hint="eastAsia"/>
          <w:spacing w:val="6"/>
          <w:sz w:val="30"/>
        </w:rPr>
        <w:t>％</w:t>
      </w:r>
      <w:r w:rsidR="000469FD">
        <w:rPr>
          <w:rFonts w:eastAsia="標楷體" w:hint="eastAsia"/>
          <w:spacing w:val="16"/>
          <w:sz w:val="30"/>
        </w:rPr>
        <w:t>；</w:t>
      </w:r>
      <w:r w:rsidR="00440DB6" w:rsidRPr="005C5E31">
        <w:rPr>
          <w:rFonts w:eastAsia="標楷體" w:hint="eastAsia"/>
          <w:spacing w:val="-2"/>
          <w:sz w:val="30"/>
        </w:rPr>
        <w:t>較預算數</w:t>
      </w:r>
      <w:r w:rsidR="0026493A">
        <w:rPr>
          <w:rFonts w:eastAsia="標楷體"/>
          <w:spacing w:val="-2"/>
          <w:sz w:val="30"/>
        </w:rPr>
        <w:t>2</w:t>
      </w:r>
      <w:r w:rsidR="00440DB6" w:rsidRPr="005C5E31">
        <w:rPr>
          <w:rFonts w:eastAsia="標楷體" w:hint="eastAsia"/>
          <w:spacing w:val="-2"/>
          <w:sz w:val="30"/>
        </w:rPr>
        <w:t>億餘元，計</w:t>
      </w:r>
      <w:r w:rsidR="00440DB6">
        <w:rPr>
          <w:rFonts w:eastAsia="標楷體" w:hint="eastAsia"/>
          <w:spacing w:val="-2"/>
          <w:sz w:val="30"/>
        </w:rPr>
        <w:t>增加</w:t>
      </w:r>
      <w:r w:rsidR="0026493A">
        <w:rPr>
          <w:rFonts w:eastAsia="標楷體"/>
          <w:spacing w:val="-2"/>
          <w:sz w:val="30"/>
        </w:rPr>
        <w:t>3,189</w:t>
      </w:r>
      <w:r w:rsidR="00440DB6">
        <w:rPr>
          <w:rFonts w:eastAsia="標楷體" w:hint="eastAsia"/>
          <w:spacing w:val="-2"/>
          <w:sz w:val="30"/>
        </w:rPr>
        <w:t>萬</w:t>
      </w:r>
      <w:r w:rsidR="00440DB6" w:rsidRPr="005C5E31">
        <w:rPr>
          <w:rFonts w:eastAsia="標楷體" w:hint="eastAsia"/>
          <w:spacing w:val="-2"/>
          <w:sz w:val="30"/>
        </w:rPr>
        <w:t>餘元，約</w:t>
      </w:r>
      <w:r w:rsidR="00A853D0">
        <w:rPr>
          <w:rFonts w:eastAsia="標楷體"/>
          <w:spacing w:val="-2"/>
          <w:sz w:val="30"/>
        </w:rPr>
        <w:t>10.8</w:t>
      </w:r>
      <w:r w:rsidR="00440DB6" w:rsidRPr="005C5E31">
        <w:rPr>
          <w:rFonts w:eastAsia="標楷體" w:hint="eastAsia"/>
          <w:spacing w:val="-2"/>
          <w:sz w:val="30"/>
        </w:rPr>
        <w:t>％</w:t>
      </w:r>
      <w:r w:rsidRPr="005C5E31">
        <w:rPr>
          <w:rFonts w:eastAsia="標楷體" w:hint="eastAsia"/>
          <w:spacing w:val="20"/>
          <w:sz w:val="30"/>
        </w:rPr>
        <w:t>。</w:t>
      </w:r>
    </w:p>
    <w:p w:rsidR="003831CC" w:rsidRDefault="0065555C" w:rsidP="00681544">
      <w:pPr>
        <w:spacing w:line="360" w:lineRule="auto"/>
        <w:ind w:left="1548" w:hanging="624"/>
        <w:jc w:val="both"/>
        <w:rPr>
          <w:rFonts w:eastAsia="標楷體"/>
          <w:spacing w:val="20"/>
          <w:sz w:val="30"/>
        </w:rPr>
      </w:pPr>
      <w:r w:rsidRPr="005C5E31">
        <w:rPr>
          <w:rFonts w:eastAsia="標楷體" w:hint="eastAsia"/>
          <w:spacing w:val="20"/>
          <w:sz w:val="30"/>
        </w:rPr>
        <w:t xml:space="preserve"> (</w:t>
      </w:r>
      <w:r w:rsidRPr="005C5E31">
        <w:rPr>
          <w:rFonts w:eastAsia="標楷體"/>
          <w:spacing w:val="20"/>
          <w:sz w:val="30"/>
        </w:rPr>
        <w:t>4</w:t>
      </w:r>
      <w:r w:rsidRPr="005C5E31">
        <w:rPr>
          <w:rFonts w:eastAsia="標楷體" w:hint="eastAsia"/>
          <w:spacing w:val="20"/>
          <w:sz w:val="30"/>
        </w:rPr>
        <w:t>)</w:t>
      </w:r>
      <w:r w:rsidR="003831CC" w:rsidRPr="003831CC">
        <w:rPr>
          <w:rFonts w:eastAsia="標楷體" w:hint="eastAsia"/>
          <w:spacing w:val="20"/>
          <w:sz w:val="30"/>
        </w:rPr>
        <w:t>臺灣金融控股股份有限公司</w:t>
      </w:r>
      <w:r w:rsidR="003831CC" w:rsidRPr="005C5E31">
        <w:rPr>
          <w:rFonts w:eastAsia="標楷體" w:hint="eastAsia"/>
          <w:spacing w:val="4"/>
          <w:sz w:val="30"/>
        </w:rPr>
        <w:t>繳庫盈餘為</w:t>
      </w:r>
      <w:r w:rsidR="0026493A">
        <w:rPr>
          <w:rFonts w:eastAsia="標楷體"/>
          <w:spacing w:val="4"/>
          <w:sz w:val="30"/>
        </w:rPr>
        <w:t>20</w:t>
      </w:r>
      <w:r w:rsidR="003831CC" w:rsidRPr="005C5E31">
        <w:rPr>
          <w:rFonts w:eastAsia="標楷體" w:hint="eastAsia"/>
          <w:spacing w:val="4"/>
          <w:sz w:val="30"/>
        </w:rPr>
        <w:t>億元，占繳庫盈餘總額</w:t>
      </w:r>
      <w:r w:rsidR="000D6919">
        <w:rPr>
          <w:rFonts w:eastAsia="標楷體"/>
          <w:spacing w:val="-2"/>
          <w:sz w:val="30"/>
        </w:rPr>
        <w:t>1</w:t>
      </w:r>
      <w:r w:rsidR="003831CC" w:rsidRPr="005C5E31">
        <w:rPr>
          <w:rFonts w:eastAsia="標楷體" w:hint="eastAsia"/>
          <w:spacing w:val="4"/>
          <w:sz w:val="30"/>
        </w:rPr>
        <w:t>％</w:t>
      </w:r>
      <w:r w:rsidR="000469FD">
        <w:rPr>
          <w:rFonts w:eastAsia="標楷體" w:hint="eastAsia"/>
          <w:spacing w:val="16"/>
          <w:sz w:val="30"/>
        </w:rPr>
        <w:t>；</w:t>
      </w:r>
      <w:r w:rsidR="003831CC" w:rsidRPr="005C5E31">
        <w:rPr>
          <w:rFonts w:eastAsia="標楷體" w:hint="eastAsia"/>
          <w:spacing w:val="20"/>
          <w:sz w:val="30"/>
        </w:rPr>
        <w:t>與</w:t>
      </w:r>
      <w:r w:rsidR="003831CC" w:rsidRPr="005C5E31">
        <w:rPr>
          <w:rFonts w:eastAsia="標楷體" w:hint="eastAsia"/>
          <w:spacing w:val="4"/>
          <w:sz w:val="30"/>
        </w:rPr>
        <w:t>預算數相同</w:t>
      </w:r>
      <w:r w:rsidR="003831CC" w:rsidRPr="005C5E31">
        <w:rPr>
          <w:rFonts w:eastAsia="標楷體" w:hint="eastAsia"/>
          <w:spacing w:val="-2"/>
          <w:sz w:val="30"/>
        </w:rPr>
        <w:t>。</w:t>
      </w:r>
    </w:p>
    <w:p w:rsidR="00440DB6" w:rsidRDefault="00900988" w:rsidP="00900988">
      <w:pPr>
        <w:spacing w:line="360" w:lineRule="auto"/>
        <w:ind w:left="1548" w:hanging="425"/>
        <w:jc w:val="both"/>
        <w:rPr>
          <w:rFonts w:eastAsia="標楷體"/>
          <w:spacing w:val="20"/>
          <w:sz w:val="30"/>
        </w:rPr>
      </w:pPr>
      <w:r w:rsidRPr="005C5E31">
        <w:rPr>
          <w:rFonts w:eastAsia="標楷體" w:hint="eastAsia"/>
          <w:spacing w:val="20"/>
          <w:sz w:val="30"/>
        </w:rPr>
        <w:t>(5)</w:t>
      </w:r>
      <w:r w:rsidR="00440DB6" w:rsidRPr="00440DB6">
        <w:rPr>
          <w:rFonts w:eastAsia="標楷體" w:hint="eastAsia"/>
          <w:spacing w:val="20"/>
          <w:sz w:val="30"/>
        </w:rPr>
        <w:t>臺灣土地銀行股份有限公司</w:t>
      </w:r>
      <w:r w:rsidR="00440DB6" w:rsidRPr="005C5E31">
        <w:rPr>
          <w:rFonts w:eastAsia="標楷體" w:hint="eastAsia"/>
          <w:spacing w:val="4"/>
          <w:sz w:val="30"/>
        </w:rPr>
        <w:t>繳庫盈餘為</w:t>
      </w:r>
      <w:r w:rsidR="00440DB6">
        <w:rPr>
          <w:rFonts w:eastAsia="標楷體"/>
          <w:spacing w:val="4"/>
          <w:sz w:val="30"/>
        </w:rPr>
        <w:t>10</w:t>
      </w:r>
      <w:r w:rsidR="00440DB6" w:rsidRPr="005C5E31">
        <w:rPr>
          <w:rFonts w:eastAsia="標楷體" w:hint="eastAsia"/>
          <w:spacing w:val="4"/>
          <w:sz w:val="30"/>
        </w:rPr>
        <w:t>億元，占繳庫盈餘總額</w:t>
      </w:r>
      <w:r w:rsidR="00440DB6">
        <w:rPr>
          <w:rFonts w:eastAsia="標楷體"/>
          <w:spacing w:val="-2"/>
          <w:sz w:val="30"/>
        </w:rPr>
        <w:t>0.5</w:t>
      </w:r>
      <w:r w:rsidR="00440DB6" w:rsidRPr="005C5E31">
        <w:rPr>
          <w:rFonts w:eastAsia="標楷體" w:hint="eastAsia"/>
          <w:spacing w:val="4"/>
          <w:sz w:val="30"/>
        </w:rPr>
        <w:t>％</w:t>
      </w:r>
      <w:r w:rsidR="000469FD">
        <w:rPr>
          <w:rFonts w:eastAsia="標楷體" w:hint="eastAsia"/>
          <w:spacing w:val="16"/>
          <w:sz w:val="30"/>
        </w:rPr>
        <w:t>；</w:t>
      </w:r>
      <w:r w:rsidR="0026493A">
        <w:rPr>
          <w:rFonts w:eastAsia="標楷體" w:hint="eastAsia"/>
          <w:spacing w:val="16"/>
          <w:sz w:val="30"/>
        </w:rPr>
        <w:t>較</w:t>
      </w:r>
      <w:r w:rsidR="00440DB6" w:rsidRPr="005C5E31">
        <w:rPr>
          <w:rFonts w:eastAsia="標楷體" w:hint="eastAsia"/>
          <w:spacing w:val="4"/>
          <w:sz w:val="30"/>
        </w:rPr>
        <w:t>預算數</w:t>
      </w:r>
      <w:r w:rsidR="0026493A">
        <w:rPr>
          <w:rFonts w:eastAsia="標楷體" w:hint="eastAsia"/>
          <w:spacing w:val="4"/>
          <w:sz w:val="30"/>
        </w:rPr>
        <w:t>16</w:t>
      </w:r>
      <w:r w:rsidR="0026493A">
        <w:rPr>
          <w:rFonts w:eastAsia="標楷體" w:hint="eastAsia"/>
          <w:spacing w:val="4"/>
          <w:sz w:val="30"/>
        </w:rPr>
        <w:t>億元，計減少</w:t>
      </w:r>
      <w:r w:rsidR="0026493A">
        <w:rPr>
          <w:rFonts w:eastAsia="標楷體" w:hint="eastAsia"/>
          <w:spacing w:val="4"/>
          <w:sz w:val="30"/>
        </w:rPr>
        <w:t>6</w:t>
      </w:r>
      <w:r w:rsidR="0026493A">
        <w:rPr>
          <w:rFonts w:eastAsia="標楷體" w:hint="eastAsia"/>
          <w:spacing w:val="4"/>
          <w:sz w:val="30"/>
        </w:rPr>
        <w:t>億元</w:t>
      </w:r>
      <w:r w:rsidR="0026493A" w:rsidRPr="005C5E31">
        <w:rPr>
          <w:rFonts w:eastAsia="標楷體" w:hint="eastAsia"/>
          <w:spacing w:val="-2"/>
          <w:sz w:val="30"/>
        </w:rPr>
        <w:t>，約</w:t>
      </w:r>
      <w:r w:rsidR="000D6919">
        <w:rPr>
          <w:rFonts w:eastAsia="標楷體" w:hint="eastAsia"/>
          <w:spacing w:val="-2"/>
          <w:sz w:val="30"/>
        </w:rPr>
        <w:t>37.5</w:t>
      </w:r>
      <w:r w:rsidR="0026493A" w:rsidRPr="005C5E31">
        <w:rPr>
          <w:rFonts w:eastAsia="標楷體" w:hint="eastAsia"/>
          <w:spacing w:val="-2"/>
          <w:sz w:val="30"/>
        </w:rPr>
        <w:t>％</w:t>
      </w:r>
      <w:r w:rsidR="00440DB6" w:rsidRPr="005C5E31">
        <w:rPr>
          <w:rFonts w:eastAsia="標楷體" w:hint="eastAsia"/>
          <w:spacing w:val="-2"/>
          <w:sz w:val="30"/>
        </w:rPr>
        <w:t>。</w:t>
      </w:r>
    </w:p>
    <w:p w:rsidR="0065555C" w:rsidRPr="005C5E31" w:rsidRDefault="00440DB6" w:rsidP="00900988">
      <w:pPr>
        <w:spacing w:line="360" w:lineRule="auto"/>
        <w:ind w:left="1548" w:hanging="425"/>
        <w:jc w:val="both"/>
        <w:rPr>
          <w:rFonts w:eastAsia="標楷體"/>
          <w:spacing w:val="12"/>
          <w:sz w:val="30"/>
        </w:rPr>
      </w:pPr>
      <w:r w:rsidRPr="005C5E31">
        <w:rPr>
          <w:rFonts w:eastAsia="標楷體" w:hint="eastAsia"/>
          <w:spacing w:val="20"/>
          <w:sz w:val="30"/>
        </w:rPr>
        <w:t>(</w:t>
      </w:r>
      <w:r>
        <w:rPr>
          <w:rFonts w:eastAsia="標楷體"/>
          <w:spacing w:val="20"/>
          <w:sz w:val="30"/>
        </w:rPr>
        <w:t>6</w:t>
      </w:r>
      <w:r w:rsidRPr="005C5E31">
        <w:rPr>
          <w:rFonts w:eastAsia="標楷體" w:hint="eastAsia"/>
          <w:spacing w:val="20"/>
          <w:sz w:val="30"/>
        </w:rPr>
        <w:t>)</w:t>
      </w:r>
      <w:r w:rsidR="0065555C" w:rsidRPr="005C5E31">
        <w:rPr>
          <w:rFonts w:eastAsia="標楷體" w:hint="eastAsia"/>
          <w:spacing w:val="6"/>
          <w:sz w:val="30"/>
        </w:rPr>
        <w:t>財政部印刷廠繳庫盈餘為</w:t>
      </w:r>
      <w:r w:rsidR="000D6919">
        <w:rPr>
          <w:rFonts w:eastAsia="標楷體"/>
          <w:spacing w:val="6"/>
          <w:sz w:val="30"/>
        </w:rPr>
        <w:t>8</w:t>
      </w:r>
      <w:r>
        <w:rPr>
          <w:rFonts w:eastAsia="標楷體"/>
          <w:spacing w:val="6"/>
          <w:sz w:val="30"/>
        </w:rPr>
        <w:t>,</w:t>
      </w:r>
      <w:r w:rsidR="000D6919">
        <w:rPr>
          <w:rFonts w:eastAsia="標楷體"/>
          <w:spacing w:val="6"/>
          <w:sz w:val="30"/>
        </w:rPr>
        <w:t>749</w:t>
      </w:r>
      <w:r w:rsidR="0065555C" w:rsidRPr="005C5E31">
        <w:rPr>
          <w:rFonts w:eastAsia="標楷體" w:hint="eastAsia"/>
          <w:spacing w:val="6"/>
          <w:sz w:val="30"/>
        </w:rPr>
        <w:t>萬餘元，占繳庫盈餘總額未及</w:t>
      </w:r>
      <w:r w:rsidR="0065555C" w:rsidRPr="005C5E31">
        <w:rPr>
          <w:rFonts w:eastAsia="標楷體" w:hint="eastAsia"/>
          <w:spacing w:val="6"/>
          <w:sz w:val="30"/>
        </w:rPr>
        <w:t>0.1</w:t>
      </w:r>
      <w:r w:rsidR="0065555C" w:rsidRPr="005C5E31">
        <w:rPr>
          <w:rFonts w:eastAsia="標楷體" w:hint="eastAsia"/>
          <w:spacing w:val="6"/>
          <w:sz w:val="30"/>
        </w:rPr>
        <w:t>％</w:t>
      </w:r>
      <w:r w:rsidR="000469FD">
        <w:rPr>
          <w:rFonts w:eastAsia="標楷體" w:hint="eastAsia"/>
          <w:spacing w:val="16"/>
          <w:sz w:val="30"/>
        </w:rPr>
        <w:t>；</w:t>
      </w:r>
      <w:r w:rsidR="0065555C" w:rsidRPr="005C5E31">
        <w:rPr>
          <w:rFonts w:eastAsia="標楷體" w:hint="eastAsia"/>
          <w:spacing w:val="20"/>
          <w:sz w:val="30"/>
        </w:rPr>
        <w:t>與</w:t>
      </w:r>
      <w:r w:rsidR="0065555C" w:rsidRPr="005C5E31">
        <w:rPr>
          <w:rFonts w:eastAsia="標楷體" w:hint="eastAsia"/>
          <w:spacing w:val="4"/>
          <w:sz w:val="30"/>
        </w:rPr>
        <w:t>預算數相同。</w:t>
      </w:r>
    </w:p>
    <w:p w:rsidR="0065555C" w:rsidRPr="005C5E31" w:rsidRDefault="0065555C" w:rsidP="00681544">
      <w:pPr>
        <w:spacing w:line="360" w:lineRule="auto"/>
        <w:ind w:left="1548" w:hanging="425"/>
        <w:jc w:val="both"/>
        <w:rPr>
          <w:rFonts w:eastAsia="標楷體"/>
          <w:spacing w:val="10"/>
          <w:sz w:val="30"/>
        </w:rPr>
      </w:pPr>
      <w:r w:rsidRPr="005C5E31">
        <w:rPr>
          <w:rFonts w:eastAsia="標楷體" w:hint="eastAsia"/>
          <w:spacing w:val="20"/>
          <w:sz w:val="30"/>
        </w:rPr>
        <w:t>(</w:t>
      </w:r>
      <w:r w:rsidR="00440DB6">
        <w:rPr>
          <w:rFonts w:eastAsia="標楷體"/>
          <w:spacing w:val="20"/>
          <w:sz w:val="30"/>
        </w:rPr>
        <w:t>7</w:t>
      </w:r>
      <w:r w:rsidRPr="005C5E31">
        <w:rPr>
          <w:rFonts w:eastAsia="標楷體" w:hint="eastAsia"/>
          <w:spacing w:val="20"/>
          <w:sz w:val="30"/>
        </w:rPr>
        <w:t>)</w:t>
      </w:r>
      <w:r w:rsidRPr="005C5E31">
        <w:rPr>
          <w:rFonts w:eastAsia="標楷體" w:hint="eastAsia"/>
          <w:spacing w:val="12"/>
          <w:sz w:val="30"/>
        </w:rPr>
        <w:t>臺灣菸酒股份有限公司繳庫盈餘為</w:t>
      </w:r>
      <w:r w:rsidR="00440DB6">
        <w:rPr>
          <w:rFonts w:eastAsia="標楷體"/>
          <w:spacing w:val="12"/>
          <w:sz w:val="30"/>
        </w:rPr>
        <w:t>5</w:t>
      </w:r>
      <w:r w:rsidR="000D6919">
        <w:rPr>
          <w:rFonts w:eastAsia="標楷體"/>
          <w:spacing w:val="12"/>
          <w:sz w:val="30"/>
        </w:rPr>
        <w:t>6</w:t>
      </w:r>
      <w:r w:rsidRPr="005C5E31">
        <w:rPr>
          <w:rFonts w:eastAsia="標楷體" w:hint="eastAsia"/>
          <w:spacing w:val="12"/>
          <w:sz w:val="30"/>
        </w:rPr>
        <w:t>億餘元，占繳庫盈餘總額</w:t>
      </w:r>
      <w:r w:rsidR="000D6919">
        <w:rPr>
          <w:rFonts w:eastAsia="標楷體"/>
          <w:spacing w:val="12"/>
          <w:sz w:val="30"/>
        </w:rPr>
        <w:t>2.8</w:t>
      </w:r>
      <w:r w:rsidRPr="005C5E31">
        <w:rPr>
          <w:rFonts w:eastAsia="標楷體" w:hint="eastAsia"/>
          <w:spacing w:val="12"/>
          <w:sz w:val="30"/>
        </w:rPr>
        <w:t>％</w:t>
      </w:r>
      <w:r w:rsidR="000469FD">
        <w:rPr>
          <w:rFonts w:eastAsia="標楷體" w:hint="eastAsia"/>
          <w:spacing w:val="16"/>
          <w:sz w:val="30"/>
        </w:rPr>
        <w:t>；</w:t>
      </w:r>
      <w:r w:rsidRPr="005C5E31">
        <w:rPr>
          <w:rFonts w:eastAsia="標楷體" w:hint="eastAsia"/>
          <w:spacing w:val="12"/>
          <w:sz w:val="30"/>
        </w:rPr>
        <w:t>較預算數</w:t>
      </w:r>
      <w:r w:rsidR="000D6919">
        <w:rPr>
          <w:rFonts w:eastAsia="標楷體"/>
          <w:spacing w:val="12"/>
          <w:sz w:val="30"/>
        </w:rPr>
        <w:t>61</w:t>
      </w:r>
      <w:r w:rsidRPr="005C5E31">
        <w:rPr>
          <w:rFonts w:eastAsia="標楷體" w:hint="eastAsia"/>
          <w:spacing w:val="12"/>
          <w:sz w:val="30"/>
        </w:rPr>
        <w:t>億餘元，計</w:t>
      </w:r>
      <w:r w:rsidR="000D6919">
        <w:rPr>
          <w:rFonts w:eastAsia="標楷體" w:hint="eastAsia"/>
          <w:spacing w:val="12"/>
          <w:sz w:val="30"/>
        </w:rPr>
        <w:t>減少</w:t>
      </w:r>
      <w:r w:rsidR="000D6919">
        <w:rPr>
          <w:rFonts w:eastAsia="標楷體"/>
          <w:spacing w:val="12"/>
          <w:sz w:val="30"/>
        </w:rPr>
        <w:t>4</w:t>
      </w:r>
      <w:r w:rsidR="000D6919">
        <w:rPr>
          <w:rFonts w:eastAsia="標楷體" w:hint="eastAsia"/>
          <w:spacing w:val="12"/>
          <w:sz w:val="30"/>
        </w:rPr>
        <w:t>億</w:t>
      </w:r>
      <w:r w:rsidRPr="005C5E31">
        <w:rPr>
          <w:rFonts w:eastAsia="標楷體" w:hint="eastAsia"/>
          <w:spacing w:val="12"/>
          <w:sz w:val="30"/>
        </w:rPr>
        <w:t>餘元，約</w:t>
      </w:r>
      <w:r w:rsidR="00A853D0">
        <w:rPr>
          <w:rFonts w:eastAsia="標楷體"/>
          <w:spacing w:val="12"/>
          <w:sz w:val="30"/>
        </w:rPr>
        <w:t>7.7</w:t>
      </w:r>
      <w:r w:rsidRPr="005C5E31">
        <w:rPr>
          <w:rFonts w:eastAsia="標楷體" w:hint="eastAsia"/>
          <w:spacing w:val="12"/>
          <w:sz w:val="30"/>
        </w:rPr>
        <w:t>％</w:t>
      </w:r>
      <w:r w:rsidRPr="005C5E31">
        <w:rPr>
          <w:rFonts w:eastAsia="標楷體" w:hint="eastAsia"/>
          <w:spacing w:val="10"/>
          <w:sz w:val="30"/>
        </w:rPr>
        <w:t>。</w:t>
      </w:r>
    </w:p>
    <w:p w:rsidR="0065555C" w:rsidRPr="005C5E31" w:rsidRDefault="0065555C" w:rsidP="00681544">
      <w:pPr>
        <w:spacing w:line="360" w:lineRule="auto"/>
        <w:ind w:left="1548" w:hanging="425"/>
        <w:jc w:val="both"/>
        <w:rPr>
          <w:rFonts w:eastAsia="標楷體"/>
          <w:spacing w:val="20"/>
          <w:sz w:val="30"/>
        </w:rPr>
      </w:pPr>
      <w:r w:rsidRPr="005C5E31">
        <w:rPr>
          <w:rFonts w:eastAsia="標楷體" w:hint="eastAsia"/>
          <w:spacing w:val="20"/>
          <w:sz w:val="30"/>
        </w:rPr>
        <w:t>(</w:t>
      </w:r>
      <w:r w:rsidR="00440DB6">
        <w:rPr>
          <w:rFonts w:eastAsia="標楷體"/>
          <w:spacing w:val="20"/>
          <w:sz w:val="30"/>
        </w:rPr>
        <w:t>8</w:t>
      </w:r>
      <w:r w:rsidRPr="005C5E31">
        <w:rPr>
          <w:rFonts w:eastAsia="標楷體" w:hint="eastAsia"/>
          <w:spacing w:val="20"/>
          <w:sz w:val="30"/>
        </w:rPr>
        <w:t>)</w:t>
      </w:r>
      <w:r w:rsidRPr="005C5E31">
        <w:rPr>
          <w:rFonts w:eastAsia="標楷體" w:hint="eastAsia"/>
          <w:spacing w:val="20"/>
          <w:sz w:val="30"/>
        </w:rPr>
        <w:t>中華郵政股份有限公司繳庫盈餘為</w:t>
      </w:r>
      <w:r w:rsidR="00440DB6">
        <w:rPr>
          <w:rFonts w:eastAsia="標楷體"/>
          <w:spacing w:val="20"/>
          <w:sz w:val="30"/>
        </w:rPr>
        <w:t>85</w:t>
      </w:r>
      <w:r w:rsidRPr="005C5E31">
        <w:rPr>
          <w:rFonts w:eastAsia="標楷體" w:hint="eastAsia"/>
          <w:spacing w:val="20"/>
          <w:sz w:val="30"/>
        </w:rPr>
        <w:t>億餘元，占繳庫盈餘總額</w:t>
      </w:r>
      <w:r w:rsidR="00440DB6">
        <w:rPr>
          <w:rFonts w:eastAsia="標楷體"/>
          <w:spacing w:val="20"/>
          <w:sz w:val="30"/>
        </w:rPr>
        <w:t>4.</w:t>
      </w:r>
      <w:r w:rsidR="000D6919">
        <w:rPr>
          <w:rFonts w:eastAsia="標楷體"/>
          <w:spacing w:val="20"/>
          <w:sz w:val="30"/>
        </w:rPr>
        <w:t>3</w:t>
      </w:r>
      <w:r w:rsidRPr="005C5E31">
        <w:rPr>
          <w:rFonts w:eastAsia="標楷體" w:hint="eastAsia"/>
          <w:spacing w:val="20"/>
          <w:sz w:val="30"/>
        </w:rPr>
        <w:t>％</w:t>
      </w:r>
      <w:r w:rsidR="000469FD">
        <w:rPr>
          <w:rFonts w:eastAsia="標楷體" w:hint="eastAsia"/>
          <w:spacing w:val="16"/>
          <w:sz w:val="30"/>
        </w:rPr>
        <w:t>；</w:t>
      </w:r>
      <w:r w:rsidRPr="005C5E31">
        <w:rPr>
          <w:rFonts w:eastAsia="標楷體" w:hint="eastAsia"/>
          <w:spacing w:val="6"/>
          <w:sz w:val="30"/>
        </w:rPr>
        <w:t>較預算數</w:t>
      </w:r>
      <w:r w:rsidRPr="005C5E31">
        <w:rPr>
          <w:rFonts w:eastAsia="標楷體" w:hint="eastAsia"/>
          <w:spacing w:val="6"/>
          <w:sz w:val="30"/>
        </w:rPr>
        <w:t>7</w:t>
      </w:r>
      <w:r w:rsidR="000D6919">
        <w:rPr>
          <w:rFonts w:eastAsia="標楷體"/>
          <w:spacing w:val="6"/>
          <w:sz w:val="30"/>
        </w:rPr>
        <w:t>7</w:t>
      </w:r>
      <w:r w:rsidRPr="005C5E31">
        <w:rPr>
          <w:rFonts w:eastAsia="標楷體" w:hint="eastAsia"/>
          <w:spacing w:val="6"/>
          <w:sz w:val="30"/>
        </w:rPr>
        <w:t>億餘元</w:t>
      </w:r>
      <w:r w:rsidR="00804FD6" w:rsidRPr="005C5E31">
        <w:rPr>
          <w:rFonts w:eastAsia="標楷體" w:hint="eastAsia"/>
          <w:spacing w:val="12"/>
          <w:sz w:val="30"/>
        </w:rPr>
        <w:t>，</w:t>
      </w:r>
      <w:r w:rsidRPr="005C5E31">
        <w:rPr>
          <w:rFonts w:eastAsia="標楷體" w:hint="eastAsia"/>
          <w:spacing w:val="6"/>
          <w:sz w:val="30"/>
        </w:rPr>
        <w:t>計增加</w:t>
      </w:r>
      <w:r w:rsidR="000D6919">
        <w:rPr>
          <w:rFonts w:eastAsia="標楷體"/>
          <w:spacing w:val="6"/>
          <w:sz w:val="30"/>
        </w:rPr>
        <w:t>7</w:t>
      </w:r>
      <w:r w:rsidRPr="005C5E31">
        <w:rPr>
          <w:rFonts w:eastAsia="標楷體" w:hint="eastAsia"/>
          <w:spacing w:val="6"/>
          <w:sz w:val="30"/>
        </w:rPr>
        <w:t>億餘元</w:t>
      </w:r>
      <w:r w:rsidR="00064288" w:rsidRPr="005C5E31">
        <w:rPr>
          <w:rFonts w:eastAsia="標楷體" w:hint="eastAsia"/>
          <w:spacing w:val="12"/>
          <w:sz w:val="30"/>
        </w:rPr>
        <w:t>，</w:t>
      </w:r>
      <w:r w:rsidRPr="005C5E31">
        <w:rPr>
          <w:rFonts w:eastAsia="標楷體" w:hint="eastAsia"/>
          <w:spacing w:val="6"/>
          <w:sz w:val="30"/>
        </w:rPr>
        <w:t>約</w:t>
      </w:r>
      <w:r w:rsidR="00440DB6">
        <w:rPr>
          <w:rFonts w:eastAsia="標楷體"/>
          <w:spacing w:val="6"/>
          <w:sz w:val="30"/>
        </w:rPr>
        <w:t>1</w:t>
      </w:r>
      <w:r w:rsidR="000D6919">
        <w:rPr>
          <w:rFonts w:eastAsia="標楷體"/>
          <w:spacing w:val="6"/>
          <w:sz w:val="30"/>
        </w:rPr>
        <w:t>0</w:t>
      </w:r>
      <w:r w:rsidRPr="005C5E31">
        <w:rPr>
          <w:rFonts w:ascii="標楷體" w:eastAsia="標楷體" w:hAnsi="標楷體" w:hint="eastAsia"/>
          <w:spacing w:val="6"/>
          <w:sz w:val="30"/>
        </w:rPr>
        <w:t>％</w:t>
      </w:r>
      <w:r w:rsidRPr="005C5E31">
        <w:rPr>
          <w:rFonts w:eastAsia="標楷體" w:hint="eastAsia"/>
          <w:spacing w:val="20"/>
          <w:sz w:val="30"/>
        </w:rPr>
        <w:t>。</w:t>
      </w:r>
      <w:r w:rsidRPr="005C5E31">
        <w:rPr>
          <w:rFonts w:eastAsia="標楷體" w:hint="eastAsia"/>
          <w:spacing w:val="20"/>
          <w:sz w:val="30"/>
        </w:rPr>
        <w:t xml:space="preserve"> </w:t>
      </w:r>
    </w:p>
    <w:p w:rsidR="0065555C" w:rsidRPr="0065555C" w:rsidRDefault="0065555C" w:rsidP="00C92B16">
      <w:pPr>
        <w:spacing w:afterLines="300" w:after="720" w:line="360" w:lineRule="auto"/>
        <w:ind w:left="1548" w:hanging="425"/>
        <w:jc w:val="both"/>
        <w:rPr>
          <w:rFonts w:eastAsia="標楷體"/>
          <w:spacing w:val="6"/>
          <w:sz w:val="30"/>
        </w:rPr>
      </w:pPr>
      <w:r w:rsidRPr="005C5E31">
        <w:rPr>
          <w:rFonts w:eastAsia="標楷體" w:hint="eastAsia"/>
          <w:spacing w:val="20"/>
          <w:sz w:val="30"/>
        </w:rPr>
        <w:t>(</w:t>
      </w:r>
      <w:r w:rsidR="00440DB6">
        <w:rPr>
          <w:rFonts w:eastAsia="標楷體"/>
          <w:spacing w:val="20"/>
          <w:sz w:val="30"/>
        </w:rPr>
        <w:t>9</w:t>
      </w:r>
      <w:r w:rsidRPr="005C5E31">
        <w:rPr>
          <w:rFonts w:eastAsia="標楷體" w:hint="eastAsia"/>
          <w:spacing w:val="20"/>
          <w:sz w:val="30"/>
        </w:rPr>
        <w:t>)</w:t>
      </w:r>
      <w:r w:rsidRPr="005C5E31">
        <w:rPr>
          <w:rFonts w:eastAsia="標楷體" w:hint="eastAsia"/>
          <w:spacing w:val="6"/>
          <w:sz w:val="30"/>
        </w:rPr>
        <w:t>臺灣港務股份有</w:t>
      </w:r>
      <w:r w:rsidRPr="005C5E31">
        <w:rPr>
          <w:rFonts w:eastAsia="標楷體" w:hint="eastAsia"/>
          <w:spacing w:val="20"/>
          <w:sz w:val="30"/>
        </w:rPr>
        <w:t>限公司</w:t>
      </w:r>
      <w:r w:rsidRPr="005C5E31">
        <w:rPr>
          <w:rFonts w:eastAsia="標楷體" w:hint="eastAsia"/>
          <w:spacing w:val="6"/>
          <w:sz w:val="30"/>
        </w:rPr>
        <w:t>繳庫盈餘為</w:t>
      </w:r>
      <w:r w:rsidR="000D6919">
        <w:rPr>
          <w:rFonts w:eastAsia="標楷體"/>
          <w:spacing w:val="6"/>
          <w:sz w:val="30"/>
        </w:rPr>
        <w:t>5</w:t>
      </w:r>
      <w:r w:rsidR="00817704">
        <w:rPr>
          <w:rFonts w:eastAsia="標楷體"/>
          <w:spacing w:val="6"/>
          <w:sz w:val="30"/>
        </w:rPr>
        <w:t>0</w:t>
      </w:r>
      <w:r w:rsidRPr="005C5E31">
        <w:rPr>
          <w:rFonts w:eastAsia="標楷體" w:hint="eastAsia"/>
          <w:spacing w:val="6"/>
          <w:sz w:val="30"/>
        </w:rPr>
        <w:t>億餘元，占繳庫盈餘總額</w:t>
      </w:r>
      <w:r w:rsidR="000D6919">
        <w:rPr>
          <w:rFonts w:eastAsia="標楷體"/>
          <w:spacing w:val="6"/>
          <w:sz w:val="30"/>
        </w:rPr>
        <w:t>2.5</w:t>
      </w:r>
      <w:r w:rsidRPr="005C5E31">
        <w:rPr>
          <w:rFonts w:eastAsia="標楷體" w:hint="eastAsia"/>
          <w:spacing w:val="6"/>
          <w:sz w:val="30"/>
        </w:rPr>
        <w:t>％</w:t>
      </w:r>
      <w:r w:rsidR="000469FD">
        <w:rPr>
          <w:rFonts w:eastAsia="標楷體" w:hint="eastAsia"/>
          <w:spacing w:val="16"/>
          <w:sz w:val="30"/>
        </w:rPr>
        <w:t>；</w:t>
      </w:r>
      <w:r w:rsidRPr="005C5E31">
        <w:rPr>
          <w:rFonts w:eastAsia="標楷體" w:hint="eastAsia"/>
          <w:spacing w:val="6"/>
          <w:sz w:val="30"/>
        </w:rPr>
        <w:t>較預算數</w:t>
      </w:r>
      <w:r w:rsidR="000D6919">
        <w:rPr>
          <w:rFonts w:eastAsia="標楷體"/>
          <w:spacing w:val="6"/>
          <w:sz w:val="30"/>
        </w:rPr>
        <w:t>20</w:t>
      </w:r>
      <w:r w:rsidRPr="005C5E31">
        <w:rPr>
          <w:rFonts w:eastAsia="標楷體" w:hint="eastAsia"/>
          <w:spacing w:val="6"/>
          <w:sz w:val="30"/>
        </w:rPr>
        <w:t>億餘元，計增加</w:t>
      </w:r>
      <w:r w:rsidR="000D6919">
        <w:rPr>
          <w:rFonts w:eastAsia="標楷體"/>
          <w:spacing w:val="6"/>
          <w:sz w:val="30"/>
        </w:rPr>
        <w:t>29</w:t>
      </w:r>
      <w:r w:rsidR="00817704" w:rsidRPr="005C5E31">
        <w:rPr>
          <w:rFonts w:eastAsia="標楷體" w:hint="eastAsia"/>
          <w:spacing w:val="6"/>
          <w:sz w:val="30"/>
        </w:rPr>
        <w:t>億餘元</w:t>
      </w:r>
      <w:r w:rsidRPr="005C5E31">
        <w:rPr>
          <w:rFonts w:eastAsia="標楷體" w:hint="eastAsia"/>
          <w:spacing w:val="6"/>
          <w:sz w:val="30"/>
        </w:rPr>
        <w:t>，約</w:t>
      </w:r>
      <w:r w:rsidR="000D6919">
        <w:rPr>
          <w:rFonts w:eastAsia="標楷體"/>
          <w:spacing w:val="6"/>
          <w:sz w:val="30"/>
        </w:rPr>
        <w:t>141.4</w:t>
      </w:r>
      <w:r w:rsidRPr="005C5E31">
        <w:rPr>
          <w:rFonts w:eastAsia="標楷體" w:hint="eastAsia"/>
          <w:spacing w:val="6"/>
          <w:sz w:val="30"/>
        </w:rPr>
        <w:t>％。</w:t>
      </w:r>
    </w:p>
    <w:p w:rsidR="00177136" w:rsidRPr="005C5E31" w:rsidRDefault="00177136" w:rsidP="00681544">
      <w:pPr>
        <w:spacing w:beforeLines="150" w:before="360" w:line="360" w:lineRule="auto"/>
        <w:outlineLvl w:val="0"/>
        <w:rPr>
          <w:rFonts w:eastAsia="標楷體"/>
          <w:b/>
          <w:spacing w:val="20"/>
          <w:sz w:val="40"/>
        </w:rPr>
      </w:pPr>
      <w:bookmarkStart w:id="6" w:name="壹、五"/>
      <w:r w:rsidRPr="005C5E31">
        <w:rPr>
          <w:rFonts w:eastAsia="標楷體" w:hint="eastAsia"/>
          <w:b/>
          <w:spacing w:val="20"/>
          <w:sz w:val="40"/>
        </w:rPr>
        <w:t>四、</w:t>
      </w:r>
      <w:bookmarkEnd w:id="6"/>
      <w:r w:rsidRPr="005C5E31">
        <w:rPr>
          <w:rFonts w:eastAsia="標楷體" w:hint="eastAsia"/>
          <w:b/>
          <w:spacing w:val="20"/>
          <w:sz w:val="40"/>
        </w:rPr>
        <w:t>現金流量情形</w:t>
      </w:r>
    </w:p>
    <w:p w:rsidR="00177136" w:rsidRPr="005C5E31" w:rsidRDefault="00177136" w:rsidP="00177136">
      <w:pPr>
        <w:spacing w:beforeLines="50" w:before="120" w:afterLines="50" w:after="120" w:line="360" w:lineRule="auto"/>
        <w:ind w:left="482"/>
        <w:outlineLvl w:val="0"/>
        <w:rPr>
          <w:rFonts w:eastAsia="標楷體"/>
          <w:b/>
          <w:spacing w:val="20"/>
          <w:sz w:val="30"/>
          <w:szCs w:val="30"/>
        </w:rPr>
      </w:pPr>
      <w:bookmarkStart w:id="7" w:name="貳"/>
      <w:r w:rsidRPr="005C5E31">
        <w:rPr>
          <w:rFonts w:eastAsia="標楷體" w:hint="eastAsia"/>
          <w:b/>
          <w:spacing w:val="20"/>
          <w:sz w:val="30"/>
          <w:szCs w:val="30"/>
        </w:rPr>
        <w:t>(</w:t>
      </w:r>
      <w:r w:rsidRPr="005C5E31">
        <w:rPr>
          <w:rFonts w:eastAsia="標楷體" w:hint="eastAsia"/>
          <w:b/>
          <w:spacing w:val="20"/>
          <w:sz w:val="30"/>
          <w:szCs w:val="30"/>
        </w:rPr>
        <w:t>一</w:t>
      </w:r>
      <w:r w:rsidRPr="005C5E31">
        <w:rPr>
          <w:rFonts w:eastAsia="標楷體" w:hint="eastAsia"/>
          <w:b/>
          <w:spacing w:val="20"/>
          <w:sz w:val="30"/>
          <w:szCs w:val="30"/>
        </w:rPr>
        <w:t>)</w:t>
      </w:r>
      <w:r w:rsidR="009A498D" w:rsidRPr="005C5E31">
        <w:rPr>
          <w:rFonts w:eastAsia="標楷體" w:hint="eastAsia"/>
          <w:b/>
          <w:spacing w:val="20"/>
          <w:sz w:val="30"/>
          <w:szCs w:val="30"/>
        </w:rPr>
        <w:t>現金之流量</w:t>
      </w:r>
    </w:p>
    <w:p w:rsidR="00177136" w:rsidRPr="005C5E31" w:rsidRDefault="00177136" w:rsidP="00177136">
      <w:pPr>
        <w:pStyle w:val="21"/>
        <w:adjustRightInd w:val="0"/>
        <w:ind w:left="1021"/>
        <w:rPr>
          <w:rFonts w:ascii="Times New Roman"/>
        </w:rPr>
      </w:pPr>
      <w:r w:rsidRPr="005C5E31">
        <w:rPr>
          <w:rFonts w:ascii="Times New Roman" w:hint="eastAsia"/>
        </w:rPr>
        <w:lastRenderedPageBreak/>
        <w:t>本年度決算國營事業現金之運用，分別按營業、投資及籌資等活動，表達現金及約當現金之流量情形如下：</w:t>
      </w:r>
    </w:p>
    <w:p w:rsidR="00177136" w:rsidRPr="005C5E31" w:rsidRDefault="00177136" w:rsidP="00177136">
      <w:pPr>
        <w:adjustRightInd w:val="0"/>
        <w:spacing w:line="360" w:lineRule="auto"/>
        <w:ind w:left="1248" w:hanging="227"/>
        <w:jc w:val="both"/>
        <w:rPr>
          <w:rFonts w:eastAsia="標楷體"/>
          <w:spacing w:val="20"/>
          <w:sz w:val="30"/>
        </w:rPr>
      </w:pPr>
      <w:r w:rsidRPr="005C5E31">
        <w:rPr>
          <w:rFonts w:eastAsia="標楷體"/>
          <w:spacing w:val="20"/>
          <w:sz w:val="30"/>
        </w:rPr>
        <w:t>1.</w:t>
      </w:r>
      <w:r w:rsidRPr="005C5E31">
        <w:rPr>
          <w:rFonts w:eastAsia="標楷體" w:hint="eastAsia"/>
          <w:spacing w:val="20"/>
          <w:sz w:val="30"/>
        </w:rPr>
        <w:t>營業活動之淨現金流入</w:t>
      </w:r>
      <w:r w:rsidR="00021C77">
        <w:rPr>
          <w:rFonts w:eastAsia="標楷體" w:hint="eastAsia"/>
          <w:spacing w:val="20"/>
          <w:sz w:val="30"/>
        </w:rPr>
        <w:t>1</w:t>
      </w:r>
      <w:r w:rsidR="00DD4E40">
        <w:rPr>
          <w:rFonts w:eastAsia="標楷體"/>
          <w:spacing w:val="20"/>
          <w:sz w:val="30"/>
        </w:rPr>
        <w:t>,9</w:t>
      </w:r>
      <w:r w:rsidR="00021C77">
        <w:rPr>
          <w:rFonts w:eastAsia="標楷體"/>
          <w:spacing w:val="20"/>
          <w:sz w:val="30"/>
        </w:rPr>
        <w:t>4</w:t>
      </w:r>
      <w:r w:rsidR="00DD4E40">
        <w:rPr>
          <w:rFonts w:eastAsia="標楷體"/>
          <w:spacing w:val="20"/>
          <w:sz w:val="30"/>
        </w:rPr>
        <w:t>0</w:t>
      </w:r>
      <w:r w:rsidRPr="005C5E31">
        <w:rPr>
          <w:rFonts w:eastAsia="標楷體" w:hint="eastAsia"/>
          <w:spacing w:val="20"/>
          <w:sz w:val="30"/>
        </w:rPr>
        <w:t>億餘元。</w:t>
      </w:r>
    </w:p>
    <w:p w:rsidR="00177136" w:rsidRPr="005C5E31" w:rsidRDefault="00177136" w:rsidP="00177136">
      <w:pPr>
        <w:adjustRightInd w:val="0"/>
        <w:spacing w:line="360" w:lineRule="auto"/>
        <w:ind w:left="1248" w:hanging="227"/>
        <w:jc w:val="both"/>
        <w:rPr>
          <w:rFonts w:eastAsia="標楷體"/>
          <w:spacing w:val="20"/>
          <w:sz w:val="30"/>
        </w:rPr>
      </w:pPr>
      <w:r w:rsidRPr="005C5E31">
        <w:rPr>
          <w:rFonts w:eastAsia="標楷體"/>
          <w:spacing w:val="20"/>
          <w:sz w:val="30"/>
        </w:rPr>
        <w:t>2.</w:t>
      </w:r>
      <w:r w:rsidRPr="005C5E31">
        <w:rPr>
          <w:rFonts w:eastAsia="標楷體" w:hint="eastAsia"/>
          <w:spacing w:val="20"/>
          <w:sz w:val="30"/>
        </w:rPr>
        <w:t>投資活動之淨現金流出</w:t>
      </w:r>
      <w:r w:rsidR="00021C77">
        <w:rPr>
          <w:rFonts w:eastAsia="標楷體"/>
          <w:spacing w:val="20"/>
          <w:sz w:val="30"/>
        </w:rPr>
        <w:t>8</w:t>
      </w:r>
      <w:r w:rsidR="00DD4E40" w:rsidRPr="00DD4E40">
        <w:rPr>
          <w:rFonts w:eastAsia="標楷體"/>
          <w:spacing w:val="20"/>
          <w:sz w:val="30"/>
        </w:rPr>
        <w:t>,</w:t>
      </w:r>
      <w:r w:rsidR="00021C77">
        <w:rPr>
          <w:rFonts w:eastAsia="標楷體"/>
          <w:spacing w:val="20"/>
          <w:sz w:val="30"/>
        </w:rPr>
        <w:t>301</w:t>
      </w:r>
      <w:r w:rsidRPr="005C5E31">
        <w:rPr>
          <w:rFonts w:eastAsia="標楷體" w:hint="eastAsia"/>
          <w:spacing w:val="20"/>
          <w:sz w:val="30"/>
        </w:rPr>
        <w:t>億餘元，其中：</w:t>
      </w:r>
    </w:p>
    <w:p w:rsidR="00177136" w:rsidRPr="005C5E31" w:rsidRDefault="00177136" w:rsidP="00177136">
      <w:pPr>
        <w:spacing w:line="360" w:lineRule="auto"/>
        <w:ind w:left="1548" w:hanging="425"/>
        <w:jc w:val="both"/>
        <w:rPr>
          <w:rFonts w:eastAsia="標楷體"/>
          <w:spacing w:val="20"/>
          <w:sz w:val="30"/>
        </w:rPr>
      </w:pPr>
      <w:r w:rsidRPr="005C5E31">
        <w:rPr>
          <w:rFonts w:eastAsia="標楷體"/>
          <w:spacing w:val="20"/>
          <w:sz w:val="30"/>
        </w:rPr>
        <w:t>(1)</w:t>
      </w:r>
      <w:r w:rsidRPr="005C5E31">
        <w:rPr>
          <w:rFonts w:eastAsia="標楷體" w:hint="eastAsia"/>
          <w:spacing w:val="20"/>
          <w:sz w:val="30"/>
        </w:rPr>
        <w:t>現金流入</w:t>
      </w:r>
      <w:r w:rsidR="00021C77">
        <w:rPr>
          <w:rFonts w:eastAsia="標楷體"/>
          <w:spacing w:val="20"/>
          <w:sz w:val="30"/>
        </w:rPr>
        <w:t>2</w:t>
      </w:r>
      <w:r w:rsidR="0015068E">
        <w:rPr>
          <w:rFonts w:eastAsia="標楷體" w:hint="eastAsia"/>
          <w:spacing w:val="20"/>
          <w:sz w:val="30"/>
        </w:rPr>
        <w:t>兆</w:t>
      </w:r>
      <w:r w:rsidR="00021C77">
        <w:rPr>
          <w:rFonts w:eastAsia="標楷體"/>
          <w:spacing w:val="20"/>
          <w:sz w:val="30"/>
        </w:rPr>
        <w:t>337</w:t>
      </w:r>
      <w:r w:rsidRPr="005C5E31">
        <w:rPr>
          <w:rFonts w:eastAsia="標楷體" w:hint="eastAsia"/>
          <w:spacing w:val="20"/>
          <w:sz w:val="30"/>
        </w:rPr>
        <w:t>億餘元，包括</w:t>
      </w:r>
      <w:r w:rsidR="00021C77" w:rsidRPr="00021C77">
        <w:rPr>
          <w:rFonts w:eastAsia="標楷體" w:hint="eastAsia"/>
          <w:spacing w:val="20"/>
          <w:sz w:val="30"/>
        </w:rPr>
        <w:t>流動金融資產淨減</w:t>
      </w:r>
      <w:r w:rsidR="00021C77">
        <w:rPr>
          <w:rFonts w:eastAsia="標楷體" w:hint="eastAsia"/>
          <w:spacing w:val="20"/>
          <w:sz w:val="30"/>
        </w:rPr>
        <w:t>4,161</w:t>
      </w:r>
      <w:r w:rsidR="00021C77">
        <w:rPr>
          <w:rFonts w:eastAsia="標楷體" w:hint="eastAsia"/>
          <w:spacing w:val="20"/>
          <w:sz w:val="30"/>
        </w:rPr>
        <w:t>億餘元，</w:t>
      </w:r>
      <w:r w:rsidRPr="005C5E31">
        <w:rPr>
          <w:rFonts w:eastAsia="標楷體" w:hint="eastAsia"/>
          <w:spacing w:val="20"/>
          <w:sz w:val="30"/>
        </w:rPr>
        <w:t>減少投資</w:t>
      </w:r>
      <w:r w:rsidR="00021C77">
        <w:rPr>
          <w:rFonts w:eastAsia="標楷體" w:hint="eastAsia"/>
          <w:spacing w:val="20"/>
          <w:sz w:val="30"/>
        </w:rPr>
        <w:t>1</w:t>
      </w:r>
      <w:r w:rsidR="0015068E">
        <w:rPr>
          <w:rFonts w:eastAsia="標楷體" w:hint="eastAsia"/>
          <w:spacing w:val="20"/>
          <w:sz w:val="30"/>
        </w:rPr>
        <w:t>兆</w:t>
      </w:r>
      <w:r w:rsidR="00021C77">
        <w:rPr>
          <w:rFonts w:eastAsia="標楷體" w:hint="eastAsia"/>
          <w:spacing w:val="20"/>
          <w:sz w:val="30"/>
        </w:rPr>
        <w:t>5</w:t>
      </w:r>
      <w:r w:rsidR="0015068E">
        <w:rPr>
          <w:rFonts w:eastAsia="標楷體"/>
          <w:spacing w:val="20"/>
          <w:sz w:val="30"/>
        </w:rPr>
        <w:t>,</w:t>
      </w:r>
      <w:r w:rsidR="00021C77">
        <w:rPr>
          <w:rFonts w:eastAsia="標楷體"/>
          <w:spacing w:val="20"/>
          <w:sz w:val="30"/>
        </w:rPr>
        <w:t>871</w:t>
      </w:r>
      <w:r w:rsidRPr="005C5E31">
        <w:rPr>
          <w:rFonts w:eastAsia="標楷體" w:hint="eastAsia"/>
          <w:spacing w:val="20"/>
          <w:sz w:val="30"/>
        </w:rPr>
        <w:t>億餘元，減少基金及長期應收款</w:t>
      </w:r>
      <w:r w:rsidR="00021C77">
        <w:rPr>
          <w:rFonts w:eastAsia="標楷體"/>
          <w:spacing w:val="20"/>
          <w:sz w:val="30"/>
        </w:rPr>
        <w:t>22</w:t>
      </w:r>
      <w:r w:rsidR="00EA008D">
        <w:rPr>
          <w:rFonts w:eastAsia="標楷體" w:hint="eastAsia"/>
          <w:spacing w:val="20"/>
          <w:sz w:val="30"/>
        </w:rPr>
        <w:t>億</w:t>
      </w:r>
      <w:r w:rsidRPr="005C5E31">
        <w:rPr>
          <w:rFonts w:eastAsia="標楷體" w:hint="eastAsia"/>
          <w:spacing w:val="20"/>
          <w:sz w:val="30"/>
        </w:rPr>
        <w:t>餘元，減少不動產、廠房及設備</w:t>
      </w:r>
      <w:r w:rsidR="00021C77">
        <w:rPr>
          <w:rFonts w:eastAsia="標楷體"/>
          <w:spacing w:val="20"/>
          <w:sz w:val="30"/>
        </w:rPr>
        <w:t>38</w:t>
      </w:r>
      <w:r w:rsidRPr="005C5E31">
        <w:rPr>
          <w:rFonts w:eastAsia="標楷體" w:hint="eastAsia"/>
          <w:spacing w:val="20"/>
          <w:sz w:val="30"/>
        </w:rPr>
        <w:t>億餘元，減少投資性不動產</w:t>
      </w:r>
      <w:r w:rsidR="00021C77">
        <w:rPr>
          <w:rFonts w:eastAsia="標楷體"/>
          <w:spacing w:val="20"/>
          <w:sz w:val="30"/>
        </w:rPr>
        <w:t>1</w:t>
      </w:r>
      <w:r w:rsidR="0015068E">
        <w:rPr>
          <w:rFonts w:eastAsia="標楷體"/>
          <w:spacing w:val="20"/>
          <w:sz w:val="30"/>
        </w:rPr>
        <w:t>6</w:t>
      </w:r>
      <w:r w:rsidRPr="005C5E31">
        <w:rPr>
          <w:rFonts w:eastAsia="標楷體" w:hint="eastAsia"/>
          <w:spacing w:val="20"/>
          <w:sz w:val="30"/>
        </w:rPr>
        <w:t>億餘元，收取利息</w:t>
      </w:r>
      <w:r w:rsidR="00021C77">
        <w:rPr>
          <w:rFonts w:eastAsia="標楷體"/>
          <w:spacing w:val="20"/>
          <w:sz w:val="30"/>
        </w:rPr>
        <w:t>185</w:t>
      </w:r>
      <w:r w:rsidRPr="005C5E31">
        <w:rPr>
          <w:rFonts w:eastAsia="標楷體" w:hint="eastAsia"/>
          <w:spacing w:val="20"/>
          <w:sz w:val="30"/>
        </w:rPr>
        <w:t>億餘元，收取股利</w:t>
      </w:r>
      <w:r w:rsidR="00021C77">
        <w:rPr>
          <w:rFonts w:eastAsia="標楷體"/>
          <w:spacing w:val="20"/>
          <w:sz w:val="30"/>
        </w:rPr>
        <w:t>4</w:t>
      </w:r>
      <w:r w:rsidR="0015068E">
        <w:rPr>
          <w:rFonts w:eastAsia="標楷體"/>
          <w:spacing w:val="20"/>
          <w:sz w:val="30"/>
        </w:rPr>
        <w:t>0</w:t>
      </w:r>
      <w:r w:rsidRPr="005C5E31">
        <w:rPr>
          <w:rFonts w:eastAsia="標楷體" w:hint="eastAsia"/>
          <w:spacing w:val="20"/>
          <w:sz w:val="30"/>
        </w:rPr>
        <w:t>億餘元。</w:t>
      </w:r>
    </w:p>
    <w:p w:rsidR="00177136" w:rsidRPr="005C5E31" w:rsidRDefault="00177136" w:rsidP="00177136">
      <w:pPr>
        <w:spacing w:line="360" w:lineRule="auto"/>
        <w:ind w:left="1548" w:hanging="425"/>
        <w:jc w:val="both"/>
        <w:rPr>
          <w:rFonts w:eastAsia="標楷體"/>
          <w:spacing w:val="20"/>
          <w:sz w:val="30"/>
        </w:rPr>
      </w:pPr>
      <w:r w:rsidRPr="005C5E31">
        <w:rPr>
          <w:rFonts w:eastAsia="標楷體"/>
          <w:spacing w:val="20"/>
          <w:sz w:val="30"/>
        </w:rPr>
        <w:t>(2)</w:t>
      </w:r>
      <w:r w:rsidRPr="005C5E31">
        <w:rPr>
          <w:rFonts w:eastAsia="標楷體" w:hint="eastAsia"/>
          <w:spacing w:val="20"/>
          <w:sz w:val="30"/>
        </w:rPr>
        <w:t>現金流出</w:t>
      </w:r>
      <w:r w:rsidR="00021C77">
        <w:rPr>
          <w:rFonts w:eastAsia="標楷體"/>
          <w:spacing w:val="20"/>
          <w:sz w:val="30"/>
        </w:rPr>
        <w:t>2</w:t>
      </w:r>
      <w:r w:rsidR="0015068E">
        <w:rPr>
          <w:rFonts w:eastAsia="標楷體" w:hint="eastAsia"/>
          <w:spacing w:val="20"/>
          <w:sz w:val="30"/>
        </w:rPr>
        <w:t>兆</w:t>
      </w:r>
      <w:r w:rsidR="0015068E" w:rsidRPr="0015068E">
        <w:rPr>
          <w:rFonts w:eastAsia="標楷體"/>
          <w:spacing w:val="20"/>
          <w:sz w:val="30"/>
        </w:rPr>
        <w:t>8,</w:t>
      </w:r>
      <w:r w:rsidR="00021C77">
        <w:rPr>
          <w:rFonts w:eastAsia="標楷體"/>
          <w:spacing w:val="20"/>
          <w:sz w:val="30"/>
        </w:rPr>
        <w:t>639</w:t>
      </w:r>
      <w:r w:rsidRPr="005C5E31">
        <w:rPr>
          <w:rFonts w:eastAsia="標楷體" w:hint="eastAsia"/>
          <w:spacing w:val="20"/>
          <w:sz w:val="30"/>
        </w:rPr>
        <w:t>億餘元，包括無形資產及其他資產淨增</w:t>
      </w:r>
      <w:r w:rsidR="00021C77">
        <w:rPr>
          <w:rFonts w:eastAsia="標楷體"/>
          <w:spacing w:val="20"/>
          <w:sz w:val="30"/>
        </w:rPr>
        <w:t>38</w:t>
      </w:r>
      <w:r w:rsidRPr="005C5E31">
        <w:rPr>
          <w:rFonts w:eastAsia="標楷體" w:hint="eastAsia"/>
          <w:spacing w:val="20"/>
          <w:sz w:val="30"/>
        </w:rPr>
        <w:t>億餘元，增加投資</w:t>
      </w:r>
      <w:r w:rsidR="00021C77">
        <w:rPr>
          <w:rFonts w:eastAsia="標楷體"/>
          <w:spacing w:val="20"/>
          <w:sz w:val="30"/>
        </w:rPr>
        <w:t>2</w:t>
      </w:r>
      <w:r w:rsidR="0015068E">
        <w:rPr>
          <w:rFonts w:eastAsia="標楷體" w:hint="eastAsia"/>
          <w:spacing w:val="20"/>
          <w:sz w:val="30"/>
        </w:rPr>
        <w:t>兆</w:t>
      </w:r>
      <w:r w:rsidR="0015068E" w:rsidRPr="0015068E">
        <w:rPr>
          <w:rFonts w:eastAsia="標楷體"/>
          <w:spacing w:val="20"/>
          <w:sz w:val="30"/>
        </w:rPr>
        <w:t>5,</w:t>
      </w:r>
      <w:r w:rsidR="00021C77">
        <w:rPr>
          <w:rFonts w:eastAsia="標楷體"/>
          <w:spacing w:val="20"/>
          <w:sz w:val="30"/>
        </w:rPr>
        <w:t>771</w:t>
      </w:r>
      <w:r w:rsidRPr="005C5E31">
        <w:rPr>
          <w:rFonts w:eastAsia="標楷體" w:hint="eastAsia"/>
          <w:spacing w:val="20"/>
          <w:sz w:val="30"/>
        </w:rPr>
        <w:t>億餘元，增加基金及長期應收款</w:t>
      </w:r>
      <w:r w:rsidR="00021C77">
        <w:rPr>
          <w:rFonts w:eastAsia="標楷體"/>
          <w:spacing w:val="20"/>
          <w:sz w:val="30"/>
        </w:rPr>
        <w:t>2</w:t>
      </w:r>
      <w:r w:rsidRPr="005C5E31">
        <w:rPr>
          <w:rFonts w:eastAsia="標楷體" w:hint="eastAsia"/>
          <w:spacing w:val="20"/>
          <w:sz w:val="30"/>
        </w:rPr>
        <w:t>億餘元，增加不動產、廠房及設備</w:t>
      </w:r>
      <w:r w:rsidR="006F295C">
        <w:rPr>
          <w:rFonts w:eastAsia="標楷體" w:hint="eastAsia"/>
          <w:spacing w:val="20"/>
          <w:sz w:val="30"/>
        </w:rPr>
        <w:t>2</w:t>
      </w:r>
      <w:r w:rsidR="00567FB8" w:rsidRPr="005C5E31">
        <w:rPr>
          <w:rFonts w:eastAsia="標楷體" w:hint="eastAsia"/>
          <w:spacing w:val="20"/>
          <w:sz w:val="30"/>
        </w:rPr>
        <w:t>,</w:t>
      </w:r>
      <w:r w:rsidR="00F029D8">
        <w:rPr>
          <w:rFonts w:eastAsia="標楷體"/>
          <w:spacing w:val="20"/>
          <w:sz w:val="30"/>
        </w:rPr>
        <w:t>590</w:t>
      </w:r>
      <w:r w:rsidRPr="005C5E31">
        <w:rPr>
          <w:rFonts w:eastAsia="標楷體" w:hint="eastAsia"/>
          <w:spacing w:val="20"/>
          <w:sz w:val="30"/>
        </w:rPr>
        <w:t>億餘元，</w:t>
      </w:r>
      <w:r w:rsidR="006F295C" w:rsidRPr="005C5E31">
        <w:rPr>
          <w:rFonts w:eastAsia="標楷體" w:hint="eastAsia"/>
          <w:spacing w:val="20"/>
          <w:sz w:val="30"/>
        </w:rPr>
        <w:t>增加</w:t>
      </w:r>
      <w:r w:rsidR="006F295C" w:rsidRPr="006F295C">
        <w:rPr>
          <w:rFonts w:eastAsia="標楷體" w:hint="eastAsia"/>
          <w:spacing w:val="20"/>
          <w:sz w:val="30"/>
        </w:rPr>
        <w:t>使用權資產</w:t>
      </w:r>
      <w:r w:rsidR="00F029D8">
        <w:rPr>
          <w:rFonts w:eastAsia="標楷體" w:hint="eastAsia"/>
          <w:spacing w:val="20"/>
          <w:sz w:val="30"/>
        </w:rPr>
        <w:t>2</w:t>
      </w:r>
      <w:r w:rsidR="00F029D8">
        <w:rPr>
          <w:rFonts w:eastAsia="標楷體"/>
          <w:spacing w:val="20"/>
          <w:sz w:val="30"/>
        </w:rPr>
        <w:t>,</w:t>
      </w:r>
      <w:r w:rsidR="00F029D8">
        <w:rPr>
          <w:rFonts w:eastAsia="標楷體" w:hint="eastAsia"/>
          <w:spacing w:val="20"/>
          <w:sz w:val="30"/>
        </w:rPr>
        <w:t>826</w:t>
      </w:r>
      <w:r w:rsidR="00F029D8">
        <w:rPr>
          <w:rFonts w:eastAsia="標楷體" w:hint="eastAsia"/>
          <w:spacing w:val="20"/>
          <w:sz w:val="30"/>
        </w:rPr>
        <w:t>萬</w:t>
      </w:r>
      <w:r w:rsidR="006F295C" w:rsidRPr="005C5E31">
        <w:rPr>
          <w:rFonts w:eastAsia="標楷體" w:hint="eastAsia"/>
          <w:spacing w:val="20"/>
          <w:sz w:val="30"/>
        </w:rPr>
        <w:t>餘元，</w:t>
      </w:r>
      <w:r w:rsidRPr="005C5E31">
        <w:rPr>
          <w:rFonts w:eastAsia="標楷體" w:hint="eastAsia"/>
          <w:spacing w:val="20"/>
          <w:sz w:val="30"/>
        </w:rPr>
        <w:t>增加投資性不動產</w:t>
      </w:r>
      <w:r w:rsidR="0015068E">
        <w:rPr>
          <w:rFonts w:eastAsia="標楷體"/>
          <w:spacing w:val="20"/>
          <w:sz w:val="30"/>
        </w:rPr>
        <w:t>2</w:t>
      </w:r>
      <w:r w:rsidR="00F029D8">
        <w:rPr>
          <w:rFonts w:eastAsia="標楷體"/>
          <w:spacing w:val="20"/>
          <w:sz w:val="30"/>
        </w:rPr>
        <w:t>0</w:t>
      </w:r>
      <w:r w:rsidRPr="005C5E31">
        <w:rPr>
          <w:rFonts w:eastAsia="標楷體" w:hint="eastAsia"/>
          <w:spacing w:val="20"/>
          <w:sz w:val="30"/>
        </w:rPr>
        <w:t>億餘元，增加生物資產</w:t>
      </w:r>
      <w:r w:rsidR="00F029D8">
        <w:rPr>
          <w:rFonts w:eastAsia="標楷體" w:hint="eastAsia"/>
          <w:spacing w:val="20"/>
          <w:sz w:val="30"/>
        </w:rPr>
        <w:t>1</w:t>
      </w:r>
      <w:r w:rsidR="0015068E">
        <w:rPr>
          <w:rFonts w:eastAsia="標楷體"/>
          <w:spacing w:val="20"/>
          <w:sz w:val="30"/>
        </w:rPr>
        <w:t>,</w:t>
      </w:r>
      <w:r w:rsidR="00F029D8">
        <w:rPr>
          <w:rFonts w:eastAsia="標楷體"/>
          <w:spacing w:val="20"/>
          <w:sz w:val="30"/>
        </w:rPr>
        <w:t>998</w:t>
      </w:r>
      <w:r w:rsidRPr="005C5E31">
        <w:rPr>
          <w:rFonts w:eastAsia="標楷體" w:hint="eastAsia"/>
          <w:spacing w:val="20"/>
          <w:sz w:val="30"/>
        </w:rPr>
        <w:t>萬餘元，其他投資活動之現金流出</w:t>
      </w:r>
      <w:r w:rsidR="0015068E">
        <w:rPr>
          <w:rFonts w:eastAsia="標楷體"/>
          <w:spacing w:val="20"/>
          <w:sz w:val="30"/>
        </w:rPr>
        <w:t>216</w:t>
      </w:r>
      <w:r w:rsidRPr="005C5E31">
        <w:rPr>
          <w:rFonts w:eastAsia="標楷體" w:hint="eastAsia"/>
          <w:spacing w:val="20"/>
          <w:sz w:val="30"/>
        </w:rPr>
        <w:t>億餘元。</w:t>
      </w:r>
    </w:p>
    <w:p w:rsidR="00177136" w:rsidRPr="005C5E31" w:rsidRDefault="00177136" w:rsidP="00177136">
      <w:pPr>
        <w:adjustRightInd w:val="0"/>
        <w:spacing w:line="360" w:lineRule="auto"/>
        <w:ind w:left="1248" w:hanging="227"/>
        <w:jc w:val="both"/>
        <w:rPr>
          <w:rFonts w:eastAsia="標楷體"/>
          <w:spacing w:val="20"/>
          <w:sz w:val="30"/>
        </w:rPr>
      </w:pPr>
      <w:r w:rsidRPr="005C5E31">
        <w:rPr>
          <w:rFonts w:eastAsia="標楷體"/>
          <w:spacing w:val="20"/>
          <w:sz w:val="30"/>
        </w:rPr>
        <w:t>3.</w:t>
      </w:r>
      <w:r w:rsidRPr="005C5E31">
        <w:rPr>
          <w:rFonts w:eastAsia="標楷體" w:hint="eastAsia"/>
          <w:spacing w:val="20"/>
          <w:sz w:val="30"/>
        </w:rPr>
        <w:t>籌資活動之淨現金流</w:t>
      </w:r>
      <w:r w:rsidR="00420504">
        <w:rPr>
          <w:rFonts w:eastAsia="標楷體" w:hint="eastAsia"/>
          <w:spacing w:val="20"/>
          <w:sz w:val="30"/>
        </w:rPr>
        <w:t>入</w:t>
      </w:r>
      <w:r w:rsidR="001C64F2">
        <w:rPr>
          <w:rFonts w:eastAsia="標楷體"/>
          <w:spacing w:val="20"/>
          <w:sz w:val="30"/>
        </w:rPr>
        <w:t>8</w:t>
      </w:r>
      <w:r w:rsidR="00F029D8">
        <w:rPr>
          <w:rFonts w:eastAsia="標楷體"/>
          <w:spacing w:val="20"/>
          <w:sz w:val="30"/>
        </w:rPr>
        <w:t>,514</w:t>
      </w:r>
      <w:r w:rsidRPr="005C5E31">
        <w:rPr>
          <w:rFonts w:eastAsia="標楷體" w:hint="eastAsia"/>
          <w:spacing w:val="20"/>
          <w:sz w:val="30"/>
        </w:rPr>
        <w:t>億餘元，其中：</w:t>
      </w:r>
    </w:p>
    <w:p w:rsidR="00177136" w:rsidRPr="005C5E31" w:rsidRDefault="00177136" w:rsidP="00177136">
      <w:pPr>
        <w:spacing w:line="360" w:lineRule="auto"/>
        <w:ind w:left="1548" w:hanging="425"/>
        <w:jc w:val="both"/>
        <w:rPr>
          <w:rFonts w:eastAsia="標楷體"/>
          <w:spacing w:val="20"/>
          <w:sz w:val="30"/>
        </w:rPr>
      </w:pPr>
      <w:r w:rsidRPr="005C5E31">
        <w:rPr>
          <w:rFonts w:eastAsia="標楷體"/>
          <w:spacing w:val="20"/>
          <w:sz w:val="30"/>
        </w:rPr>
        <w:t>(1)</w:t>
      </w:r>
      <w:r w:rsidRPr="005C5E31">
        <w:rPr>
          <w:rFonts w:eastAsia="標楷體" w:hint="eastAsia"/>
          <w:spacing w:val="20"/>
          <w:sz w:val="30"/>
        </w:rPr>
        <w:t>現金流入</w:t>
      </w:r>
      <w:r w:rsidR="00F029D8">
        <w:rPr>
          <w:rFonts w:eastAsia="標楷體" w:hint="eastAsia"/>
          <w:spacing w:val="20"/>
          <w:sz w:val="30"/>
        </w:rPr>
        <w:t>1</w:t>
      </w:r>
      <w:r w:rsidR="00F029D8">
        <w:rPr>
          <w:rFonts w:eastAsia="標楷體" w:hint="eastAsia"/>
          <w:spacing w:val="20"/>
          <w:sz w:val="30"/>
        </w:rPr>
        <w:t>兆</w:t>
      </w:r>
      <w:r w:rsidR="00F029D8">
        <w:rPr>
          <w:rFonts w:eastAsia="標楷體" w:hint="eastAsia"/>
          <w:spacing w:val="20"/>
          <w:sz w:val="30"/>
        </w:rPr>
        <w:t>2</w:t>
      </w:r>
      <w:r w:rsidR="0015068E" w:rsidRPr="0015068E">
        <w:rPr>
          <w:rFonts w:eastAsia="標楷體"/>
          <w:spacing w:val="20"/>
          <w:sz w:val="30"/>
        </w:rPr>
        <w:t>,</w:t>
      </w:r>
      <w:r w:rsidR="00F029D8">
        <w:rPr>
          <w:rFonts w:eastAsia="標楷體"/>
          <w:spacing w:val="20"/>
          <w:sz w:val="30"/>
        </w:rPr>
        <w:t>258</w:t>
      </w:r>
      <w:r w:rsidRPr="005C5E31">
        <w:rPr>
          <w:rFonts w:eastAsia="標楷體" w:hint="eastAsia"/>
          <w:spacing w:val="20"/>
          <w:sz w:val="30"/>
        </w:rPr>
        <w:t>億餘元，包括</w:t>
      </w:r>
      <w:r w:rsidR="00DF5A61">
        <w:rPr>
          <w:rFonts w:eastAsia="標楷體" w:hint="eastAsia"/>
          <w:spacing w:val="20"/>
          <w:sz w:val="30"/>
        </w:rPr>
        <w:t>短期債務淨增</w:t>
      </w:r>
      <w:r w:rsidR="00F029D8">
        <w:rPr>
          <w:rFonts w:eastAsia="標楷體"/>
          <w:spacing w:val="20"/>
          <w:sz w:val="30"/>
        </w:rPr>
        <w:t>5</w:t>
      </w:r>
      <w:r w:rsidR="00DF5A61">
        <w:rPr>
          <w:rFonts w:eastAsia="標楷體"/>
          <w:spacing w:val="20"/>
          <w:sz w:val="30"/>
        </w:rPr>
        <w:t>,</w:t>
      </w:r>
      <w:r w:rsidR="00D80F89">
        <w:rPr>
          <w:rFonts w:eastAsia="標楷體"/>
          <w:spacing w:val="20"/>
          <w:sz w:val="30"/>
        </w:rPr>
        <w:t>278</w:t>
      </w:r>
      <w:r w:rsidR="00DF5A61" w:rsidRPr="005C5E31">
        <w:rPr>
          <w:rFonts w:eastAsia="標楷體" w:hint="eastAsia"/>
          <w:spacing w:val="20"/>
          <w:sz w:val="30"/>
        </w:rPr>
        <w:t>億餘元</w:t>
      </w:r>
      <w:r w:rsidR="00DF5A61">
        <w:rPr>
          <w:rFonts w:eastAsia="標楷體" w:hint="eastAsia"/>
          <w:spacing w:val="20"/>
          <w:sz w:val="30"/>
        </w:rPr>
        <w:t>，</w:t>
      </w:r>
      <w:r w:rsidR="00DF5A61" w:rsidRPr="005C5E31">
        <w:rPr>
          <w:rFonts w:eastAsia="標楷體" w:hint="eastAsia"/>
          <w:spacing w:val="20"/>
          <w:sz w:val="30"/>
        </w:rPr>
        <w:t>流動金融負債淨</w:t>
      </w:r>
      <w:r w:rsidR="00DF5A61">
        <w:rPr>
          <w:rFonts w:eastAsia="標楷體" w:hint="eastAsia"/>
          <w:spacing w:val="20"/>
          <w:sz w:val="30"/>
        </w:rPr>
        <w:t>增</w:t>
      </w:r>
      <w:r w:rsidR="00DF5A61" w:rsidRPr="00DF5A61">
        <w:rPr>
          <w:rFonts w:eastAsia="標楷體"/>
          <w:spacing w:val="20"/>
          <w:sz w:val="30"/>
        </w:rPr>
        <w:t>1,</w:t>
      </w:r>
      <w:r w:rsidR="00D80F89">
        <w:rPr>
          <w:rFonts w:eastAsia="標楷體"/>
          <w:spacing w:val="20"/>
          <w:sz w:val="30"/>
        </w:rPr>
        <w:t>349</w:t>
      </w:r>
      <w:r w:rsidR="00DF5A61" w:rsidRPr="005C5E31">
        <w:rPr>
          <w:rFonts w:eastAsia="標楷體" w:hint="eastAsia"/>
          <w:spacing w:val="20"/>
          <w:sz w:val="30"/>
        </w:rPr>
        <w:t>億餘元，</w:t>
      </w:r>
      <w:r w:rsidR="00DF5A61" w:rsidRPr="00DF5A61">
        <w:rPr>
          <w:rFonts w:eastAsia="標楷體" w:hint="eastAsia"/>
          <w:spacing w:val="20"/>
          <w:sz w:val="30"/>
        </w:rPr>
        <w:t>金融債券淨增</w:t>
      </w:r>
      <w:r w:rsidR="00D80F89">
        <w:rPr>
          <w:rFonts w:eastAsia="標楷體"/>
          <w:spacing w:val="20"/>
          <w:sz w:val="30"/>
        </w:rPr>
        <w:t>34</w:t>
      </w:r>
      <w:r w:rsidR="00DF5A61" w:rsidRPr="005C5E31">
        <w:rPr>
          <w:rFonts w:eastAsia="標楷體" w:hint="eastAsia"/>
          <w:spacing w:val="20"/>
          <w:sz w:val="30"/>
        </w:rPr>
        <w:t>億元</w:t>
      </w:r>
      <w:r w:rsidR="00DF5A61">
        <w:rPr>
          <w:rFonts w:eastAsia="標楷體" w:hint="eastAsia"/>
          <w:spacing w:val="20"/>
          <w:sz w:val="30"/>
        </w:rPr>
        <w:t>，</w:t>
      </w:r>
      <w:r w:rsidR="0067070D" w:rsidRPr="005C5E31">
        <w:rPr>
          <w:rFonts w:eastAsia="標楷體" w:hint="eastAsia"/>
          <w:spacing w:val="20"/>
          <w:sz w:val="30"/>
        </w:rPr>
        <w:t>央行及同業融資淨增</w:t>
      </w:r>
      <w:r w:rsidR="00D80F89">
        <w:rPr>
          <w:rFonts w:eastAsia="標楷體"/>
          <w:spacing w:val="20"/>
          <w:sz w:val="30"/>
        </w:rPr>
        <w:t>2</w:t>
      </w:r>
      <w:r w:rsidR="00D80F89">
        <w:rPr>
          <w:rFonts w:eastAsia="標楷體" w:hint="eastAsia"/>
          <w:spacing w:val="20"/>
          <w:sz w:val="30"/>
        </w:rPr>
        <w:t>,025</w:t>
      </w:r>
      <w:r w:rsidR="0067070D" w:rsidRPr="005C5E31">
        <w:rPr>
          <w:rFonts w:eastAsia="標楷體" w:hint="eastAsia"/>
          <w:spacing w:val="20"/>
          <w:sz w:val="30"/>
        </w:rPr>
        <w:t>億餘元</w:t>
      </w:r>
      <w:r w:rsidR="0067070D" w:rsidRPr="00287364">
        <w:rPr>
          <w:rFonts w:ascii="標楷體" w:eastAsia="標楷體" w:hAnsi="標楷體" w:hint="eastAsia"/>
          <w:spacing w:val="20"/>
          <w:sz w:val="30"/>
        </w:rPr>
        <w:t>，</w:t>
      </w:r>
      <w:r w:rsidRPr="005C5E31">
        <w:rPr>
          <w:rFonts w:eastAsia="標楷體" w:hint="eastAsia"/>
          <w:spacing w:val="20"/>
          <w:sz w:val="30"/>
        </w:rPr>
        <w:t>增加長期債務</w:t>
      </w:r>
      <w:r w:rsidR="00D80F89">
        <w:rPr>
          <w:rFonts w:eastAsia="標楷體"/>
          <w:spacing w:val="20"/>
          <w:sz w:val="30"/>
        </w:rPr>
        <w:t>3,100</w:t>
      </w:r>
      <w:r w:rsidRPr="005C5E31">
        <w:rPr>
          <w:rFonts w:eastAsia="標楷體" w:hint="eastAsia"/>
          <w:spacing w:val="20"/>
          <w:sz w:val="30"/>
        </w:rPr>
        <w:t>億</w:t>
      </w:r>
      <w:r w:rsidR="0067070D" w:rsidRPr="005C5E31">
        <w:rPr>
          <w:rFonts w:eastAsia="標楷體" w:hint="eastAsia"/>
          <w:spacing w:val="20"/>
          <w:sz w:val="30"/>
        </w:rPr>
        <w:t>餘</w:t>
      </w:r>
      <w:r w:rsidRPr="005C5E31">
        <w:rPr>
          <w:rFonts w:eastAsia="標楷體" w:hint="eastAsia"/>
          <w:spacing w:val="20"/>
          <w:sz w:val="30"/>
        </w:rPr>
        <w:t>元，增加非流動金融負債</w:t>
      </w:r>
      <w:r w:rsidR="00DF5A61">
        <w:rPr>
          <w:rFonts w:eastAsia="標楷體"/>
          <w:spacing w:val="20"/>
          <w:sz w:val="30"/>
        </w:rPr>
        <w:t>1</w:t>
      </w:r>
      <w:r w:rsidR="00D80F89">
        <w:rPr>
          <w:rFonts w:eastAsia="標楷體"/>
          <w:spacing w:val="20"/>
          <w:sz w:val="30"/>
        </w:rPr>
        <w:t>4</w:t>
      </w:r>
      <w:r w:rsidRPr="005C5E31">
        <w:rPr>
          <w:rFonts w:eastAsia="標楷體" w:hint="eastAsia"/>
          <w:spacing w:val="20"/>
          <w:sz w:val="30"/>
        </w:rPr>
        <w:t>億餘元，</w:t>
      </w:r>
      <w:r w:rsidR="00DF5A61" w:rsidRPr="00DF5A61">
        <w:rPr>
          <w:rFonts w:eastAsia="標楷體" w:hint="eastAsia"/>
          <w:spacing w:val="20"/>
          <w:sz w:val="30"/>
        </w:rPr>
        <w:t>其他負債淨增</w:t>
      </w:r>
      <w:r w:rsidR="00D80F89">
        <w:rPr>
          <w:rFonts w:eastAsia="標楷體"/>
          <w:spacing w:val="20"/>
          <w:sz w:val="30"/>
        </w:rPr>
        <w:t>168</w:t>
      </w:r>
      <w:r w:rsidR="00DF5A61">
        <w:rPr>
          <w:rFonts w:eastAsia="標楷體" w:hint="eastAsia"/>
          <w:spacing w:val="20"/>
          <w:sz w:val="30"/>
        </w:rPr>
        <w:t>億餘元，</w:t>
      </w:r>
      <w:r w:rsidRPr="005C5E31">
        <w:rPr>
          <w:rFonts w:eastAsia="標楷體" w:hint="eastAsia"/>
          <w:spacing w:val="20"/>
          <w:sz w:val="30"/>
        </w:rPr>
        <w:t>增加資本、公積及填補虧損</w:t>
      </w:r>
      <w:r w:rsidR="00D80F89">
        <w:rPr>
          <w:rFonts w:eastAsia="標楷體"/>
          <w:spacing w:val="20"/>
          <w:sz w:val="30"/>
        </w:rPr>
        <w:t>288</w:t>
      </w:r>
      <w:r w:rsidRPr="005C5E31">
        <w:rPr>
          <w:rFonts w:eastAsia="標楷體" w:hint="eastAsia"/>
          <w:spacing w:val="20"/>
          <w:sz w:val="30"/>
        </w:rPr>
        <w:t>億餘元。</w:t>
      </w:r>
    </w:p>
    <w:p w:rsidR="00177136" w:rsidRPr="005C5E31" w:rsidRDefault="00177136" w:rsidP="00177136">
      <w:pPr>
        <w:spacing w:line="360" w:lineRule="auto"/>
        <w:ind w:left="1548" w:hanging="425"/>
        <w:jc w:val="both"/>
        <w:rPr>
          <w:rFonts w:eastAsia="標楷體"/>
          <w:spacing w:val="20"/>
          <w:sz w:val="30"/>
        </w:rPr>
      </w:pPr>
      <w:r w:rsidRPr="005C5E31">
        <w:rPr>
          <w:rFonts w:eastAsia="標楷體"/>
          <w:spacing w:val="20"/>
          <w:sz w:val="30"/>
        </w:rPr>
        <w:t>(2)</w:t>
      </w:r>
      <w:r w:rsidRPr="005C5E31">
        <w:rPr>
          <w:rFonts w:eastAsia="標楷體" w:hint="eastAsia"/>
          <w:spacing w:val="14"/>
          <w:sz w:val="30"/>
        </w:rPr>
        <w:t>現金流出</w:t>
      </w:r>
      <w:r w:rsidR="0015068E" w:rsidRPr="0015068E">
        <w:rPr>
          <w:rFonts w:eastAsia="標楷體"/>
          <w:spacing w:val="14"/>
          <w:sz w:val="30"/>
        </w:rPr>
        <w:t>3,7</w:t>
      </w:r>
      <w:r w:rsidR="00745420">
        <w:rPr>
          <w:rFonts w:eastAsia="標楷體"/>
          <w:spacing w:val="14"/>
          <w:sz w:val="30"/>
        </w:rPr>
        <w:t>4</w:t>
      </w:r>
      <w:r w:rsidR="00F029D8">
        <w:rPr>
          <w:rFonts w:eastAsia="標楷體"/>
          <w:spacing w:val="14"/>
          <w:sz w:val="30"/>
        </w:rPr>
        <w:t>4</w:t>
      </w:r>
      <w:r w:rsidRPr="005C5E31">
        <w:rPr>
          <w:rFonts w:eastAsia="標楷體" w:hint="eastAsia"/>
          <w:spacing w:val="14"/>
          <w:sz w:val="30"/>
        </w:rPr>
        <w:t>億餘元，包括減少長期債務</w:t>
      </w:r>
      <w:r w:rsidR="00DF5A61" w:rsidRPr="00DF5A61">
        <w:rPr>
          <w:rFonts w:eastAsia="標楷體"/>
          <w:spacing w:val="14"/>
          <w:sz w:val="30"/>
        </w:rPr>
        <w:t>1,</w:t>
      </w:r>
      <w:r w:rsidR="00D80F89">
        <w:rPr>
          <w:rFonts w:eastAsia="標楷體"/>
          <w:spacing w:val="14"/>
          <w:sz w:val="30"/>
        </w:rPr>
        <w:t>54</w:t>
      </w:r>
      <w:r w:rsidR="00DF5A61" w:rsidRPr="00DF5A61">
        <w:rPr>
          <w:rFonts w:eastAsia="標楷體"/>
          <w:spacing w:val="14"/>
          <w:sz w:val="30"/>
        </w:rPr>
        <w:t>4</w:t>
      </w:r>
      <w:r w:rsidRPr="005C5E31">
        <w:rPr>
          <w:rFonts w:eastAsia="標楷體" w:hint="eastAsia"/>
          <w:spacing w:val="14"/>
          <w:sz w:val="30"/>
        </w:rPr>
        <w:t>億餘元，減少非流動金融負債</w:t>
      </w:r>
      <w:r w:rsidR="00D80F89">
        <w:rPr>
          <w:rFonts w:eastAsia="標楷體"/>
          <w:spacing w:val="14"/>
          <w:sz w:val="30"/>
        </w:rPr>
        <w:t>54</w:t>
      </w:r>
      <w:r w:rsidR="00D80F89">
        <w:rPr>
          <w:rFonts w:eastAsia="標楷體" w:hint="eastAsia"/>
          <w:spacing w:val="14"/>
          <w:sz w:val="30"/>
        </w:rPr>
        <w:t>億</w:t>
      </w:r>
      <w:r w:rsidRPr="005C5E31">
        <w:rPr>
          <w:rFonts w:eastAsia="標楷體" w:hint="eastAsia"/>
          <w:spacing w:val="14"/>
          <w:sz w:val="30"/>
        </w:rPr>
        <w:t>餘元，支付利息</w:t>
      </w:r>
      <w:r w:rsidR="00D80F89">
        <w:rPr>
          <w:rFonts w:eastAsia="標楷體"/>
          <w:spacing w:val="14"/>
          <w:sz w:val="30"/>
        </w:rPr>
        <w:t>34</w:t>
      </w:r>
      <w:r w:rsidRPr="005C5E31">
        <w:rPr>
          <w:rFonts w:eastAsia="標楷體" w:hint="eastAsia"/>
          <w:spacing w:val="14"/>
          <w:sz w:val="30"/>
        </w:rPr>
        <w:t>億餘元，發放現金股利</w:t>
      </w:r>
      <w:r w:rsidR="00D80F89">
        <w:rPr>
          <w:rFonts w:eastAsia="標楷體"/>
          <w:spacing w:val="14"/>
          <w:sz w:val="30"/>
        </w:rPr>
        <w:t>2</w:t>
      </w:r>
      <w:r w:rsidR="00DF5A61" w:rsidRPr="00DF5A61">
        <w:rPr>
          <w:rFonts w:eastAsia="標楷體"/>
          <w:spacing w:val="14"/>
          <w:sz w:val="30"/>
        </w:rPr>
        <w:t>,</w:t>
      </w:r>
      <w:r w:rsidR="00D80F89">
        <w:rPr>
          <w:rFonts w:eastAsia="標楷體"/>
          <w:spacing w:val="14"/>
          <w:sz w:val="30"/>
        </w:rPr>
        <w:t>001</w:t>
      </w:r>
      <w:r w:rsidRPr="005C5E31">
        <w:rPr>
          <w:rFonts w:eastAsia="標楷體" w:hint="eastAsia"/>
          <w:spacing w:val="14"/>
          <w:sz w:val="30"/>
        </w:rPr>
        <w:t>億餘元，其他籌資活動之現金流出</w:t>
      </w:r>
      <w:r w:rsidR="00D80F89">
        <w:rPr>
          <w:rFonts w:eastAsia="標楷體"/>
          <w:spacing w:val="14"/>
          <w:sz w:val="30"/>
        </w:rPr>
        <w:t>110</w:t>
      </w:r>
      <w:r w:rsidRPr="005C5E31">
        <w:rPr>
          <w:rFonts w:eastAsia="標楷體" w:hint="eastAsia"/>
          <w:spacing w:val="14"/>
          <w:sz w:val="30"/>
        </w:rPr>
        <w:t>億餘元。</w:t>
      </w:r>
    </w:p>
    <w:p w:rsidR="00177136" w:rsidRPr="005C5E31" w:rsidRDefault="00177136" w:rsidP="00177136">
      <w:pPr>
        <w:adjustRightInd w:val="0"/>
        <w:spacing w:line="360" w:lineRule="auto"/>
        <w:ind w:left="1248" w:hanging="227"/>
        <w:jc w:val="both"/>
        <w:rPr>
          <w:rFonts w:eastAsia="標楷體"/>
          <w:spacing w:val="20"/>
          <w:sz w:val="30"/>
        </w:rPr>
      </w:pPr>
      <w:r w:rsidRPr="005C5E31">
        <w:rPr>
          <w:rFonts w:eastAsia="標楷體" w:hint="eastAsia"/>
          <w:spacing w:val="20"/>
          <w:sz w:val="30"/>
        </w:rPr>
        <w:lastRenderedPageBreak/>
        <w:t>4.</w:t>
      </w:r>
      <w:r w:rsidRPr="005C5E31">
        <w:rPr>
          <w:rFonts w:eastAsia="標楷體" w:hint="eastAsia"/>
          <w:spacing w:val="20"/>
          <w:sz w:val="30"/>
        </w:rPr>
        <w:t>匯率影響數之現金流</w:t>
      </w:r>
      <w:r w:rsidR="00D80F89">
        <w:rPr>
          <w:rFonts w:eastAsia="標楷體" w:hint="eastAsia"/>
          <w:spacing w:val="20"/>
          <w:sz w:val="30"/>
        </w:rPr>
        <w:t>入</w:t>
      </w:r>
      <w:r w:rsidR="00D80F89">
        <w:rPr>
          <w:rFonts w:eastAsia="標楷體"/>
          <w:spacing w:val="20"/>
          <w:sz w:val="30"/>
        </w:rPr>
        <w:t>1,060</w:t>
      </w:r>
      <w:r w:rsidRPr="005C5E31">
        <w:rPr>
          <w:rFonts w:eastAsia="標楷體" w:hint="eastAsia"/>
          <w:spacing w:val="20"/>
          <w:sz w:val="30"/>
        </w:rPr>
        <w:t>億餘元。</w:t>
      </w:r>
    </w:p>
    <w:p w:rsidR="00177136" w:rsidRPr="005C5E31" w:rsidRDefault="00177136" w:rsidP="00177136">
      <w:pPr>
        <w:adjustRightInd w:val="0"/>
        <w:spacing w:line="360" w:lineRule="auto"/>
        <w:ind w:left="1248" w:hanging="227"/>
        <w:jc w:val="both"/>
        <w:rPr>
          <w:rFonts w:eastAsia="標楷體"/>
          <w:spacing w:val="20"/>
          <w:sz w:val="30"/>
        </w:rPr>
      </w:pPr>
      <w:r w:rsidRPr="005C5E31">
        <w:rPr>
          <w:rFonts w:eastAsia="標楷體"/>
          <w:spacing w:val="20"/>
          <w:sz w:val="30"/>
        </w:rPr>
        <w:t>5.</w:t>
      </w:r>
      <w:r w:rsidRPr="005C5E31">
        <w:rPr>
          <w:rFonts w:eastAsia="標楷體" w:hint="eastAsia"/>
          <w:spacing w:val="20"/>
          <w:sz w:val="30"/>
        </w:rPr>
        <w:t>現金及約當現金之淨</w:t>
      </w:r>
      <w:r w:rsidR="00826853">
        <w:rPr>
          <w:rFonts w:eastAsia="標楷體" w:hint="eastAsia"/>
          <w:spacing w:val="20"/>
          <w:sz w:val="30"/>
        </w:rPr>
        <w:t>增</w:t>
      </w:r>
      <w:r w:rsidR="00D80F89">
        <w:rPr>
          <w:rFonts w:eastAsia="標楷體"/>
          <w:spacing w:val="20"/>
          <w:sz w:val="30"/>
        </w:rPr>
        <w:t>3</w:t>
      </w:r>
      <w:r w:rsidR="00DF5A61">
        <w:rPr>
          <w:rFonts w:eastAsia="標楷體"/>
          <w:spacing w:val="20"/>
          <w:sz w:val="30"/>
        </w:rPr>
        <w:t>,</w:t>
      </w:r>
      <w:r w:rsidR="00D80F89">
        <w:rPr>
          <w:rFonts w:eastAsia="標楷體"/>
          <w:spacing w:val="20"/>
          <w:sz w:val="30"/>
        </w:rPr>
        <w:t>213</w:t>
      </w:r>
      <w:r w:rsidRPr="005C5E31">
        <w:rPr>
          <w:rFonts w:eastAsia="標楷體" w:hint="eastAsia"/>
          <w:spacing w:val="20"/>
          <w:sz w:val="30"/>
        </w:rPr>
        <w:t>億餘元，係期末現金及約當現金</w:t>
      </w:r>
      <w:r w:rsidRPr="005C5E31">
        <w:rPr>
          <w:rFonts w:eastAsia="標楷體" w:hint="eastAsia"/>
          <w:spacing w:val="20"/>
          <w:sz w:val="30"/>
        </w:rPr>
        <w:t>2</w:t>
      </w:r>
      <w:r w:rsidRPr="005C5E31">
        <w:rPr>
          <w:rFonts w:eastAsia="標楷體" w:hint="eastAsia"/>
          <w:spacing w:val="20"/>
          <w:sz w:val="30"/>
        </w:rPr>
        <w:t>兆</w:t>
      </w:r>
      <w:r w:rsidR="00D80F89">
        <w:rPr>
          <w:rFonts w:eastAsia="標楷體"/>
          <w:spacing w:val="20"/>
          <w:sz w:val="30"/>
        </w:rPr>
        <w:t>9</w:t>
      </w:r>
      <w:r w:rsidR="00591714" w:rsidRPr="00591714">
        <w:rPr>
          <w:rFonts w:eastAsia="標楷體"/>
          <w:spacing w:val="20"/>
          <w:sz w:val="30"/>
        </w:rPr>
        <w:t>,</w:t>
      </w:r>
      <w:r w:rsidR="00D80F89">
        <w:rPr>
          <w:rFonts w:eastAsia="標楷體"/>
          <w:spacing w:val="20"/>
          <w:sz w:val="30"/>
        </w:rPr>
        <w:t>501</w:t>
      </w:r>
      <w:r w:rsidRPr="005C5E31">
        <w:rPr>
          <w:rFonts w:eastAsia="標楷體" w:hint="eastAsia"/>
          <w:spacing w:val="20"/>
          <w:sz w:val="30"/>
        </w:rPr>
        <w:t>億餘元，較期初現金及約當現金</w:t>
      </w:r>
      <w:r w:rsidR="00C07C84" w:rsidRPr="005C5E31">
        <w:rPr>
          <w:rFonts w:eastAsia="標楷體" w:hint="eastAsia"/>
          <w:spacing w:val="20"/>
          <w:sz w:val="30"/>
        </w:rPr>
        <w:t>2</w:t>
      </w:r>
      <w:r w:rsidR="00C07C84" w:rsidRPr="005C5E31">
        <w:rPr>
          <w:rFonts w:eastAsia="標楷體" w:hint="eastAsia"/>
          <w:spacing w:val="20"/>
          <w:sz w:val="30"/>
        </w:rPr>
        <w:t>兆</w:t>
      </w:r>
      <w:r w:rsidR="00D80F89">
        <w:rPr>
          <w:rFonts w:eastAsia="標楷體"/>
          <w:spacing w:val="20"/>
          <w:sz w:val="30"/>
        </w:rPr>
        <w:t>6</w:t>
      </w:r>
      <w:r w:rsidR="00591714" w:rsidRPr="00591714">
        <w:rPr>
          <w:rFonts w:eastAsia="標楷體"/>
          <w:spacing w:val="20"/>
          <w:sz w:val="30"/>
        </w:rPr>
        <w:t>,</w:t>
      </w:r>
      <w:r w:rsidR="00D80F89">
        <w:rPr>
          <w:rFonts w:eastAsia="標楷體"/>
          <w:spacing w:val="20"/>
          <w:sz w:val="30"/>
        </w:rPr>
        <w:t>287</w:t>
      </w:r>
      <w:r w:rsidR="00C07C84" w:rsidRPr="005C5E31">
        <w:rPr>
          <w:rFonts w:eastAsia="標楷體" w:hint="eastAsia"/>
          <w:spacing w:val="20"/>
          <w:sz w:val="30"/>
        </w:rPr>
        <w:t>億</w:t>
      </w:r>
      <w:r w:rsidRPr="005C5E31">
        <w:rPr>
          <w:rFonts w:eastAsia="標楷體" w:hint="eastAsia"/>
          <w:spacing w:val="20"/>
          <w:sz w:val="30"/>
        </w:rPr>
        <w:t>餘元</w:t>
      </w:r>
      <w:r w:rsidR="00826853">
        <w:rPr>
          <w:rFonts w:eastAsia="標楷體" w:hint="eastAsia"/>
          <w:spacing w:val="20"/>
          <w:sz w:val="30"/>
        </w:rPr>
        <w:t>增加</w:t>
      </w:r>
      <w:r w:rsidRPr="005C5E31">
        <w:rPr>
          <w:rFonts w:eastAsia="標楷體" w:hint="eastAsia"/>
          <w:spacing w:val="20"/>
          <w:sz w:val="30"/>
        </w:rPr>
        <w:t>之數。</w:t>
      </w:r>
    </w:p>
    <w:p w:rsidR="00177136" w:rsidRPr="005C5E31" w:rsidRDefault="00177136" w:rsidP="006570FD">
      <w:pPr>
        <w:spacing w:beforeLines="50" w:before="120" w:afterLines="100" w:after="240"/>
        <w:ind w:left="482"/>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二</w:t>
      </w:r>
      <w:r w:rsidRPr="005C5E31">
        <w:rPr>
          <w:rFonts w:eastAsia="標楷體" w:hint="eastAsia"/>
          <w:b/>
          <w:spacing w:val="20"/>
          <w:sz w:val="30"/>
          <w:szCs w:val="30"/>
        </w:rPr>
        <w:t>)</w:t>
      </w:r>
      <w:r w:rsidR="009A498D" w:rsidRPr="005C5E31">
        <w:rPr>
          <w:rFonts w:eastAsia="標楷體" w:hint="eastAsia"/>
          <w:b/>
          <w:spacing w:val="20"/>
          <w:sz w:val="30"/>
          <w:szCs w:val="30"/>
        </w:rPr>
        <w:t>固定資產之建設改良擴充</w:t>
      </w:r>
    </w:p>
    <w:p w:rsidR="007E0EFD" w:rsidRDefault="00177136" w:rsidP="0010644D">
      <w:pPr>
        <w:pStyle w:val="21"/>
        <w:adjustRightInd w:val="0"/>
        <w:ind w:left="1077"/>
        <w:rPr>
          <w:rFonts w:ascii="Times New Roman"/>
        </w:rPr>
      </w:pPr>
      <w:r w:rsidRPr="005C5E31">
        <w:rPr>
          <w:rFonts w:ascii="Times New Roman" w:hint="eastAsia"/>
          <w:spacing w:val="16"/>
        </w:rPr>
        <w:t>本年度</w:t>
      </w:r>
      <w:r w:rsidR="00E04D02">
        <w:rPr>
          <w:rFonts w:ascii="Times New Roman" w:hint="eastAsia"/>
          <w:spacing w:val="16"/>
        </w:rPr>
        <w:t>決算</w:t>
      </w:r>
      <w:r w:rsidRPr="005C5E31">
        <w:rPr>
          <w:rFonts w:ascii="Times New Roman" w:hint="eastAsia"/>
          <w:spacing w:val="16"/>
        </w:rPr>
        <w:t>國營事業</w:t>
      </w:r>
      <w:r w:rsidR="0010644D">
        <w:rPr>
          <w:rFonts w:ascii="Times New Roman" w:hint="eastAsia"/>
          <w:spacing w:val="16"/>
        </w:rPr>
        <w:t>投資</w:t>
      </w:r>
      <w:r w:rsidRPr="005C5E31">
        <w:rPr>
          <w:rFonts w:ascii="Times New Roman" w:hint="eastAsia"/>
          <w:spacing w:val="16"/>
        </w:rPr>
        <w:t>固定資產建設、改良及擴充為</w:t>
      </w:r>
      <w:r w:rsidR="003D0FE1" w:rsidRPr="005C5E31">
        <w:rPr>
          <w:rFonts w:ascii="Times New Roman"/>
          <w:spacing w:val="16"/>
        </w:rPr>
        <w:t>2,</w:t>
      </w:r>
      <w:r w:rsidR="00591714">
        <w:rPr>
          <w:rFonts w:ascii="Times New Roman"/>
          <w:spacing w:val="16"/>
        </w:rPr>
        <w:t>8</w:t>
      </w:r>
      <w:r w:rsidR="00E30B0A">
        <w:rPr>
          <w:rFonts w:ascii="Times New Roman"/>
          <w:spacing w:val="16"/>
        </w:rPr>
        <w:t>23</w:t>
      </w:r>
      <w:r w:rsidRPr="005C5E31">
        <w:rPr>
          <w:rFonts w:ascii="Times New Roman" w:hint="eastAsia"/>
          <w:spacing w:val="16"/>
        </w:rPr>
        <w:t>億餘元，較可用預算數（含以前年度保留數、本年度預算數及本年度奉准先行辦理數）</w:t>
      </w:r>
      <w:r w:rsidR="00E30B0A">
        <w:rPr>
          <w:rFonts w:ascii="Times New Roman"/>
          <w:spacing w:val="16"/>
        </w:rPr>
        <w:t>3,024</w:t>
      </w:r>
      <w:r w:rsidRPr="005C5E31">
        <w:rPr>
          <w:rFonts w:ascii="Times New Roman" w:hint="eastAsia"/>
          <w:spacing w:val="16"/>
        </w:rPr>
        <w:t>億餘元，計減少</w:t>
      </w:r>
      <w:r w:rsidR="00591714">
        <w:rPr>
          <w:rFonts w:ascii="Times New Roman"/>
          <w:spacing w:val="16"/>
        </w:rPr>
        <w:t>2</w:t>
      </w:r>
      <w:r w:rsidR="00E30B0A">
        <w:rPr>
          <w:rFonts w:ascii="Times New Roman"/>
          <w:spacing w:val="16"/>
        </w:rPr>
        <w:t>01</w:t>
      </w:r>
      <w:r w:rsidRPr="005C5E31">
        <w:rPr>
          <w:rFonts w:ascii="Times New Roman" w:hint="eastAsia"/>
          <w:spacing w:val="16"/>
        </w:rPr>
        <w:t>億餘元，約</w:t>
      </w:r>
      <w:r w:rsidR="00E30B0A">
        <w:rPr>
          <w:rFonts w:ascii="Times New Roman"/>
          <w:spacing w:val="16"/>
        </w:rPr>
        <w:t>6.7</w:t>
      </w:r>
      <w:r w:rsidRPr="005C5E31">
        <w:rPr>
          <w:rFonts w:ascii="Times New Roman" w:hint="eastAsia"/>
          <w:spacing w:val="16"/>
        </w:rPr>
        <w:t>％</w:t>
      </w:r>
      <w:r w:rsidR="007E0EFD" w:rsidRPr="005C5E31">
        <w:rPr>
          <w:rFonts w:ascii="Times New Roman" w:hint="eastAsia"/>
        </w:rPr>
        <w:t>，茲按業別分述如下：</w:t>
      </w:r>
    </w:p>
    <w:p w:rsidR="007E0EFD" w:rsidRPr="005C5E31" w:rsidRDefault="007E0EFD" w:rsidP="007E0EFD">
      <w:pPr>
        <w:adjustRightInd w:val="0"/>
        <w:spacing w:line="360" w:lineRule="auto"/>
        <w:ind w:left="1248" w:hanging="227"/>
        <w:jc w:val="both"/>
        <w:rPr>
          <w:rFonts w:eastAsia="標楷體"/>
          <w:spacing w:val="20"/>
          <w:sz w:val="30"/>
        </w:rPr>
      </w:pPr>
      <w:r w:rsidRPr="005C5E31">
        <w:rPr>
          <w:rFonts w:eastAsia="標楷體"/>
          <w:spacing w:val="20"/>
          <w:sz w:val="30"/>
        </w:rPr>
        <w:t>1.</w:t>
      </w:r>
      <w:r w:rsidRPr="005C5E31">
        <w:rPr>
          <w:rFonts w:eastAsia="標楷體" w:hint="eastAsia"/>
          <w:spacing w:val="20"/>
          <w:sz w:val="30"/>
        </w:rPr>
        <w:t>製造業：投資</w:t>
      </w:r>
      <w:r w:rsidR="00E30B0A">
        <w:rPr>
          <w:rFonts w:eastAsia="標楷體"/>
          <w:spacing w:val="20"/>
          <w:sz w:val="30"/>
        </w:rPr>
        <w:t>460</w:t>
      </w:r>
      <w:r w:rsidRPr="005C5E31">
        <w:rPr>
          <w:rFonts w:eastAsia="標楷體" w:hint="eastAsia"/>
          <w:spacing w:val="20"/>
          <w:sz w:val="30"/>
        </w:rPr>
        <w:t>億餘元，占投資總額</w:t>
      </w:r>
      <w:r w:rsidR="00E30B0A">
        <w:rPr>
          <w:rFonts w:eastAsia="標楷體"/>
          <w:spacing w:val="20"/>
          <w:sz w:val="30"/>
        </w:rPr>
        <w:t>16.3</w:t>
      </w:r>
      <w:r w:rsidRPr="005C5E31">
        <w:rPr>
          <w:rFonts w:eastAsia="標楷體" w:hint="eastAsia"/>
          <w:spacing w:val="20"/>
          <w:sz w:val="30"/>
        </w:rPr>
        <w:t>％。</w:t>
      </w:r>
    </w:p>
    <w:p w:rsidR="007E0EFD" w:rsidRPr="005C5E31" w:rsidRDefault="007E0EFD" w:rsidP="007E0EFD">
      <w:pPr>
        <w:adjustRightInd w:val="0"/>
        <w:spacing w:line="360" w:lineRule="auto"/>
        <w:ind w:left="1248" w:hanging="227"/>
        <w:jc w:val="both"/>
        <w:rPr>
          <w:rFonts w:eastAsia="標楷體"/>
          <w:spacing w:val="20"/>
          <w:sz w:val="30"/>
        </w:rPr>
      </w:pPr>
      <w:r w:rsidRPr="005C5E31">
        <w:rPr>
          <w:rFonts w:eastAsia="標楷體"/>
          <w:spacing w:val="20"/>
          <w:sz w:val="30"/>
        </w:rPr>
        <w:t>2.</w:t>
      </w:r>
      <w:r w:rsidRPr="005C5E31">
        <w:rPr>
          <w:rFonts w:eastAsia="標楷體" w:hint="eastAsia"/>
          <w:spacing w:val="20"/>
          <w:sz w:val="30"/>
        </w:rPr>
        <w:t>電力及燃氣供應業：投資</w:t>
      </w:r>
      <w:r w:rsidRPr="005C5E31">
        <w:rPr>
          <w:rFonts w:eastAsia="標楷體" w:hint="eastAsia"/>
          <w:spacing w:val="20"/>
          <w:sz w:val="30"/>
        </w:rPr>
        <w:t>1</w:t>
      </w:r>
      <w:r w:rsidRPr="005C5E31">
        <w:rPr>
          <w:rFonts w:eastAsia="標楷體"/>
          <w:spacing w:val="20"/>
          <w:sz w:val="30"/>
        </w:rPr>
        <w:t>,</w:t>
      </w:r>
      <w:r w:rsidR="00E30B0A">
        <w:rPr>
          <w:rFonts w:eastAsia="標楷體"/>
          <w:spacing w:val="20"/>
          <w:sz w:val="30"/>
        </w:rPr>
        <w:t>627</w:t>
      </w:r>
      <w:r w:rsidRPr="005C5E31">
        <w:rPr>
          <w:rFonts w:eastAsia="標楷體" w:hint="eastAsia"/>
          <w:spacing w:val="20"/>
          <w:sz w:val="30"/>
        </w:rPr>
        <w:t>億餘元，占投資總額</w:t>
      </w:r>
      <w:r w:rsidRPr="005C5E31">
        <w:rPr>
          <w:rFonts w:eastAsia="標楷體"/>
          <w:spacing w:val="20"/>
          <w:sz w:val="30"/>
        </w:rPr>
        <w:t>5</w:t>
      </w:r>
      <w:r w:rsidR="00E30B0A">
        <w:rPr>
          <w:rFonts w:eastAsia="標楷體"/>
          <w:spacing w:val="20"/>
          <w:sz w:val="30"/>
        </w:rPr>
        <w:t>7.6</w:t>
      </w:r>
      <w:r w:rsidRPr="005C5E31">
        <w:rPr>
          <w:rFonts w:eastAsia="標楷體" w:hint="eastAsia"/>
          <w:spacing w:val="20"/>
          <w:sz w:val="30"/>
        </w:rPr>
        <w:t>％。</w:t>
      </w:r>
    </w:p>
    <w:p w:rsidR="007E0EFD" w:rsidRPr="005C5E31" w:rsidRDefault="007E0EFD" w:rsidP="007E0EFD">
      <w:pPr>
        <w:adjustRightInd w:val="0"/>
        <w:spacing w:line="360" w:lineRule="auto"/>
        <w:ind w:left="1248" w:hanging="227"/>
        <w:jc w:val="both"/>
        <w:rPr>
          <w:rFonts w:eastAsia="標楷體"/>
          <w:spacing w:val="20"/>
          <w:sz w:val="30"/>
        </w:rPr>
      </w:pPr>
      <w:r w:rsidRPr="005C5E31">
        <w:rPr>
          <w:rFonts w:eastAsia="標楷體"/>
          <w:spacing w:val="20"/>
          <w:sz w:val="30"/>
        </w:rPr>
        <w:t>3.</w:t>
      </w:r>
      <w:r w:rsidRPr="005C5E31">
        <w:rPr>
          <w:rFonts w:eastAsia="標楷體" w:hint="eastAsia"/>
          <w:spacing w:val="16"/>
          <w:sz w:val="30"/>
        </w:rPr>
        <w:t>用水供應及污染整治業：投資</w:t>
      </w:r>
      <w:r w:rsidRPr="005C5E31">
        <w:rPr>
          <w:rFonts w:eastAsia="標楷體"/>
          <w:spacing w:val="16"/>
          <w:sz w:val="30"/>
        </w:rPr>
        <w:t>2</w:t>
      </w:r>
      <w:r w:rsidR="00E30B0A">
        <w:rPr>
          <w:rFonts w:eastAsia="標楷體"/>
          <w:spacing w:val="16"/>
          <w:sz w:val="30"/>
        </w:rPr>
        <w:t>06</w:t>
      </w:r>
      <w:r w:rsidRPr="005C5E31">
        <w:rPr>
          <w:rFonts w:eastAsia="標楷體" w:hint="eastAsia"/>
          <w:spacing w:val="16"/>
          <w:sz w:val="30"/>
        </w:rPr>
        <w:t>億餘元，占投資總額</w:t>
      </w:r>
      <w:r w:rsidR="00E30B0A">
        <w:rPr>
          <w:rFonts w:eastAsia="標楷體"/>
          <w:spacing w:val="16"/>
          <w:sz w:val="30"/>
        </w:rPr>
        <w:t>7.3</w:t>
      </w:r>
      <w:r w:rsidRPr="005C5E31">
        <w:rPr>
          <w:rFonts w:eastAsia="標楷體" w:hint="eastAsia"/>
          <w:spacing w:val="16"/>
          <w:sz w:val="30"/>
        </w:rPr>
        <w:t>％。</w:t>
      </w:r>
    </w:p>
    <w:p w:rsidR="007E0EFD" w:rsidRPr="005C5E31" w:rsidRDefault="007E0EFD" w:rsidP="007E0EFD">
      <w:pPr>
        <w:adjustRightInd w:val="0"/>
        <w:spacing w:line="360" w:lineRule="auto"/>
        <w:ind w:left="1248" w:hanging="227"/>
        <w:jc w:val="both"/>
        <w:rPr>
          <w:rFonts w:eastAsia="標楷體"/>
          <w:spacing w:val="20"/>
          <w:sz w:val="30"/>
        </w:rPr>
      </w:pPr>
      <w:r w:rsidRPr="005C5E31">
        <w:rPr>
          <w:rFonts w:eastAsia="標楷體" w:hint="eastAsia"/>
          <w:spacing w:val="20"/>
          <w:sz w:val="30"/>
        </w:rPr>
        <w:t>4.</w:t>
      </w:r>
      <w:r w:rsidRPr="005C5E31">
        <w:rPr>
          <w:rFonts w:eastAsia="標楷體" w:hint="eastAsia"/>
          <w:spacing w:val="20"/>
          <w:sz w:val="30"/>
        </w:rPr>
        <w:t>運輸及倉儲業：投資</w:t>
      </w:r>
      <w:r w:rsidR="00E30B0A">
        <w:rPr>
          <w:rFonts w:eastAsia="標楷體"/>
          <w:spacing w:val="20"/>
          <w:sz w:val="30"/>
        </w:rPr>
        <w:t>423</w:t>
      </w:r>
      <w:r w:rsidRPr="005C5E31">
        <w:rPr>
          <w:rFonts w:eastAsia="標楷體" w:hint="eastAsia"/>
          <w:spacing w:val="20"/>
          <w:sz w:val="30"/>
        </w:rPr>
        <w:t>億餘元，占投資總額</w:t>
      </w:r>
      <w:r w:rsidRPr="005C5E31">
        <w:rPr>
          <w:rFonts w:eastAsia="標楷體" w:hint="eastAsia"/>
          <w:spacing w:val="20"/>
          <w:sz w:val="30"/>
        </w:rPr>
        <w:t>1</w:t>
      </w:r>
      <w:r w:rsidR="00E30B0A">
        <w:rPr>
          <w:rFonts w:eastAsia="標楷體"/>
          <w:spacing w:val="20"/>
          <w:sz w:val="30"/>
        </w:rPr>
        <w:t>5</w:t>
      </w:r>
      <w:r w:rsidRPr="005C5E31">
        <w:rPr>
          <w:rFonts w:eastAsia="標楷體" w:hint="eastAsia"/>
          <w:spacing w:val="20"/>
          <w:sz w:val="30"/>
        </w:rPr>
        <w:t>％。</w:t>
      </w:r>
    </w:p>
    <w:p w:rsidR="007E0EFD" w:rsidRDefault="007E0EFD" w:rsidP="007E0EFD">
      <w:pPr>
        <w:pStyle w:val="21"/>
        <w:adjustRightInd w:val="0"/>
        <w:ind w:left="1021"/>
        <w:rPr>
          <w:rFonts w:ascii="Times New Roman"/>
        </w:rPr>
      </w:pPr>
      <w:r w:rsidRPr="007E0EFD">
        <w:rPr>
          <w:rFonts w:ascii="Times New Roman" w:hint="eastAsia"/>
        </w:rPr>
        <w:t>5</w:t>
      </w:r>
      <w:r w:rsidRPr="007E0EFD">
        <w:rPr>
          <w:rFonts w:ascii="Times New Roman"/>
        </w:rPr>
        <w:t>.</w:t>
      </w:r>
      <w:r w:rsidRPr="005C5E31">
        <w:rPr>
          <w:rFonts w:hint="eastAsia"/>
        </w:rPr>
        <w:t>金融及保險業：投資</w:t>
      </w:r>
      <w:r w:rsidR="00E30B0A">
        <w:rPr>
          <w:rFonts w:ascii="Times New Roman"/>
        </w:rPr>
        <w:t>106</w:t>
      </w:r>
      <w:r w:rsidRPr="007E0EFD">
        <w:rPr>
          <w:rFonts w:ascii="Times New Roman"/>
        </w:rPr>
        <w:t>億餘元，占投資總額</w:t>
      </w:r>
      <w:r w:rsidR="00E30B0A">
        <w:rPr>
          <w:rFonts w:ascii="Times New Roman"/>
        </w:rPr>
        <w:t>3.8</w:t>
      </w:r>
      <w:r w:rsidRPr="005C5E31">
        <w:rPr>
          <w:rFonts w:hint="eastAsia"/>
        </w:rPr>
        <w:t>％。</w:t>
      </w:r>
    </w:p>
    <w:p w:rsidR="00177136" w:rsidRPr="005C5E31" w:rsidRDefault="00177136" w:rsidP="00CD2FC4">
      <w:pPr>
        <w:spacing w:beforeLines="50" w:before="120" w:afterLines="50" w:after="120"/>
        <w:ind w:left="482"/>
        <w:outlineLvl w:val="0"/>
        <w:rPr>
          <w:rFonts w:eastAsia="標楷體"/>
          <w:b/>
          <w:spacing w:val="20"/>
          <w:sz w:val="28"/>
        </w:rPr>
      </w:pPr>
      <w:r w:rsidRPr="005C5E31">
        <w:rPr>
          <w:rFonts w:eastAsia="標楷體" w:hint="eastAsia"/>
          <w:b/>
          <w:spacing w:val="20"/>
          <w:sz w:val="30"/>
          <w:szCs w:val="30"/>
        </w:rPr>
        <w:t>(</w:t>
      </w:r>
      <w:r w:rsidRPr="005C5E31">
        <w:rPr>
          <w:rFonts w:eastAsia="標楷體" w:hint="eastAsia"/>
          <w:b/>
          <w:spacing w:val="20"/>
          <w:sz w:val="30"/>
          <w:szCs w:val="30"/>
        </w:rPr>
        <w:t>三</w:t>
      </w:r>
      <w:r w:rsidRPr="005C5E31">
        <w:rPr>
          <w:rFonts w:eastAsia="標楷體" w:hint="eastAsia"/>
          <w:b/>
          <w:spacing w:val="20"/>
          <w:sz w:val="30"/>
          <w:szCs w:val="30"/>
        </w:rPr>
        <w:t>)</w:t>
      </w:r>
      <w:r w:rsidRPr="005C5E31">
        <w:rPr>
          <w:rFonts w:eastAsia="標楷體" w:hint="eastAsia"/>
          <w:b/>
          <w:spacing w:val="20"/>
          <w:sz w:val="30"/>
          <w:szCs w:val="30"/>
        </w:rPr>
        <w:t>長期債務之舉借與償還</w:t>
      </w:r>
    </w:p>
    <w:p w:rsidR="00177136" w:rsidRPr="005C5E31" w:rsidRDefault="00177136" w:rsidP="0010644D">
      <w:pPr>
        <w:adjustRightInd w:val="0"/>
        <w:spacing w:line="560" w:lineRule="exact"/>
        <w:ind w:left="1077"/>
        <w:jc w:val="both"/>
        <w:rPr>
          <w:rFonts w:eastAsia="標楷體"/>
          <w:spacing w:val="20"/>
          <w:sz w:val="30"/>
        </w:rPr>
      </w:pPr>
      <w:r w:rsidRPr="005C5E31">
        <w:rPr>
          <w:rFonts w:eastAsia="標楷體" w:hint="eastAsia"/>
          <w:spacing w:val="20"/>
          <w:sz w:val="30"/>
        </w:rPr>
        <w:t>本年度決算國營事業舉借長期債務</w:t>
      </w:r>
      <w:r w:rsidR="00D72B9B">
        <w:rPr>
          <w:rFonts w:eastAsia="標楷體"/>
          <w:spacing w:val="20"/>
          <w:sz w:val="30"/>
        </w:rPr>
        <w:t>3,101</w:t>
      </w:r>
      <w:r w:rsidRPr="005C5E31">
        <w:rPr>
          <w:rFonts w:eastAsia="標楷體" w:hint="eastAsia"/>
          <w:spacing w:val="20"/>
          <w:sz w:val="30"/>
        </w:rPr>
        <w:t>億</w:t>
      </w:r>
      <w:r w:rsidR="00C6175F" w:rsidRPr="005C5E31">
        <w:rPr>
          <w:rFonts w:eastAsia="標楷體" w:hint="eastAsia"/>
          <w:spacing w:val="20"/>
          <w:sz w:val="30"/>
        </w:rPr>
        <w:t>餘</w:t>
      </w:r>
      <w:r w:rsidRPr="005C5E31">
        <w:rPr>
          <w:rFonts w:eastAsia="標楷體" w:hint="eastAsia"/>
          <w:spacing w:val="20"/>
          <w:sz w:val="30"/>
        </w:rPr>
        <w:t>元，較預算數</w:t>
      </w:r>
      <w:r w:rsidR="00D72B9B">
        <w:rPr>
          <w:rFonts w:eastAsia="標楷體"/>
          <w:spacing w:val="20"/>
          <w:sz w:val="30"/>
        </w:rPr>
        <w:t>4,172</w:t>
      </w:r>
      <w:r w:rsidRPr="005C5E31">
        <w:rPr>
          <w:rFonts w:eastAsia="標楷體" w:hint="eastAsia"/>
          <w:spacing w:val="20"/>
          <w:sz w:val="30"/>
        </w:rPr>
        <w:t>億餘元，計減少</w:t>
      </w:r>
      <w:r w:rsidR="006A0C15">
        <w:rPr>
          <w:rFonts w:eastAsia="標楷體" w:hint="eastAsia"/>
          <w:spacing w:val="20"/>
          <w:sz w:val="30"/>
        </w:rPr>
        <w:t>1,</w:t>
      </w:r>
      <w:r w:rsidR="00D72B9B">
        <w:rPr>
          <w:rFonts w:eastAsia="標楷體"/>
          <w:spacing w:val="20"/>
          <w:sz w:val="30"/>
        </w:rPr>
        <w:t>071</w:t>
      </w:r>
      <w:r w:rsidRPr="005C5E31">
        <w:rPr>
          <w:rFonts w:eastAsia="標楷體" w:hint="eastAsia"/>
          <w:spacing w:val="20"/>
          <w:sz w:val="30"/>
        </w:rPr>
        <w:t>億餘元，約</w:t>
      </w:r>
      <w:r w:rsidR="00D72B9B">
        <w:rPr>
          <w:rFonts w:eastAsia="標楷體"/>
          <w:spacing w:val="20"/>
          <w:sz w:val="30"/>
        </w:rPr>
        <w:t>25.7</w:t>
      </w:r>
      <w:r w:rsidRPr="005C5E31">
        <w:rPr>
          <w:rFonts w:eastAsia="標楷體" w:hint="eastAsia"/>
          <w:spacing w:val="20"/>
          <w:sz w:val="30"/>
        </w:rPr>
        <w:t>％；償還長期債務</w:t>
      </w:r>
      <w:r w:rsidR="00C6175F" w:rsidRPr="005C5E31">
        <w:rPr>
          <w:rFonts w:eastAsia="標楷體" w:hint="eastAsia"/>
          <w:spacing w:val="20"/>
          <w:sz w:val="30"/>
        </w:rPr>
        <w:t>1,</w:t>
      </w:r>
      <w:r w:rsidR="00A523E8">
        <w:rPr>
          <w:rFonts w:eastAsia="標楷體"/>
          <w:spacing w:val="20"/>
          <w:sz w:val="30"/>
        </w:rPr>
        <w:t>542</w:t>
      </w:r>
      <w:r w:rsidR="00C6175F" w:rsidRPr="005C5E31">
        <w:rPr>
          <w:rFonts w:eastAsia="標楷體" w:hint="eastAsia"/>
          <w:spacing w:val="20"/>
          <w:sz w:val="30"/>
        </w:rPr>
        <w:t>億餘元，</w:t>
      </w:r>
      <w:r w:rsidR="00E37090" w:rsidRPr="005C5E31">
        <w:rPr>
          <w:rFonts w:eastAsia="標楷體" w:hint="eastAsia"/>
          <w:spacing w:val="20"/>
          <w:sz w:val="30"/>
        </w:rPr>
        <w:t>與</w:t>
      </w:r>
      <w:r w:rsidR="00C6175F" w:rsidRPr="005C5E31">
        <w:rPr>
          <w:rFonts w:eastAsia="標楷體" w:hint="eastAsia"/>
          <w:spacing w:val="20"/>
          <w:sz w:val="30"/>
        </w:rPr>
        <w:t>預算數</w:t>
      </w:r>
      <w:r w:rsidR="00E37090" w:rsidRPr="005C5E31">
        <w:rPr>
          <w:rFonts w:eastAsia="標楷體" w:hint="eastAsia"/>
          <w:spacing w:val="20"/>
          <w:sz w:val="30"/>
        </w:rPr>
        <w:t>相當</w:t>
      </w:r>
      <w:r w:rsidRPr="005C5E31">
        <w:rPr>
          <w:rFonts w:eastAsia="標楷體" w:hint="eastAsia"/>
          <w:spacing w:val="20"/>
          <w:sz w:val="30"/>
        </w:rPr>
        <w:t>；兩者相抵後淨</w:t>
      </w:r>
      <w:r w:rsidR="00A523E8">
        <w:rPr>
          <w:rFonts w:eastAsia="標楷體" w:hint="eastAsia"/>
          <w:spacing w:val="20"/>
          <w:sz w:val="30"/>
        </w:rPr>
        <w:t>增</w:t>
      </w:r>
      <w:r w:rsidRPr="005C5E31">
        <w:rPr>
          <w:rFonts w:eastAsia="標楷體" w:hint="eastAsia"/>
          <w:spacing w:val="20"/>
          <w:sz w:val="30"/>
        </w:rPr>
        <w:t>長期債務</w:t>
      </w:r>
      <w:r w:rsidR="00A523E8">
        <w:rPr>
          <w:rFonts w:eastAsia="標楷體"/>
          <w:spacing w:val="20"/>
          <w:sz w:val="30"/>
        </w:rPr>
        <w:t>1,559</w:t>
      </w:r>
      <w:r w:rsidRPr="005C5E31">
        <w:rPr>
          <w:rFonts w:eastAsia="標楷體" w:hint="eastAsia"/>
          <w:spacing w:val="20"/>
          <w:sz w:val="30"/>
        </w:rPr>
        <w:t>億餘元。以上舉借及償還債務均為國內部分</w:t>
      </w:r>
      <w:r w:rsidR="0018059E">
        <w:rPr>
          <w:rFonts w:eastAsia="標楷體" w:hint="eastAsia"/>
          <w:spacing w:val="20"/>
          <w:sz w:val="30"/>
        </w:rPr>
        <w:t>，</w:t>
      </w:r>
      <w:r w:rsidRPr="005C5E31">
        <w:rPr>
          <w:rFonts w:eastAsia="標楷體" w:hint="eastAsia"/>
          <w:spacing w:val="20"/>
          <w:sz w:val="30"/>
        </w:rPr>
        <w:t>茲按舉債對象分析如下</w:t>
      </w:r>
      <w:r w:rsidR="00775D69" w:rsidRPr="005C5E31">
        <w:rPr>
          <w:rFonts w:eastAsia="標楷體" w:hint="eastAsia"/>
          <w:spacing w:val="20"/>
          <w:sz w:val="28"/>
          <w:szCs w:val="28"/>
        </w:rPr>
        <w:t>（詳表</w:t>
      </w:r>
      <w:r w:rsidR="00775D69" w:rsidRPr="005C5E31">
        <w:rPr>
          <w:rFonts w:eastAsia="標楷體" w:hint="eastAsia"/>
          <w:spacing w:val="20"/>
          <w:sz w:val="28"/>
          <w:szCs w:val="28"/>
        </w:rPr>
        <w:t>3</w:t>
      </w:r>
      <w:r w:rsidR="00775D69" w:rsidRPr="005C5E31">
        <w:rPr>
          <w:rFonts w:eastAsia="標楷體" w:hint="eastAsia"/>
          <w:spacing w:val="20"/>
          <w:sz w:val="28"/>
          <w:szCs w:val="28"/>
        </w:rPr>
        <w:t>及圖</w:t>
      </w:r>
      <w:r w:rsidR="00CD2FC4" w:rsidRPr="005C5E31">
        <w:rPr>
          <w:rFonts w:eastAsia="標楷體" w:hint="eastAsia"/>
          <w:spacing w:val="20"/>
          <w:sz w:val="28"/>
          <w:szCs w:val="28"/>
        </w:rPr>
        <w:t>3</w:t>
      </w:r>
      <w:r w:rsidR="00CD2FC4" w:rsidRPr="005C5E31">
        <w:rPr>
          <w:rFonts w:ascii="標楷體" w:eastAsia="標楷體" w:hAnsi="標楷體" w:hint="eastAsia"/>
          <w:spacing w:val="20"/>
          <w:sz w:val="28"/>
          <w:szCs w:val="28"/>
        </w:rPr>
        <w:t>）</w:t>
      </w:r>
      <w:r w:rsidR="00CD2FC4" w:rsidRPr="005C5E31">
        <w:rPr>
          <w:rFonts w:ascii="新細明體" w:eastAsia="新細明體" w:hAnsi="新細明體" w:hint="eastAsia"/>
          <w:spacing w:val="20"/>
          <w:sz w:val="28"/>
          <w:szCs w:val="28"/>
        </w:rPr>
        <w:t>：</w:t>
      </w:r>
    </w:p>
    <w:p w:rsidR="00177136" w:rsidRPr="005C5E31" w:rsidRDefault="00177136" w:rsidP="0010644D">
      <w:pPr>
        <w:spacing w:line="560" w:lineRule="exact"/>
        <w:ind w:leftChars="475" w:left="1378" w:hangingChars="70" w:hanging="238"/>
        <w:jc w:val="both"/>
        <w:rPr>
          <w:rFonts w:eastAsia="標楷體"/>
          <w:spacing w:val="20"/>
          <w:sz w:val="30"/>
        </w:rPr>
      </w:pPr>
      <w:r w:rsidRPr="005C5E31">
        <w:rPr>
          <w:rFonts w:eastAsia="標楷體"/>
          <w:spacing w:val="20"/>
          <w:sz w:val="30"/>
        </w:rPr>
        <w:t>1.</w:t>
      </w:r>
      <w:r w:rsidRPr="005C5E31">
        <w:rPr>
          <w:rFonts w:eastAsia="標楷體" w:hint="eastAsia"/>
          <w:spacing w:val="6"/>
          <w:sz w:val="30"/>
        </w:rPr>
        <w:t>金融機構：</w:t>
      </w:r>
      <w:bookmarkStart w:id="8" w:name="OLE_LINK5"/>
      <w:bookmarkStart w:id="9" w:name="OLE_LINK8"/>
      <w:r w:rsidRPr="005C5E31">
        <w:rPr>
          <w:rFonts w:eastAsia="標楷體" w:hint="eastAsia"/>
          <w:spacing w:val="6"/>
          <w:sz w:val="30"/>
        </w:rPr>
        <w:t>舉借</w:t>
      </w:r>
      <w:r w:rsidR="00E30808">
        <w:rPr>
          <w:rFonts w:eastAsia="標楷體"/>
          <w:spacing w:val="6"/>
          <w:sz w:val="30"/>
        </w:rPr>
        <w:t>1,423</w:t>
      </w:r>
      <w:r w:rsidRPr="005C5E31">
        <w:rPr>
          <w:rFonts w:eastAsia="標楷體" w:hint="eastAsia"/>
          <w:spacing w:val="6"/>
          <w:sz w:val="30"/>
        </w:rPr>
        <w:t>億</w:t>
      </w:r>
      <w:r w:rsidR="00E30808">
        <w:rPr>
          <w:rFonts w:eastAsia="標楷體" w:hint="eastAsia"/>
          <w:spacing w:val="6"/>
          <w:sz w:val="30"/>
        </w:rPr>
        <w:t>餘</w:t>
      </w:r>
      <w:r w:rsidRPr="005C5E31">
        <w:rPr>
          <w:rFonts w:eastAsia="標楷體" w:hint="eastAsia"/>
          <w:spacing w:val="6"/>
          <w:sz w:val="30"/>
        </w:rPr>
        <w:t>元</w:t>
      </w:r>
      <w:r w:rsidRPr="00882EE4">
        <w:rPr>
          <w:rFonts w:eastAsia="標楷體" w:hint="eastAsia"/>
          <w:spacing w:val="-2"/>
          <w:sz w:val="30"/>
        </w:rPr>
        <w:t>，</w:t>
      </w:r>
      <w:bookmarkEnd w:id="8"/>
      <w:bookmarkEnd w:id="9"/>
      <w:r w:rsidRPr="005C5E31">
        <w:rPr>
          <w:rFonts w:eastAsia="標楷體" w:hint="eastAsia"/>
          <w:spacing w:val="6"/>
          <w:sz w:val="30"/>
        </w:rPr>
        <w:t>償還</w:t>
      </w:r>
      <w:r w:rsidR="00E30808">
        <w:rPr>
          <w:rFonts w:eastAsia="標楷體"/>
          <w:spacing w:val="6"/>
          <w:sz w:val="30"/>
        </w:rPr>
        <w:t>515</w:t>
      </w:r>
      <w:r w:rsidRPr="005C5E31">
        <w:rPr>
          <w:rFonts w:eastAsia="標楷體" w:hint="eastAsia"/>
          <w:spacing w:val="6"/>
          <w:sz w:val="30"/>
        </w:rPr>
        <w:t>億餘元，淨</w:t>
      </w:r>
      <w:r w:rsidR="004F3A8E">
        <w:rPr>
          <w:rFonts w:eastAsia="標楷體" w:hint="eastAsia"/>
          <w:spacing w:val="6"/>
          <w:sz w:val="30"/>
        </w:rPr>
        <w:t>增</w:t>
      </w:r>
      <w:r w:rsidR="00E30808">
        <w:rPr>
          <w:rFonts w:eastAsia="標楷體"/>
          <w:spacing w:val="6"/>
          <w:sz w:val="30"/>
        </w:rPr>
        <w:t>907</w:t>
      </w:r>
      <w:r w:rsidRPr="005C5E31">
        <w:rPr>
          <w:rFonts w:eastAsia="標楷體" w:hint="eastAsia"/>
          <w:spacing w:val="6"/>
          <w:sz w:val="30"/>
        </w:rPr>
        <w:t>億餘元。</w:t>
      </w:r>
    </w:p>
    <w:p w:rsidR="00177136" w:rsidRPr="005C5E31" w:rsidRDefault="00177136" w:rsidP="0010644D">
      <w:pPr>
        <w:spacing w:line="560" w:lineRule="exact"/>
        <w:ind w:leftChars="475" w:left="1429" w:hangingChars="85" w:hanging="289"/>
        <w:jc w:val="both"/>
        <w:rPr>
          <w:rFonts w:eastAsia="標楷體"/>
          <w:spacing w:val="20"/>
          <w:sz w:val="30"/>
        </w:rPr>
      </w:pPr>
      <w:r w:rsidRPr="005C5E31">
        <w:rPr>
          <w:rFonts w:eastAsia="標楷體"/>
          <w:spacing w:val="20"/>
          <w:sz w:val="30"/>
        </w:rPr>
        <w:t>2</w:t>
      </w:r>
      <w:r w:rsidRPr="005C5E31">
        <w:rPr>
          <w:rFonts w:eastAsia="標楷體" w:hint="eastAsia"/>
          <w:spacing w:val="20"/>
          <w:sz w:val="30"/>
        </w:rPr>
        <w:t>.</w:t>
      </w:r>
      <w:r w:rsidRPr="005C5E31">
        <w:rPr>
          <w:rFonts w:eastAsia="標楷體" w:hint="eastAsia"/>
          <w:spacing w:val="20"/>
          <w:sz w:val="30"/>
        </w:rPr>
        <w:t>各種債券：舉借</w:t>
      </w:r>
      <w:r w:rsidR="00E30808">
        <w:rPr>
          <w:rFonts w:eastAsia="標楷體"/>
          <w:spacing w:val="20"/>
          <w:sz w:val="30"/>
        </w:rPr>
        <w:t>1,377</w:t>
      </w:r>
      <w:r w:rsidRPr="005C5E31">
        <w:rPr>
          <w:rFonts w:eastAsia="標楷體" w:hint="eastAsia"/>
          <w:spacing w:val="20"/>
          <w:sz w:val="30"/>
        </w:rPr>
        <w:t>億</w:t>
      </w:r>
      <w:r w:rsidR="001C64F2" w:rsidRPr="005C5E31">
        <w:rPr>
          <w:rFonts w:eastAsia="標楷體" w:hint="eastAsia"/>
          <w:spacing w:val="-2"/>
          <w:sz w:val="30"/>
        </w:rPr>
        <w:t>餘</w:t>
      </w:r>
      <w:r w:rsidRPr="005C5E31">
        <w:rPr>
          <w:rFonts w:eastAsia="標楷體" w:hint="eastAsia"/>
          <w:spacing w:val="20"/>
          <w:sz w:val="30"/>
        </w:rPr>
        <w:t>元</w:t>
      </w:r>
      <w:r w:rsidRPr="00882EE4">
        <w:rPr>
          <w:rFonts w:eastAsia="標楷體" w:hint="eastAsia"/>
          <w:spacing w:val="-2"/>
          <w:sz w:val="30"/>
        </w:rPr>
        <w:t>，</w:t>
      </w:r>
      <w:r w:rsidRPr="005C5E31">
        <w:rPr>
          <w:rFonts w:eastAsia="標楷體" w:hint="eastAsia"/>
          <w:spacing w:val="20"/>
          <w:sz w:val="30"/>
        </w:rPr>
        <w:t>償還</w:t>
      </w:r>
      <w:r w:rsidR="00E30808">
        <w:rPr>
          <w:rFonts w:eastAsia="標楷體"/>
          <w:spacing w:val="20"/>
          <w:sz w:val="30"/>
        </w:rPr>
        <w:t>924</w:t>
      </w:r>
      <w:r w:rsidR="007E2CD1" w:rsidRPr="005C5E31">
        <w:rPr>
          <w:rFonts w:eastAsia="標楷體" w:hint="eastAsia"/>
          <w:spacing w:val="20"/>
          <w:sz w:val="30"/>
        </w:rPr>
        <w:t>億</w:t>
      </w:r>
      <w:r w:rsidR="00133109" w:rsidRPr="005C5E31">
        <w:rPr>
          <w:rFonts w:eastAsia="標楷體" w:hint="eastAsia"/>
          <w:spacing w:val="-2"/>
          <w:sz w:val="30"/>
        </w:rPr>
        <w:t>餘</w:t>
      </w:r>
      <w:r w:rsidR="005862CB">
        <w:rPr>
          <w:rFonts w:eastAsia="標楷體" w:hint="eastAsia"/>
          <w:spacing w:val="20"/>
          <w:sz w:val="30"/>
        </w:rPr>
        <w:t>元，淨</w:t>
      </w:r>
      <w:r w:rsidR="00E30808">
        <w:rPr>
          <w:rFonts w:eastAsia="標楷體" w:hint="eastAsia"/>
          <w:spacing w:val="6"/>
          <w:sz w:val="30"/>
        </w:rPr>
        <w:t>增</w:t>
      </w:r>
      <w:r w:rsidR="00E30808">
        <w:rPr>
          <w:rFonts w:eastAsia="標楷體"/>
          <w:spacing w:val="20"/>
          <w:sz w:val="30"/>
        </w:rPr>
        <w:t>453</w:t>
      </w:r>
      <w:r w:rsidRPr="005C5E31">
        <w:rPr>
          <w:rFonts w:eastAsia="標楷體" w:hint="eastAsia"/>
          <w:spacing w:val="20"/>
          <w:sz w:val="30"/>
        </w:rPr>
        <w:t>億</w:t>
      </w:r>
      <w:r w:rsidR="00F75FFE" w:rsidRPr="005C5E31">
        <w:rPr>
          <w:rFonts w:eastAsia="標楷體" w:hint="eastAsia"/>
          <w:spacing w:val="20"/>
          <w:sz w:val="30"/>
        </w:rPr>
        <w:t>餘</w:t>
      </w:r>
      <w:r w:rsidRPr="005C5E31">
        <w:rPr>
          <w:rFonts w:eastAsia="標楷體" w:hint="eastAsia"/>
          <w:spacing w:val="20"/>
          <w:sz w:val="30"/>
        </w:rPr>
        <w:t>元。</w:t>
      </w:r>
    </w:p>
    <w:p w:rsidR="00177136" w:rsidRPr="005C5E31" w:rsidRDefault="00177136" w:rsidP="0010644D">
      <w:pPr>
        <w:spacing w:line="560" w:lineRule="exact"/>
        <w:ind w:leftChars="475" w:left="1347" w:hangingChars="70" w:hanging="207"/>
        <w:jc w:val="both"/>
        <w:rPr>
          <w:rFonts w:eastAsia="標楷體"/>
          <w:spacing w:val="-2"/>
          <w:sz w:val="30"/>
        </w:rPr>
      </w:pPr>
      <w:r w:rsidRPr="005C5E31">
        <w:rPr>
          <w:rFonts w:eastAsia="標楷體"/>
          <w:spacing w:val="-2"/>
          <w:sz w:val="30"/>
        </w:rPr>
        <w:lastRenderedPageBreak/>
        <w:t>3</w:t>
      </w:r>
      <w:r w:rsidRPr="005C5E31">
        <w:rPr>
          <w:rFonts w:eastAsia="標楷體" w:hint="eastAsia"/>
          <w:spacing w:val="-2"/>
          <w:sz w:val="30"/>
        </w:rPr>
        <w:t>.</w:t>
      </w:r>
      <w:r w:rsidRPr="005C5E31">
        <w:rPr>
          <w:rFonts w:eastAsia="標楷體" w:hint="eastAsia"/>
          <w:spacing w:val="-2"/>
          <w:sz w:val="30"/>
        </w:rPr>
        <w:t>各種基金：舉借</w:t>
      </w:r>
      <w:r w:rsidR="00E30808">
        <w:rPr>
          <w:rFonts w:eastAsia="標楷體"/>
          <w:spacing w:val="-2"/>
          <w:sz w:val="30"/>
        </w:rPr>
        <w:t>28</w:t>
      </w:r>
      <w:r w:rsidR="00F16CEC">
        <w:rPr>
          <w:rFonts w:eastAsia="標楷體"/>
          <w:spacing w:val="-2"/>
          <w:sz w:val="30"/>
        </w:rPr>
        <w:t>0</w:t>
      </w:r>
      <w:r w:rsidRPr="005C5E31">
        <w:rPr>
          <w:rFonts w:eastAsia="標楷體" w:hint="eastAsia"/>
          <w:spacing w:val="-2"/>
          <w:sz w:val="30"/>
        </w:rPr>
        <w:t>億元，償還</w:t>
      </w:r>
      <w:r w:rsidR="00F16CEC">
        <w:rPr>
          <w:rFonts w:eastAsia="標楷體"/>
          <w:spacing w:val="-2"/>
          <w:sz w:val="30"/>
        </w:rPr>
        <w:t>1</w:t>
      </w:r>
      <w:r w:rsidR="00E30808">
        <w:rPr>
          <w:rFonts w:eastAsia="標楷體"/>
          <w:spacing w:val="-2"/>
          <w:sz w:val="30"/>
        </w:rPr>
        <w:t>01</w:t>
      </w:r>
      <w:r w:rsidRPr="005C5E31">
        <w:rPr>
          <w:rFonts w:eastAsia="標楷體" w:hint="eastAsia"/>
          <w:spacing w:val="-2"/>
          <w:sz w:val="30"/>
        </w:rPr>
        <w:t>億餘元，淨</w:t>
      </w:r>
      <w:r w:rsidR="00E30808">
        <w:rPr>
          <w:rFonts w:eastAsia="標楷體" w:hint="eastAsia"/>
          <w:spacing w:val="6"/>
          <w:sz w:val="30"/>
        </w:rPr>
        <w:t>增</w:t>
      </w:r>
      <w:r w:rsidR="00F16CEC">
        <w:rPr>
          <w:rFonts w:eastAsia="標楷體" w:hint="eastAsia"/>
          <w:spacing w:val="-2"/>
          <w:sz w:val="30"/>
        </w:rPr>
        <w:t>1</w:t>
      </w:r>
      <w:r w:rsidR="00E30808">
        <w:rPr>
          <w:rFonts w:eastAsia="標楷體"/>
          <w:spacing w:val="-2"/>
          <w:sz w:val="30"/>
        </w:rPr>
        <w:t>78</w:t>
      </w:r>
      <w:r w:rsidRPr="005C5E31">
        <w:rPr>
          <w:rFonts w:eastAsia="標楷體" w:hint="eastAsia"/>
          <w:spacing w:val="-2"/>
          <w:sz w:val="30"/>
        </w:rPr>
        <w:t>億餘元。</w:t>
      </w:r>
    </w:p>
    <w:p w:rsidR="00177136" w:rsidRDefault="00177136" w:rsidP="0010644D">
      <w:pPr>
        <w:spacing w:line="560" w:lineRule="exact"/>
        <w:ind w:leftChars="475" w:left="1378" w:hangingChars="70" w:hanging="238"/>
        <w:jc w:val="both"/>
        <w:rPr>
          <w:rFonts w:eastAsia="標楷體"/>
          <w:sz w:val="30"/>
        </w:rPr>
      </w:pPr>
      <w:r w:rsidRPr="005C5E31">
        <w:rPr>
          <w:rFonts w:eastAsia="標楷體"/>
          <w:spacing w:val="20"/>
          <w:sz w:val="30"/>
        </w:rPr>
        <w:t>4</w:t>
      </w:r>
      <w:r w:rsidRPr="005C5E31">
        <w:rPr>
          <w:rFonts w:eastAsia="標楷體" w:hint="eastAsia"/>
          <w:spacing w:val="20"/>
          <w:sz w:val="30"/>
        </w:rPr>
        <w:t>.</w:t>
      </w:r>
      <w:r w:rsidR="00FE7E62" w:rsidRPr="005C5E31">
        <w:rPr>
          <w:rFonts w:eastAsia="標楷體" w:hint="eastAsia"/>
          <w:sz w:val="30"/>
        </w:rPr>
        <w:t>應付記帳關稅：</w:t>
      </w:r>
      <w:r w:rsidR="00F16CEC" w:rsidRPr="005C5E31">
        <w:rPr>
          <w:rFonts w:eastAsia="標楷體" w:hint="eastAsia"/>
          <w:spacing w:val="-2"/>
          <w:sz w:val="30"/>
        </w:rPr>
        <w:t>償還</w:t>
      </w:r>
      <w:r w:rsidR="007E2CD1" w:rsidRPr="005C5E31">
        <w:rPr>
          <w:rFonts w:eastAsia="標楷體" w:hint="eastAsia"/>
          <w:sz w:val="30"/>
        </w:rPr>
        <w:t>3,600</w:t>
      </w:r>
      <w:r w:rsidR="007E2CD1" w:rsidRPr="005C5E31">
        <w:rPr>
          <w:rFonts w:eastAsia="標楷體" w:hint="eastAsia"/>
          <w:sz w:val="30"/>
        </w:rPr>
        <w:t>萬</w:t>
      </w:r>
      <w:r w:rsidRPr="005C5E31">
        <w:rPr>
          <w:rFonts w:eastAsia="標楷體" w:hint="eastAsia"/>
          <w:sz w:val="30"/>
        </w:rPr>
        <w:t>元，淨</w:t>
      </w:r>
      <w:r w:rsidR="00F16CEC">
        <w:rPr>
          <w:rFonts w:eastAsia="標楷體" w:hint="eastAsia"/>
          <w:spacing w:val="-2"/>
          <w:sz w:val="30"/>
        </w:rPr>
        <w:t>減</w:t>
      </w:r>
      <w:r w:rsidR="007E2CD1" w:rsidRPr="005C5E31">
        <w:rPr>
          <w:rFonts w:eastAsia="標楷體" w:hint="eastAsia"/>
          <w:sz w:val="30"/>
        </w:rPr>
        <w:t>3,600</w:t>
      </w:r>
      <w:r w:rsidR="007E2CD1" w:rsidRPr="005C5E31">
        <w:rPr>
          <w:rFonts w:eastAsia="標楷體" w:hint="eastAsia"/>
          <w:sz w:val="30"/>
        </w:rPr>
        <w:t>萬</w:t>
      </w:r>
      <w:r w:rsidRPr="005C5E31">
        <w:rPr>
          <w:rFonts w:eastAsia="標楷體" w:hint="eastAsia"/>
          <w:sz w:val="30"/>
        </w:rPr>
        <w:t>元。</w:t>
      </w:r>
    </w:p>
    <w:p w:rsidR="00B907C8" w:rsidRDefault="00B907C8" w:rsidP="0010644D">
      <w:pPr>
        <w:spacing w:line="560" w:lineRule="exact"/>
        <w:ind w:leftChars="475" w:left="1350" w:hangingChars="70" w:hanging="210"/>
        <w:jc w:val="both"/>
        <w:rPr>
          <w:rFonts w:eastAsia="標楷體"/>
          <w:spacing w:val="-2"/>
          <w:sz w:val="30"/>
        </w:rPr>
      </w:pPr>
      <w:r>
        <w:rPr>
          <w:rFonts w:eastAsia="標楷體" w:hint="eastAsia"/>
          <w:sz w:val="30"/>
        </w:rPr>
        <w:t>5.</w:t>
      </w:r>
      <w:r>
        <w:rPr>
          <w:rFonts w:eastAsia="標楷體" w:hint="eastAsia"/>
          <w:sz w:val="30"/>
        </w:rPr>
        <w:t>其他借款：</w:t>
      </w:r>
      <w:r w:rsidRPr="005C5E31">
        <w:rPr>
          <w:rFonts w:eastAsia="標楷體" w:hint="eastAsia"/>
          <w:spacing w:val="-2"/>
          <w:sz w:val="30"/>
        </w:rPr>
        <w:t>舉借</w:t>
      </w:r>
      <w:r w:rsidR="00E30808">
        <w:rPr>
          <w:rFonts w:eastAsia="標楷體"/>
          <w:spacing w:val="-2"/>
          <w:sz w:val="30"/>
        </w:rPr>
        <w:t>2</w:t>
      </w:r>
      <w:r>
        <w:rPr>
          <w:rFonts w:eastAsia="標楷體"/>
          <w:spacing w:val="-2"/>
          <w:sz w:val="30"/>
        </w:rPr>
        <w:t>0</w:t>
      </w:r>
      <w:r w:rsidRPr="005C5E31">
        <w:rPr>
          <w:rFonts w:eastAsia="標楷體" w:hint="eastAsia"/>
          <w:spacing w:val="-2"/>
          <w:sz w:val="30"/>
        </w:rPr>
        <w:t>億元，淨增</w:t>
      </w:r>
      <w:r w:rsidR="00E30808">
        <w:rPr>
          <w:rFonts w:eastAsia="標楷體"/>
          <w:spacing w:val="-2"/>
          <w:sz w:val="30"/>
        </w:rPr>
        <w:t>2</w:t>
      </w:r>
      <w:r>
        <w:rPr>
          <w:rFonts w:eastAsia="標楷體"/>
          <w:spacing w:val="-2"/>
          <w:sz w:val="30"/>
        </w:rPr>
        <w:t>0</w:t>
      </w:r>
      <w:r w:rsidRPr="005C5E31">
        <w:rPr>
          <w:rFonts w:eastAsia="標楷體" w:hint="eastAsia"/>
          <w:spacing w:val="-2"/>
          <w:sz w:val="30"/>
        </w:rPr>
        <w:t>億元。</w:t>
      </w:r>
    </w:p>
    <w:p w:rsidR="00177136" w:rsidRPr="00963D26" w:rsidRDefault="00177136" w:rsidP="006570FD">
      <w:pPr>
        <w:spacing w:beforeLines="100" w:before="240"/>
        <w:ind w:left="482"/>
        <w:jc w:val="center"/>
        <w:outlineLvl w:val="0"/>
        <w:rPr>
          <w:rFonts w:eastAsia="標楷體"/>
          <w:b/>
          <w:spacing w:val="20"/>
          <w:sz w:val="28"/>
          <w:szCs w:val="28"/>
        </w:rPr>
      </w:pPr>
      <w:r w:rsidRPr="00963D26">
        <w:rPr>
          <w:rFonts w:eastAsia="標楷體" w:hint="eastAsia"/>
          <w:b/>
          <w:spacing w:val="20"/>
          <w:sz w:val="28"/>
          <w:szCs w:val="28"/>
        </w:rPr>
        <w:t>表</w:t>
      </w:r>
      <w:r w:rsidRPr="00963D26">
        <w:rPr>
          <w:rFonts w:eastAsia="標楷體" w:hint="eastAsia"/>
          <w:b/>
          <w:spacing w:val="20"/>
          <w:sz w:val="28"/>
          <w:szCs w:val="28"/>
        </w:rPr>
        <w:t xml:space="preserve">3 </w:t>
      </w:r>
      <w:r w:rsidR="006F2008" w:rsidRPr="006F2008">
        <w:rPr>
          <w:rFonts w:eastAsia="標楷體" w:hint="eastAsia"/>
          <w:b/>
          <w:spacing w:val="20"/>
          <w:sz w:val="28"/>
          <w:szCs w:val="28"/>
        </w:rPr>
        <w:t>國營事業</w:t>
      </w:r>
      <w:r w:rsidR="00E17694">
        <w:rPr>
          <w:rFonts w:eastAsia="標楷體" w:hint="eastAsia"/>
          <w:b/>
          <w:spacing w:val="20"/>
          <w:sz w:val="28"/>
          <w:szCs w:val="28"/>
        </w:rPr>
        <w:t>111</w:t>
      </w:r>
      <w:r w:rsidR="00E17694">
        <w:rPr>
          <w:rFonts w:eastAsia="標楷體" w:hint="eastAsia"/>
          <w:b/>
          <w:spacing w:val="20"/>
          <w:sz w:val="28"/>
          <w:szCs w:val="28"/>
        </w:rPr>
        <w:t>年度</w:t>
      </w:r>
      <w:r w:rsidRPr="00963D26">
        <w:rPr>
          <w:rFonts w:eastAsia="標楷體" w:hint="eastAsia"/>
          <w:b/>
          <w:spacing w:val="20"/>
          <w:sz w:val="28"/>
          <w:szCs w:val="28"/>
        </w:rPr>
        <w:t>國內長期債務之舉借與償還情形</w:t>
      </w:r>
    </w:p>
    <w:p w:rsidR="00177136" w:rsidRPr="005C5E31" w:rsidRDefault="00177136" w:rsidP="006416B8">
      <w:pPr>
        <w:spacing w:beforeLines="50" w:before="120"/>
        <w:ind w:left="482" w:right="1161"/>
        <w:jc w:val="right"/>
        <w:outlineLvl w:val="0"/>
        <w:rPr>
          <w:rFonts w:eastAsia="標楷體"/>
          <w:b/>
          <w:spacing w:val="20"/>
          <w:sz w:val="18"/>
          <w:szCs w:val="18"/>
        </w:rPr>
      </w:pPr>
      <w:r w:rsidRPr="005C5E31">
        <w:rPr>
          <w:rFonts w:eastAsia="標楷體" w:hint="eastAsia"/>
          <w:spacing w:val="20"/>
          <w:sz w:val="18"/>
          <w:szCs w:val="18"/>
        </w:rPr>
        <w:t xml:space="preserve">         </w:t>
      </w:r>
      <w:r w:rsidRPr="0065555C">
        <w:rPr>
          <w:rFonts w:eastAsia="標楷體" w:hint="eastAsia"/>
          <w:spacing w:val="20"/>
          <w:sz w:val="22"/>
          <w:szCs w:val="18"/>
        </w:rPr>
        <w:t>單</w:t>
      </w:r>
      <w:r w:rsidRPr="0065555C">
        <w:rPr>
          <w:rFonts w:eastAsia="標楷體"/>
          <w:spacing w:val="20"/>
          <w:sz w:val="22"/>
          <w:szCs w:val="18"/>
        </w:rPr>
        <w:t>位：</w:t>
      </w:r>
      <w:r w:rsidR="00734286" w:rsidRPr="00734286">
        <w:rPr>
          <w:rFonts w:eastAsia="標楷體" w:hAnsi="標楷體" w:cs="Arial" w:hint="eastAsia"/>
          <w:sz w:val="22"/>
          <w:szCs w:val="22"/>
        </w:rPr>
        <w:t>新臺幣億元</w:t>
      </w:r>
    </w:p>
    <w:tbl>
      <w:tblPr>
        <w:tblpPr w:leftFromText="180" w:rightFromText="180" w:vertAnchor="text" w:horzAnchor="margin" w:tblpXSpec="center" w:tblpY="95"/>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8"/>
        <w:gridCol w:w="1894"/>
        <w:gridCol w:w="1776"/>
        <w:gridCol w:w="2116"/>
      </w:tblGrid>
      <w:tr w:rsidR="008D397A" w:rsidRPr="006F2008" w:rsidTr="008842A6">
        <w:trPr>
          <w:trHeight w:val="230"/>
        </w:trPr>
        <w:tc>
          <w:tcPr>
            <w:tcW w:w="2128" w:type="dxa"/>
            <w:tcBorders>
              <w:top w:val="single" w:sz="4" w:space="0" w:color="auto"/>
              <w:bottom w:val="single" w:sz="4" w:space="0" w:color="auto"/>
            </w:tcBorders>
            <w:shd w:val="clear" w:color="auto" w:fill="auto"/>
            <w:noWrap/>
            <w:vAlign w:val="center"/>
            <w:hideMark/>
          </w:tcPr>
          <w:p w:rsidR="008D397A" w:rsidRPr="006F2008" w:rsidRDefault="008D397A" w:rsidP="008D397A">
            <w:pPr>
              <w:widowControl/>
              <w:jc w:val="center"/>
              <w:rPr>
                <w:rFonts w:ascii="標楷體" w:eastAsia="標楷體" w:hAnsi="標楷體" w:cs="新細明體"/>
                <w:b/>
                <w:bCs/>
                <w:kern w:val="0"/>
                <w:szCs w:val="24"/>
              </w:rPr>
            </w:pPr>
          </w:p>
        </w:tc>
        <w:tc>
          <w:tcPr>
            <w:tcW w:w="1894" w:type="dxa"/>
            <w:tcBorders>
              <w:top w:val="single" w:sz="4" w:space="0" w:color="auto"/>
              <w:bottom w:val="single" w:sz="4" w:space="0" w:color="auto"/>
            </w:tcBorders>
            <w:shd w:val="clear" w:color="auto" w:fill="auto"/>
            <w:noWrap/>
            <w:vAlign w:val="center"/>
            <w:hideMark/>
          </w:tcPr>
          <w:p w:rsidR="008D397A" w:rsidRPr="006F2008" w:rsidRDefault="008D397A" w:rsidP="008D397A">
            <w:pPr>
              <w:widowControl/>
              <w:jc w:val="center"/>
              <w:rPr>
                <w:rFonts w:eastAsia="標楷體"/>
                <w:b/>
                <w:bCs/>
                <w:kern w:val="0"/>
                <w:szCs w:val="24"/>
              </w:rPr>
            </w:pPr>
            <w:r w:rsidRPr="006F2008">
              <w:rPr>
                <w:rFonts w:eastAsia="標楷體"/>
                <w:b/>
                <w:bCs/>
                <w:kern w:val="0"/>
                <w:szCs w:val="24"/>
              </w:rPr>
              <w:t>舉</w:t>
            </w:r>
            <w:r w:rsidRPr="006F2008">
              <w:rPr>
                <w:rFonts w:eastAsia="標楷體"/>
                <w:b/>
                <w:bCs/>
                <w:kern w:val="0"/>
                <w:szCs w:val="24"/>
              </w:rPr>
              <w:t xml:space="preserve">    </w:t>
            </w:r>
            <w:r w:rsidRPr="006F2008">
              <w:rPr>
                <w:rFonts w:eastAsia="標楷體"/>
                <w:b/>
                <w:bCs/>
                <w:kern w:val="0"/>
                <w:szCs w:val="24"/>
              </w:rPr>
              <w:t>借</w:t>
            </w:r>
            <w:r w:rsidRPr="006F2008">
              <w:rPr>
                <w:rFonts w:eastAsia="標楷體"/>
                <w:b/>
                <w:bCs/>
                <w:kern w:val="0"/>
                <w:szCs w:val="24"/>
              </w:rPr>
              <w:t xml:space="preserve"> </w:t>
            </w:r>
            <w:r w:rsidRPr="006F2008">
              <w:rPr>
                <w:rFonts w:eastAsia="標楷體"/>
                <w:bCs/>
                <w:kern w:val="0"/>
                <w:sz w:val="20"/>
                <w:szCs w:val="24"/>
              </w:rPr>
              <w:t>(1)</w:t>
            </w:r>
          </w:p>
        </w:tc>
        <w:tc>
          <w:tcPr>
            <w:tcW w:w="1776" w:type="dxa"/>
            <w:tcBorders>
              <w:top w:val="single" w:sz="4" w:space="0" w:color="auto"/>
              <w:bottom w:val="single" w:sz="4" w:space="0" w:color="auto"/>
            </w:tcBorders>
            <w:shd w:val="clear" w:color="auto" w:fill="auto"/>
            <w:vAlign w:val="center"/>
          </w:tcPr>
          <w:p w:rsidR="008D397A" w:rsidRPr="006F2008" w:rsidRDefault="008D397A" w:rsidP="008D397A">
            <w:pPr>
              <w:widowControl/>
              <w:jc w:val="center"/>
              <w:rPr>
                <w:rFonts w:eastAsia="標楷體"/>
                <w:b/>
                <w:bCs/>
                <w:kern w:val="0"/>
                <w:szCs w:val="24"/>
              </w:rPr>
            </w:pPr>
            <w:r w:rsidRPr="006F2008">
              <w:rPr>
                <w:rFonts w:eastAsia="標楷體"/>
                <w:b/>
                <w:bCs/>
                <w:kern w:val="0"/>
                <w:szCs w:val="24"/>
              </w:rPr>
              <w:t>償</w:t>
            </w:r>
            <w:r w:rsidRPr="006F2008">
              <w:rPr>
                <w:rFonts w:eastAsia="標楷體"/>
                <w:b/>
                <w:bCs/>
                <w:kern w:val="0"/>
                <w:szCs w:val="24"/>
              </w:rPr>
              <w:t xml:space="preserve">    </w:t>
            </w:r>
            <w:r w:rsidRPr="006F2008">
              <w:rPr>
                <w:rFonts w:eastAsia="標楷體"/>
                <w:b/>
                <w:bCs/>
                <w:kern w:val="0"/>
                <w:szCs w:val="24"/>
              </w:rPr>
              <w:t>還</w:t>
            </w:r>
            <w:r w:rsidRPr="006F2008">
              <w:rPr>
                <w:rFonts w:eastAsia="標楷體"/>
                <w:b/>
                <w:bCs/>
                <w:kern w:val="0"/>
                <w:szCs w:val="24"/>
              </w:rPr>
              <w:t xml:space="preserve"> </w:t>
            </w:r>
            <w:r w:rsidRPr="006F2008">
              <w:rPr>
                <w:rFonts w:eastAsia="標楷體"/>
                <w:bCs/>
                <w:kern w:val="0"/>
                <w:sz w:val="20"/>
                <w:szCs w:val="24"/>
              </w:rPr>
              <w:t>(2)</w:t>
            </w:r>
          </w:p>
        </w:tc>
        <w:tc>
          <w:tcPr>
            <w:tcW w:w="2116" w:type="dxa"/>
            <w:tcBorders>
              <w:top w:val="single" w:sz="4" w:space="0" w:color="auto"/>
              <w:bottom w:val="single" w:sz="4" w:space="0" w:color="auto"/>
            </w:tcBorders>
            <w:vAlign w:val="center"/>
          </w:tcPr>
          <w:p w:rsidR="008842A6" w:rsidRDefault="008D397A" w:rsidP="008D397A">
            <w:pPr>
              <w:widowControl/>
              <w:jc w:val="center"/>
              <w:rPr>
                <w:rFonts w:eastAsia="標楷體"/>
                <w:b/>
                <w:bCs/>
                <w:color w:val="000000"/>
                <w:szCs w:val="24"/>
              </w:rPr>
            </w:pPr>
            <w:r w:rsidRPr="006F2008">
              <w:rPr>
                <w:rFonts w:eastAsia="標楷體"/>
                <w:b/>
                <w:bCs/>
                <w:color w:val="000000"/>
                <w:szCs w:val="24"/>
              </w:rPr>
              <w:t>債務餘額</w:t>
            </w:r>
          </w:p>
          <w:p w:rsidR="008D397A" w:rsidRPr="006F2008" w:rsidRDefault="008D397A" w:rsidP="008D397A">
            <w:pPr>
              <w:widowControl/>
              <w:jc w:val="center"/>
              <w:rPr>
                <w:rFonts w:eastAsia="標楷體"/>
                <w:b/>
                <w:bCs/>
                <w:color w:val="000000"/>
                <w:szCs w:val="24"/>
              </w:rPr>
            </w:pPr>
            <w:r w:rsidRPr="006F2008">
              <w:rPr>
                <w:rFonts w:eastAsia="標楷體"/>
                <w:b/>
                <w:bCs/>
                <w:color w:val="000000"/>
                <w:szCs w:val="24"/>
              </w:rPr>
              <w:t>淨增減</w:t>
            </w:r>
            <w:r w:rsidRPr="006F2008">
              <w:rPr>
                <w:rFonts w:eastAsia="標楷體"/>
                <w:bCs/>
                <w:kern w:val="0"/>
                <w:sz w:val="20"/>
                <w:szCs w:val="24"/>
              </w:rPr>
              <w:t>(1)-(2)</w:t>
            </w:r>
          </w:p>
        </w:tc>
      </w:tr>
      <w:tr w:rsidR="00A523E8" w:rsidRPr="006F2008" w:rsidTr="008842A6">
        <w:trPr>
          <w:trHeight w:val="230"/>
        </w:trPr>
        <w:tc>
          <w:tcPr>
            <w:tcW w:w="2128" w:type="dxa"/>
            <w:tcBorders>
              <w:top w:val="single" w:sz="4" w:space="0" w:color="auto"/>
            </w:tcBorders>
            <w:shd w:val="clear" w:color="auto" w:fill="auto"/>
            <w:noWrap/>
            <w:vAlign w:val="center"/>
            <w:hideMark/>
          </w:tcPr>
          <w:p w:rsidR="00A523E8" w:rsidRPr="006F2008" w:rsidRDefault="00A523E8" w:rsidP="00A523E8">
            <w:pPr>
              <w:widowControl/>
              <w:rPr>
                <w:rFonts w:ascii="標楷體" w:eastAsia="標楷體" w:hAnsi="標楷體" w:cs="新細明體"/>
                <w:b/>
                <w:bCs/>
                <w:kern w:val="0"/>
                <w:szCs w:val="24"/>
              </w:rPr>
            </w:pPr>
            <w:r w:rsidRPr="006F2008">
              <w:rPr>
                <w:rFonts w:ascii="標楷體" w:eastAsia="標楷體" w:hAnsi="標楷體" w:cs="新細明體" w:hint="eastAsia"/>
                <w:b/>
                <w:bCs/>
                <w:kern w:val="0"/>
                <w:szCs w:val="24"/>
              </w:rPr>
              <w:t>國內部分</w:t>
            </w:r>
          </w:p>
        </w:tc>
        <w:tc>
          <w:tcPr>
            <w:tcW w:w="1894" w:type="dxa"/>
            <w:tcBorders>
              <w:top w:val="nil"/>
              <w:left w:val="nil"/>
              <w:bottom w:val="nil"/>
              <w:right w:val="single" w:sz="4" w:space="0" w:color="auto"/>
            </w:tcBorders>
            <w:shd w:val="clear" w:color="auto" w:fill="auto"/>
            <w:noWrap/>
            <w:vAlign w:val="center"/>
            <w:hideMark/>
          </w:tcPr>
          <w:p w:rsidR="00A523E8" w:rsidRDefault="00A523E8" w:rsidP="00A523E8">
            <w:pPr>
              <w:widowControl/>
              <w:jc w:val="right"/>
              <w:rPr>
                <w:rFonts w:eastAsia="新細明體"/>
                <w:b/>
                <w:bCs/>
              </w:rPr>
            </w:pPr>
            <w:r>
              <w:rPr>
                <w:b/>
                <w:bCs/>
              </w:rPr>
              <w:t>3,101.30</w:t>
            </w:r>
          </w:p>
        </w:tc>
        <w:tc>
          <w:tcPr>
            <w:tcW w:w="1776" w:type="dxa"/>
            <w:tcBorders>
              <w:top w:val="single" w:sz="4" w:space="0" w:color="auto"/>
              <w:left w:val="single" w:sz="4" w:space="0" w:color="auto"/>
              <w:right w:val="single" w:sz="4" w:space="0" w:color="auto"/>
            </w:tcBorders>
            <w:shd w:val="clear" w:color="auto" w:fill="auto"/>
            <w:vAlign w:val="center"/>
          </w:tcPr>
          <w:p w:rsidR="00A523E8" w:rsidRDefault="00A523E8" w:rsidP="00A523E8">
            <w:pPr>
              <w:widowControl/>
              <w:jc w:val="right"/>
              <w:rPr>
                <w:rFonts w:eastAsia="新細明體"/>
                <w:b/>
                <w:bCs/>
              </w:rPr>
            </w:pPr>
            <w:r>
              <w:rPr>
                <w:b/>
                <w:bCs/>
              </w:rPr>
              <w:t>1,542.14</w:t>
            </w:r>
          </w:p>
        </w:tc>
        <w:tc>
          <w:tcPr>
            <w:tcW w:w="2116" w:type="dxa"/>
            <w:tcBorders>
              <w:top w:val="single" w:sz="4" w:space="0" w:color="auto"/>
              <w:left w:val="single" w:sz="4" w:space="0" w:color="auto"/>
              <w:right w:val="single" w:sz="4" w:space="0" w:color="auto"/>
            </w:tcBorders>
            <w:vAlign w:val="center"/>
          </w:tcPr>
          <w:p w:rsidR="00A523E8" w:rsidRDefault="00A523E8" w:rsidP="00A523E8">
            <w:pPr>
              <w:jc w:val="right"/>
              <w:rPr>
                <w:b/>
                <w:bCs/>
                <w:color w:val="000000"/>
              </w:rPr>
            </w:pPr>
            <w:r>
              <w:rPr>
                <w:b/>
                <w:bCs/>
                <w:color w:val="000000"/>
              </w:rPr>
              <w:t xml:space="preserve">1,559.16 </w:t>
            </w:r>
          </w:p>
        </w:tc>
      </w:tr>
      <w:tr w:rsidR="00A523E8" w:rsidRPr="006F2008" w:rsidTr="008842A6">
        <w:trPr>
          <w:trHeight w:val="230"/>
        </w:trPr>
        <w:tc>
          <w:tcPr>
            <w:tcW w:w="2128" w:type="dxa"/>
            <w:shd w:val="clear" w:color="auto" w:fill="auto"/>
            <w:noWrap/>
            <w:vAlign w:val="center"/>
            <w:hideMark/>
          </w:tcPr>
          <w:p w:rsidR="00A523E8" w:rsidRPr="006F2008" w:rsidRDefault="00A523E8" w:rsidP="00A523E8">
            <w:pPr>
              <w:widowControl/>
              <w:ind w:firstLineChars="50" w:firstLine="120"/>
              <w:rPr>
                <w:rFonts w:ascii="標楷體" w:eastAsia="標楷體" w:hAnsi="標楷體" w:cs="新細明體"/>
                <w:kern w:val="0"/>
                <w:szCs w:val="24"/>
              </w:rPr>
            </w:pPr>
            <w:r w:rsidRPr="006F2008">
              <w:rPr>
                <w:rFonts w:ascii="標楷體" w:eastAsia="標楷體" w:hAnsi="標楷體" w:cs="新細明體" w:hint="eastAsia"/>
                <w:kern w:val="0"/>
                <w:szCs w:val="24"/>
              </w:rPr>
              <w:t>金融機構</w:t>
            </w:r>
          </w:p>
        </w:tc>
        <w:tc>
          <w:tcPr>
            <w:tcW w:w="1894" w:type="dxa"/>
            <w:tcBorders>
              <w:top w:val="nil"/>
              <w:left w:val="nil"/>
              <w:bottom w:val="nil"/>
              <w:right w:val="single" w:sz="4" w:space="0" w:color="auto"/>
            </w:tcBorders>
            <w:shd w:val="clear" w:color="auto" w:fill="auto"/>
            <w:noWrap/>
            <w:vAlign w:val="center"/>
            <w:hideMark/>
          </w:tcPr>
          <w:p w:rsidR="00A523E8" w:rsidRDefault="00A523E8" w:rsidP="00A523E8">
            <w:pPr>
              <w:jc w:val="right"/>
            </w:pPr>
            <w:r>
              <w:t>1,423.60</w:t>
            </w:r>
          </w:p>
        </w:tc>
        <w:tc>
          <w:tcPr>
            <w:tcW w:w="1776" w:type="dxa"/>
            <w:tcBorders>
              <w:left w:val="single" w:sz="4" w:space="0" w:color="auto"/>
              <w:right w:val="single" w:sz="4" w:space="0" w:color="auto"/>
            </w:tcBorders>
            <w:shd w:val="clear" w:color="auto" w:fill="auto"/>
            <w:vAlign w:val="center"/>
          </w:tcPr>
          <w:p w:rsidR="00A523E8" w:rsidRDefault="00A523E8" w:rsidP="00A523E8">
            <w:pPr>
              <w:jc w:val="right"/>
            </w:pPr>
            <w:r>
              <w:t xml:space="preserve">515.67 </w:t>
            </w:r>
          </w:p>
        </w:tc>
        <w:tc>
          <w:tcPr>
            <w:tcW w:w="2116" w:type="dxa"/>
            <w:tcBorders>
              <w:left w:val="single" w:sz="4" w:space="0" w:color="auto"/>
              <w:right w:val="single" w:sz="4" w:space="0" w:color="auto"/>
            </w:tcBorders>
            <w:vAlign w:val="center"/>
          </w:tcPr>
          <w:p w:rsidR="00A523E8" w:rsidRDefault="00A523E8" w:rsidP="00A523E8">
            <w:pPr>
              <w:jc w:val="right"/>
              <w:rPr>
                <w:color w:val="000000"/>
              </w:rPr>
            </w:pPr>
            <w:r>
              <w:rPr>
                <w:color w:val="000000"/>
              </w:rPr>
              <w:t xml:space="preserve">907.93 </w:t>
            </w:r>
          </w:p>
        </w:tc>
      </w:tr>
      <w:tr w:rsidR="00A523E8" w:rsidRPr="006F2008" w:rsidTr="008842A6">
        <w:trPr>
          <w:trHeight w:val="230"/>
        </w:trPr>
        <w:tc>
          <w:tcPr>
            <w:tcW w:w="2128" w:type="dxa"/>
            <w:shd w:val="clear" w:color="auto" w:fill="auto"/>
            <w:noWrap/>
            <w:vAlign w:val="center"/>
          </w:tcPr>
          <w:p w:rsidR="00A523E8" w:rsidRPr="006F2008" w:rsidRDefault="00A523E8" w:rsidP="00A523E8">
            <w:pPr>
              <w:widowControl/>
              <w:ind w:firstLineChars="50" w:firstLine="120"/>
              <w:rPr>
                <w:rFonts w:ascii="標楷體" w:eastAsia="標楷體" w:hAnsi="標楷體" w:cs="新細明體"/>
                <w:kern w:val="0"/>
                <w:szCs w:val="24"/>
              </w:rPr>
            </w:pPr>
            <w:r w:rsidRPr="006F2008">
              <w:rPr>
                <w:rFonts w:ascii="標楷體" w:eastAsia="標楷體" w:hAnsi="標楷體" w:cs="新細明體" w:hint="eastAsia"/>
                <w:kern w:val="0"/>
                <w:szCs w:val="24"/>
              </w:rPr>
              <w:t>各種債券</w:t>
            </w:r>
          </w:p>
        </w:tc>
        <w:tc>
          <w:tcPr>
            <w:tcW w:w="1894" w:type="dxa"/>
            <w:tcBorders>
              <w:top w:val="nil"/>
              <w:left w:val="nil"/>
              <w:bottom w:val="nil"/>
              <w:right w:val="single" w:sz="4" w:space="0" w:color="auto"/>
            </w:tcBorders>
            <w:shd w:val="clear" w:color="auto" w:fill="auto"/>
            <w:noWrap/>
            <w:vAlign w:val="center"/>
          </w:tcPr>
          <w:p w:rsidR="00A523E8" w:rsidRDefault="00A523E8" w:rsidP="00A523E8">
            <w:pPr>
              <w:jc w:val="right"/>
            </w:pPr>
            <w:r>
              <w:t>1,377.70</w:t>
            </w:r>
          </w:p>
        </w:tc>
        <w:tc>
          <w:tcPr>
            <w:tcW w:w="1776" w:type="dxa"/>
            <w:tcBorders>
              <w:left w:val="single" w:sz="4" w:space="0" w:color="auto"/>
              <w:right w:val="single" w:sz="4" w:space="0" w:color="auto"/>
            </w:tcBorders>
            <w:shd w:val="clear" w:color="auto" w:fill="auto"/>
            <w:vAlign w:val="center"/>
          </w:tcPr>
          <w:p w:rsidR="00A523E8" w:rsidRDefault="00A523E8" w:rsidP="00A523E8">
            <w:pPr>
              <w:jc w:val="right"/>
            </w:pPr>
            <w:r>
              <w:t xml:space="preserve">924.50 </w:t>
            </w:r>
          </w:p>
        </w:tc>
        <w:tc>
          <w:tcPr>
            <w:tcW w:w="2116" w:type="dxa"/>
            <w:tcBorders>
              <w:left w:val="single" w:sz="4" w:space="0" w:color="auto"/>
              <w:right w:val="single" w:sz="4" w:space="0" w:color="auto"/>
            </w:tcBorders>
            <w:vAlign w:val="center"/>
          </w:tcPr>
          <w:p w:rsidR="00A523E8" w:rsidRDefault="00A523E8" w:rsidP="00A523E8">
            <w:pPr>
              <w:jc w:val="right"/>
              <w:rPr>
                <w:color w:val="000000"/>
              </w:rPr>
            </w:pPr>
            <w:r>
              <w:rPr>
                <w:color w:val="000000"/>
              </w:rPr>
              <w:t xml:space="preserve">453.20 </w:t>
            </w:r>
          </w:p>
        </w:tc>
      </w:tr>
      <w:tr w:rsidR="00A523E8" w:rsidRPr="006F2008" w:rsidTr="008842A6">
        <w:trPr>
          <w:trHeight w:val="230"/>
        </w:trPr>
        <w:tc>
          <w:tcPr>
            <w:tcW w:w="2128" w:type="dxa"/>
            <w:shd w:val="clear" w:color="auto" w:fill="auto"/>
            <w:noWrap/>
            <w:vAlign w:val="center"/>
            <w:hideMark/>
          </w:tcPr>
          <w:p w:rsidR="00A523E8" w:rsidRPr="006F2008" w:rsidRDefault="00A523E8" w:rsidP="00A523E8">
            <w:pPr>
              <w:widowControl/>
              <w:ind w:firstLineChars="50" w:firstLine="120"/>
              <w:rPr>
                <w:rFonts w:ascii="標楷體" w:eastAsia="標楷體" w:hAnsi="標楷體" w:cs="新細明體"/>
                <w:kern w:val="0"/>
                <w:szCs w:val="24"/>
              </w:rPr>
            </w:pPr>
            <w:r w:rsidRPr="006F2008">
              <w:rPr>
                <w:rFonts w:ascii="標楷體" w:eastAsia="標楷體" w:hAnsi="標楷體" w:cs="新細明體" w:hint="eastAsia"/>
                <w:kern w:val="0"/>
                <w:szCs w:val="24"/>
              </w:rPr>
              <w:t>各種基金</w:t>
            </w:r>
          </w:p>
        </w:tc>
        <w:tc>
          <w:tcPr>
            <w:tcW w:w="1894" w:type="dxa"/>
            <w:tcBorders>
              <w:top w:val="nil"/>
              <w:left w:val="nil"/>
              <w:bottom w:val="nil"/>
              <w:right w:val="single" w:sz="4" w:space="0" w:color="auto"/>
            </w:tcBorders>
            <w:shd w:val="clear" w:color="auto" w:fill="auto"/>
            <w:noWrap/>
            <w:vAlign w:val="center"/>
            <w:hideMark/>
          </w:tcPr>
          <w:p w:rsidR="00A523E8" w:rsidRDefault="00A523E8" w:rsidP="00A523E8">
            <w:pPr>
              <w:jc w:val="right"/>
            </w:pPr>
            <w:r>
              <w:t>280.00</w:t>
            </w:r>
          </w:p>
        </w:tc>
        <w:tc>
          <w:tcPr>
            <w:tcW w:w="1776" w:type="dxa"/>
            <w:tcBorders>
              <w:left w:val="single" w:sz="4" w:space="0" w:color="auto"/>
              <w:right w:val="single" w:sz="4" w:space="0" w:color="auto"/>
            </w:tcBorders>
            <w:shd w:val="clear" w:color="auto" w:fill="auto"/>
            <w:vAlign w:val="center"/>
          </w:tcPr>
          <w:p w:rsidR="00A523E8" w:rsidRDefault="00A523E8" w:rsidP="00A523E8">
            <w:pPr>
              <w:jc w:val="right"/>
            </w:pPr>
            <w:r>
              <w:t xml:space="preserve">101.61 </w:t>
            </w:r>
          </w:p>
        </w:tc>
        <w:tc>
          <w:tcPr>
            <w:tcW w:w="2116" w:type="dxa"/>
            <w:tcBorders>
              <w:left w:val="single" w:sz="4" w:space="0" w:color="auto"/>
              <w:right w:val="single" w:sz="4" w:space="0" w:color="auto"/>
            </w:tcBorders>
            <w:vAlign w:val="center"/>
          </w:tcPr>
          <w:p w:rsidR="00A523E8" w:rsidRDefault="00A523E8" w:rsidP="00A523E8">
            <w:pPr>
              <w:jc w:val="right"/>
              <w:rPr>
                <w:color w:val="000000"/>
              </w:rPr>
            </w:pPr>
            <w:r>
              <w:rPr>
                <w:color w:val="000000"/>
              </w:rPr>
              <w:t xml:space="preserve">178.39 </w:t>
            </w:r>
          </w:p>
        </w:tc>
      </w:tr>
      <w:tr w:rsidR="00A523E8" w:rsidRPr="006F2008" w:rsidTr="008842A6">
        <w:trPr>
          <w:trHeight w:val="230"/>
        </w:trPr>
        <w:tc>
          <w:tcPr>
            <w:tcW w:w="2128" w:type="dxa"/>
            <w:shd w:val="clear" w:color="auto" w:fill="auto"/>
            <w:noWrap/>
            <w:vAlign w:val="center"/>
          </w:tcPr>
          <w:p w:rsidR="00A523E8" w:rsidRPr="006F2008" w:rsidRDefault="00A523E8" w:rsidP="00A523E8">
            <w:pPr>
              <w:widowControl/>
              <w:ind w:firstLineChars="50" w:firstLine="120"/>
              <w:rPr>
                <w:rFonts w:ascii="標楷體" w:eastAsia="標楷體" w:hAnsi="標楷體" w:cs="新細明體"/>
                <w:kern w:val="0"/>
                <w:szCs w:val="24"/>
              </w:rPr>
            </w:pPr>
            <w:r w:rsidRPr="006F2008">
              <w:rPr>
                <w:rFonts w:ascii="標楷體" w:eastAsia="標楷體" w:hAnsi="標楷體" w:cs="新細明體" w:hint="eastAsia"/>
                <w:kern w:val="0"/>
                <w:szCs w:val="24"/>
              </w:rPr>
              <w:t>應付記帳關稅</w:t>
            </w:r>
          </w:p>
        </w:tc>
        <w:tc>
          <w:tcPr>
            <w:tcW w:w="1894" w:type="dxa"/>
            <w:tcBorders>
              <w:top w:val="nil"/>
              <w:left w:val="nil"/>
              <w:bottom w:val="nil"/>
              <w:right w:val="single" w:sz="4" w:space="0" w:color="auto"/>
            </w:tcBorders>
            <w:shd w:val="clear" w:color="auto" w:fill="auto"/>
            <w:noWrap/>
            <w:vAlign w:val="center"/>
          </w:tcPr>
          <w:p w:rsidR="00A523E8" w:rsidRDefault="00A523E8" w:rsidP="00A523E8">
            <w:pPr>
              <w:jc w:val="right"/>
              <w:rPr>
                <w:rFonts w:ascii="華康楷書體W5" w:hAnsi="新細明體" w:cs="新細明體"/>
              </w:rPr>
            </w:pPr>
            <w:r>
              <w:rPr>
                <w:rFonts w:ascii="華康楷書體W5" w:hint="eastAsia"/>
              </w:rPr>
              <w:t xml:space="preserve">　</w:t>
            </w:r>
          </w:p>
        </w:tc>
        <w:tc>
          <w:tcPr>
            <w:tcW w:w="1776" w:type="dxa"/>
            <w:tcBorders>
              <w:left w:val="single" w:sz="4" w:space="0" w:color="auto"/>
              <w:right w:val="single" w:sz="4" w:space="0" w:color="auto"/>
            </w:tcBorders>
            <w:shd w:val="clear" w:color="auto" w:fill="auto"/>
            <w:vAlign w:val="center"/>
          </w:tcPr>
          <w:p w:rsidR="00A523E8" w:rsidRDefault="00A523E8" w:rsidP="00A523E8">
            <w:pPr>
              <w:jc w:val="right"/>
            </w:pPr>
            <w:r>
              <w:t xml:space="preserve">0.36 </w:t>
            </w:r>
          </w:p>
        </w:tc>
        <w:tc>
          <w:tcPr>
            <w:tcW w:w="2116" w:type="dxa"/>
            <w:tcBorders>
              <w:left w:val="single" w:sz="4" w:space="0" w:color="auto"/>
              <w:right w:val="single" w:sz="4" w:space="0" w:color="auto"/>
            </w:tcBorders>
            <w:vAlign w:val="center"/>
          </w:tcPr>
          <w:p w:rsidR="00A523E8" w:rsidRDefault="00A523E8" w:rsidP="00A523E8">
            <w:pPr>
              <w:jc w:val="right"/>
              <w:rPr>
                <w:color w:val="000000"/>
              </w:rPr>
            </w:pPr>
            <w:r>
              <w:rPr>
                <w:color w:val="000000"/>
              </w:rPr>
              <w:t xml:space="preserve">-0.36 </w:t>
            </w:r>
          </w:p>
        </w:tc>
      </w:tr>
      <w:tr w:rsidR="00A523E8" w:rsidRPr="006F2008" w:rsidTr="008842A6">
        <w:trPr>
          <w:trHeight w:val="230"/>
        </w:trPr>
        <w:tc>
          <w:tcPr>
            <w:tcW w:w="2128" w:type="dxa"/>
            <w:tcBorders>
              <w:bottom w:val="nil"/>
            </w:tcBorders>
            <w:shd w:val="clear" w:color="auto" w:fill="auto"/>
            <w:noWrap/>
            <w:vAlign w:val="center"/>
            <w:hideMark/>
          </w:tcPr>
          <w:p w:rsidR="00A523E8" w:rsidRPr="006F2008" w:rsidRDefault="00A523E8" w:rsidP="00A523E8">
            <w:pPr>
              <w:widowControl/>
              <w:ind w:firstLineChars="50" w:firstLine="120"/>
              <w:rPr>
                <w:rFonts w:ascii="標楷體" w:eastAsia="標楷體" w:hAnsi="標楷體" w:cs="新細明體"/>
                <w:kern w:val="0"/>
                <w:szCs w:val="24"/>
              </w:rPr>
            </w:pPr>
            <w:r w:rsidRPr="006F2008">
              <w:rPr>
                <w:rFonts w:ascii="標楷體" w:eastAsia="標楷體" w:hAnsi="標楷體" w:cs="新細明體" w:hint="eastAsia"/>
                <w:kern w:val="0"/>
                <w:szCs w:val="24"/>
              </w:rPr>
              <w:t>其他借款</w:t>
            </w:r>
          </w:p>
        </w:tc>
        <w:tc>
          <w:tcPr>
            <w:tcW w:w="1894" w:type="dxa"/>
            <w:tcBorders>
              <w:top w:val="nil"/>
              <w:left w:val="nil"/>
              <w:bottom w:val="nil"/>
              <w:right w:val="single" w:sz="4" w:space="0" w:color="auto"/>
            </w:tcBorders>
            <w:shd w:val="clear" w:color="auto" w:fill="auto"/>
            <w:noWrap/>
            <w:vAlign w:val="center"/>
            <w:hideMark/>
          </w:tcPr>
          <w:p w:rsidR="00A523E8" w:rsidRDefault="00A523E8" w:rsidP="00A523E8">
            <w:pPr>
              <w:jc w:val="right"/>
            </w:pPr>
            <w:r>
              <w:t>20.00</w:t>
            </w:r>
          </w:p>
        </w:tc>
        <w:tc>
          <w:tcPr>
            <w:tcW w:w="1776" w:type="dxa"/>
            <w:tcBorders>
              <w:left w:val="single" w:sz="4" w:space="0" w:color="auto"/>
              <w:bottom w:val="nil"/>
              <w:right w:val="single" w:sz="4" w:space="0" w:color="auto"/>
            </w:tcBorders>
            <w:shd w:val="clear" w:color="auto" w:fill="auto"/>
            <w:vAlign w:val="center"/>
          </w:tcPr>
          <w:p w:rsidR="00A523E8" w:rsidRDefault="00A523E8" w:rsidP="00A523E8">
            <w:pPr>
              <w:jc w:val="right"/>
            </w:pPr>
            <w:r>
              <w:t xml:space="preserve">　</w:t>
            </w:r>
          </w:p>
        </w:tc>
        <w:tc>
          <w:tcPr>
            <w:tcW w:w="2116" w:type="dxa"/>
            <w:tcBorders>
              <w:left w:val="single" w:sz="4" w:space="0" w:color="auto"/>
              <w:bottom w:val="nil"/>
              <w:right w:val="single" w:sz="4" w:space="0" w:color="auto"/>
            </w:tcBorders>
            <w:vAlign w:val="center"/>
          </w:tcPr>
          <w:p w:rsidR="00A523E8" w:rsidRDefault="00A523E8" w:rsidP="00A523E8">
            <w:pPr>
              <w:jc w:val="right"/>
              <w:rPr>
                <w:color w:val="000000"/>
              </w:rPr>
            </w:pPr>
            <w:r>
              <w:rPr>
                <w:color w:val="000000"/>
              </w:rPr>
              <w:t xml:space="preserve">20.00 </w:t>
            </w:r>
          </w:p>
        </w:tc>
      </w:tr>
      <w:tr w:rsidR="00A523E8" w:rsidRPr="006F2008" w:rsidTr="008842A6">
        <w:trPr>
          <w:trHeight w:val="230"/>
        </w:trPr>
        <w:tc>
          <w:tcPr>
            <w:tcW w:w="2128" w:type="dxa"/>
            <w:tcBorders>
              <w:top w:val="single" w:sz="4" w:space="0" w:color="auto"/>
              <w:bottom w:val="single" w:sz="4" w:space="0" w:color="auto"/>
              <w:right w:val="single" w:sz="4" w:space="0" w:color="auto"/>
            </w:tcBorders>
            <w:shd w:val="clear" w:color="auto" w:fill="auto"/>
            <w:noWrap/>
            <w:vAlign w:val="center"/>
            <w:hideMark/>
          </w:tcPr>
          <w:p w:rsidR="00A523E8" w:rsidRPr="006F2008" w:rsidRDefault="00A523E8" w:rsidP="00A523E8">
            <w:pPr>
              <w:widowControl/>
              <w:jc w:val="center"/>
              <w:rPr>
                <w:rFonts w:ascii="標楷體" w:eastAsia="標楷體" w:hAnsi="標楷體" w:cs="新細明體"/>
                <w:b/>
                <w:kern w:val="0"/>
                <w:szCs w:val="24"/>
              </w:rPr>
            </w:pPr>
            <w:r w:rsidRPr="006F2008">
              <w:rPr>
                <w:rFonts w:ascii="標楷體" w:eastAsia="標楷體" w:hAnsi="標楷體" w:cs="新細明體" w:hint="eastAsia"/>
                <w:b/>
                <w:kern w:val="0"/>
                <w:szCs w:val="24"/>
              </w:rPr>
              <w:t>合     計</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3E8" w:rsidRDefault="00A523E8" w:rsidP="00A523E8">
            <w:pPr>
              <w:jc w:val="right"/>
              <w:rPr>
                <w:b/>
                <w:bCs/>
              </w:rPr>
            </w:pPr>
            <w:r>
              <w:rPr>
                <w:b/>
                <w:bCs/>
              </w:rPr>
              <w:t>3,101.30</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A523E8" w:rsidRDefault="00A523E8" w:rsidP="00A523E8">
            <w:pPr>
              <w:jc w:val="right"/>
              <w:rPr>
                <w:b/>
                <w:bCs/>
              </w:rPr>
            </w:pPr>
            <w:r>
              <w:rPr>
                <w:b/>
                <w:bCs/>
              </w:rPr>
              <w:t>1,542.14</w:t>
            </w:r>
          </w:p>
        </w:tc>
        <w:tc>
          <w:tcPr>
            <w:tcW w:w="2116" w:type="dxa"/>
            <w:tcBorders>
              <w:top w:val="single" w:sz="4" w:space="0" w:color="auto"/>
              <w:left w:val="single" w:sz="4" w:space="0" w:color="auto"/>
              <w:bottom w:val="single" w:sz="4" w:space="0" w:color="auto"/>
              <w:right w:val="single" w:sz="4" w:space="0" w:color="auto"/>
            </w:tcBorders>
            <w:vAlign w:val="center"/>
          </w:tcPr>
          <w:p w:rsidR="00A523E8" w:rsidRDefault="00B23A49" w:rsidP="00A523E8">
            <w:pPr>
              <w:jc w:val="right"/>
              <w:rPr>
                <w:b/>
                <w:bCs/>
                <w:color w:val="000000"/>
              </w:rPr>
            </w:pPr>
            <w:r>
              <w:rPr>
                <w:b/>
                <w:bCs/>
                <w:color w:val="000000"/>
              </w:rPr>
              <w:t>1,559.16</w:t>
            </w:r>
          </w:p>
        </w:tc>
      </w:tr>
    </w:tbl>
    <w:p w:rsidR="00177136" w:rsidRPr="005C5E31" w:rsidRDefault="00177136" w:rsidP="00177136">
      <w:pPr>
        <w:ind w:left="482"/>
        <w:outlineLvl w:val="0"/>
        <w:rPr>
          <w:rFonts w:eastAsia="標楷體"/>
          <w:spacing w:val="20"/>
          <w:sz w:val="18"/>
          <w:szCs w:val="18"/>
        </w:rPr>
      </w:pPr>
      <w:r w:rsidRPr="005C5E31">
        <w:rPr>
          <w:rFonts w:eastAsia="標楷體" w:hint="eastAsia"/>
          <w:b/>
          <w:spacing w:val="20"/>
          <w:sz w:val="28"/>
        </w:rPr>
        <w:t xml:space="preserve">          </w:t>
      </w:r>
      <w:r w:rsidRPr="005C5E31">
        <w:rPr>
          <w:rFonts w:eastAsia="標楷體"/>
          <w:b/>
          <w:spacing w:val="20"/>
          <w:sz w:val="28"/>
        </w:rPr>
        <w:t xml:space="preserve">   </w:t>
      </w:r>
      <w:r w:rsidRPr="005C5E31">
        <w:rPr>
          <w:rFonts w:eastAsia="標楷體" w:hint="eastAsia"/>
          <w:b/>
          <w:spacing w:val="20"/>
          <w:sz w:val="28"/>
        </w:rPr>
        <w:t xml:space="preserve"> </w:t>
      </w:r>
    </w:p>
    <w:p w:rsidR="00C97914" w:rsidRDefault="00C97914" w:rsidP="00721577">
      <w:pPr>
        <w:spacing w:beforeLines="100" w:before="240" w:afterLines="50" w:after="120" w:line="360" w:lineRule="auto"/>
        <w:ind w:leftChars="-1" w:left="-2" w:firstLineChars="177" w:firstLine="602"/>
        <w:jc w:val="center"/>
        <w:outlineLvl w:val="0"/>
        <w:rPr>
          <w:rFonts w:eastAsia="標楷體"/>
          <w:b/>
          <w:spacing w:val="20"/>
          <w:sz w:val="30"/>
          <w:szCs w:val="30"/>
        </w:rPr>
      </w:pPr>
    </w:p>
    <w:p w:rsidR="00785E01" w:rsidRDefault="00785E01" w:rsidP="00685CDA">
      <w:pPr>
        <w:spacing w:beforeLines="100" w:before="240" w:afterLines="50" w:after="120" w:line="360" w:lineRule="auto"/>
        <w:ind w:left="482"/>
        <w:jc w:val="center"/>
        <w:outlineLvl w:val="0"/>
        <w:rPr>
          <w:rFonts w:eastAsia="標楷體"/>
          <w:b/>
          <w:spacing w:val="20"/>
          <w:sz w:val="28"/>
          <w:szCs w:val="28"/>
        </w:rPr>
      </w:pPr>
    </w:p>
    <w:p w:rsidR="00861E49" w:rsidRDefault="002B3029" w:rsidP="00685CDA">
      <w:pPr>
        <w:spacing w:beforeLines="100" w:before="240" w:afterLines="50" w:after="120" w:line="360" w:lineRule="auto"/>
        <w:ind w:left="482"/>
        <w:jc w:val="center"/>
        <w:outlineLvl w:val="0"/>
        <w:rPr>
          <w:rFonts w:eastAsia="標楷體"/>
          <w:b/>
          <w:spacing w:val="20"/>
          <w:sz w:val="28"/>
          <w:szCs w:val="28"/>
        </w:rPr>
      </w:pPr>
      <w:r w:rsidRPr="002B3029">
        <w:rPr>
          <w:noProof/>
        </w:rPr>
        <mc:AlternateContent>
          <mc:Choice Requires="wps">
            <w:drawing>
              <wp:anchor distT="0" distB="0" distL="114300" distR="114300" simplePos="0" relativeHeight="251862016" behindDoc="0" locked="0" layoutInCell="1" allowOverlap="1" wp14:anchorId="236BA74E" wp14:editId="73FE291C">
                <wp:simplePos x="0" y="0"/>
                <wp:positionH relativeFrom="column">
                  <wp:posOffset>3066415</wp:posOffset>
                </wp:positionH>
                <wp:positionV relativeFrom="paragraph">
                  <wp:posOffset>1859280</wp:posOffset>
                </wp:positionV>
                <wp:extent cx="739140" cy="23241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32410"/>
                        </a:xfrm>
                        <a:prstGeom prst="rect">
                          <a:avLst/>
                        </a:prstGeom>
                        <a:noFill/>
                        <a:ln w="9525">
                          <a:noFill/>
                          <a:miter lim="800000"/>
                          <a:headEnd/>
                          <a:tailEnd/>
                        </a:ln>
                      </wps:spPr>
                      <wps:txbx>
                        <w:txbxContent>
                          <w:p w:rsidR="002B3029" w:rsidRDefault="002B3029" w:rsidP="002B3029">
                            <w:pPr>
                              <w:pStyle w:val="Web"/>
                              <w:spacing w:before="0" w:beforeAutospacing="0" w:after="0" w:afterAutospacing="0"/>
                              <w:jc w:val="center"/>
                            </w:pPr>
                            <w:r>
                              <w:rPr>
                                <w:rFonts w:ascii="Times New Roman" w:eastAsia="標楷體" w:hAnsi="Times New Roman"/>
                                <w:kern w:val="2"/>
                                <w:sz w:val="20"/>
                                <w:szCs w:val="20"/>
                              </w:rPr>
                              <w:t>280</w:t>
                            </w:r>
                          </w:p>
                        </w:txbxContent>
                      </wps:txbx>
                      <wps:bodyPr rot="0" vert="horz" wrap="square" lIns="91440" tIns="45720" rIns="91440" bIns="45720" anchor="t" anchorCtr="0">
                        <a:noAutofit/>
                      </wps:bodyPr>
                    </wps:wsp>
                  </a:graphicData>
                </a:graphic>
              </wp:anchor>
            </w:drawing>
          </mc:Choice>
          <mc:Fallback>
            <w:pict>
              <v:shapetype w14:anchorId="236BA74E" id="_x0000_t202" coordsize="21600,21600" o:spt="202" path="m,l,21600r21600,l21600,xe">
                <v:stroke joinstyle="miter"/>
                <v:path gradientshapeok="t" o:connecttype="rect"/>
              </v:shapetype>
              <v:shape id="文字方塊 5" o:spid="_x0000_s1030" type="#_x0000_t202" style="position:absolute;left:0;text-align:left;margin-left:241.45pt;margin-top:146.4pt;width:58.2pt;height:18.3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" filled="f" stroked="f">
                <v:textbox>
                  <w:txbxContent>
                    <w:p w:rsidR="002B3029" w:rsidRDefault="002B3029" w:rsidP="002B3029">
                      <w:pPr>
                        <w:pStyle w:val="Web"/>
                        <w:spacing w:before="0" w:beforeAutospacing="0" w:after="0" w:afterAutospacing="0"/>
                        <w:jc w:val="center"/>
                      </w:pPr>
                      <w:r>
                        <w:rPr>
                          <w:rFonts w:ascii="Times New Roman" w:eastAsia="標楷體" w:hAnsi="Times New Roman"/>
                          <w:kern w:val="2"/>
                          <w:sz w:val="20"/>
                          <w:szCs w:val="20"/>
                        </w:rPr>
                        <w:t>280</w:t>
                      </w:r>
                    </w:p>
                  </w:txbxContent>
                </v:textbox>
              </v:shape>
            </w:pict>
          </mc:Fallback>
        </mc:AlternateContent>
      </w:r>
      <w:r w:rsidR="006416B8" w:rsidRPr="00272963">
        <w:rPr>
          <w:noProof/>
        </w:rPr>
        <mc:AlternateContent>
          <mc:Choice Requires="wps">
            <w:drawing>
              <wp:anchor distT="0" distB="0" distL="114300" distR="114300" simplePos="0" relativeHeight="251835392" behindDoc="0" locked="0" layoutInCell="1" allowOverlap="1" wp14:anchorId="44CFECBC" wp14:editId="77B9D4A4">
                <wp:simplePos x="0" y="0"/>
                <wp:positionH relativeFrom="column">
                  <wp:posOffset>4340225</wp:posOffset>
                </wp:positionH>
                <wp:positionV relativeFrom="paragraph">
                  <wp:posOffset>847090</wp:posOffset>
                </wp:positionV>
                <wp:extent cx="1367790" cy="243205"/>
                <wp:effectExtent l="0" t="0" r="0" b="3810"/>
                <wp:wrapNone/>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43205"/>
                        </a:xfrm>
                        <a:prstGeom prst="rect">
                          <a:avLst/>
                        </a:prstGeom>
                        <a:noFill/>
                        <a:ln w="9525">
                          <a:noFill/>
                          <a:miter lim="800000"/>
                          <a:headEnd/>
                          <a:tailEnd/>
                        </a:ln>
                      </wps:spPr>
                      <wps:txbx>
                        <w:txbxContent>
                          <w:p w:rsidR="00133109" w:rsidRDefault="00133109" w:rsidP="006F2008">
                            <w:pPr>
                              <w:pStyle w:val="Web"/>
                              <w:spacing w:before="0" w:beforeAutospacing="0" w:after="0" w:afterAutospacing="0"/>
                              <w:jc w:val="right"/>
                            </w:pPr>
                            <w:r>
                              <w:rPr>
                                <w:rFonts w:ascii="Times New Roman" w:eastAsia="標楷體" w:hAnsi="標楷體" w:cs="Arial" w:hint="eastAsia"/>
                                <w:kern w:val="2"/>
                                <w:sz w:val="22"/>
                                <w:szCs w:val="22"/>
                              </w:rPr>
                              <w:t>單位：新</w:t>
                            </w:r>
                            <w:r>
                              <w:rPr>
                                <w:rFonts w:ascii="Times New Roman" w:eastAsia="標楷體" w:hAnsi="標楷體" w:cs="Arial"/>
                                <w:kern w:val="2"/>
                                <w:sz w:val="22"/>
                                <w:szCs w:val="22"/>
                              </w:rPr>
                              <w:t>臺幣</w:t>
                            </w:r>
                            <w:r>
                              <w:rPr>
                                <w:rFonts w:ascii="Times New Roman" w:eastAsia="標楷體" w:hAnsi="標楷體" w:cs="Arial" w:hint="eastAsia"/>
                                <w:kern w:val="2"/>
                                <w:sz w:val="22"/>
                                <w:szCs w:val="22"/>
                              </w:rPr>
                              <w:t>億元</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4CFECBC" id="文字方塊 52" o:spid="_x0000_s1031" type="#_x0000_t202" style="position:absolute;left:0;text-align:left;margin-left:341.75pt;margin-top:66.7pt;width:107.7pt;height:19.15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" filled="f" stroked="f">
                <v:textbox style="mso-fit-shape-to-text:t">
                  <w:txbxContent>
                    <w:p w:rsidR="00133109" w:rsidRDefault="00133109" w:rsidP="006F2008">
                      <w:pPr>
                        <w:pStyle w:val="Web"/>
                        <w:spacing w:before="0" w:beforeAutospacing="0" w:after="0" w:afterAutospacing="0"/>
                        <w:jc w:val="right"/>
                      </w:pPr>
                      <w:r>
                        <w:rPr>
                          <w:rFonts w:ascii="Times New Roman" w:eastAsia="標楷體" w:hAnsi="標楷體" w:cs="Arial" w:hint="eastAsia"/>
                          <w:kern w:val="2"/>
                          <w:sz w:val="22"/>
                          <w:szCs w:val="22"/>
                        </w:rPr>
                        <w:t>單位：新</w:t>
                      </w:r>
                      <w:r>
                        <w:rPr>
                          <w:rFonts w:ascii="Times New Roman" w:eastAsia="標楷體" w:hAnsi="標楷體" w:cs="Arial"/>
                          <w:kern w:val="2"/>
                          <w:sz w:val="22"/>
                          <w:szCs w:val="22"/>
                        </w:rPr>
                        <w:t>臺幣</w:t>
                      </w:r>
                      <w:r>
                        <w:rPr>
                          <w:rFonts w:ascii="Times New Roman" w:eastAsia="標楷體" w:hAnsi="標楷體" w:cs="Arial" w:hint="eastAsia"/>
                          <w:kern w:val="2"/>
                          <w:sz w:val="22"/>
                          <w:szCs w:val="22"/>
                        </w:rPr>
                        <w:t>億元</w:t>
                      </w:r>
                    </w:p>
                  </w:txbxContent>
                </v:textbox>
              </v:shape>
            </w:pict>
          </mc:Fallback>
        </mc:AlternateContent>
      </w:r>
      <w:r w:rsidR="000141EC">
        <w:rPr>
          <w:rFonts w:eastAsia="標楷體"/>
          <w:b/>
          <w:noProof/>
          <w:spacing w:val="20"/>
          <w:sz w:val="28"/>
          <w:szCs w:val="28"/>
        </w:rPr>
        <w:drawing>
          <wp:inline distT="0" distB="0" distL="0" distR="0" wp14:anchorId="5CCE4C7F">
            <wp:extent cx="4676140" cy="2743200"/>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6140" cy="2743200"/>
                    </a:xfrm>
                    <a:prstGeom prst="rect">
                      <a:avLst/>
                    </a:prstGeom>
                    <a:noFill/>
                  </pic:spPr>
                </pic:pic>
              </a:graphicData>
            </a:graphic>
          </wp:inline>
        </w:drawing>
      </w:r>
    </w:p>
    <w:p w:rsidR="00861E49" w:rsidRPr="00861E49" w:rsidRDefault="006416B8" w:rsidP="00685CDA">
      <w:pPr>
        <w:spacing w:beforeLines="100" w:before="240" w:afterLines="50" w:after="120" w:line="360" w:lineRule="auto"/>
        <w:ind w:left="482"/>
        <w:jc w:val="center"/>
        <w:outlineLvl w:val="0"/>
        <w:rPr>
          <w:rFonts w:eastAsia="標楷體"/>
          <w:b/>
          <w:spacing w:val="20"/>
          <w:sz w:val="30"/>
          <w:szCs w:val="30"/>
        </w:rPr>
      </w:pPr>
      <w:r w:rsidRPr="00963D26">
        <w:rPr>
          <w:rFonts w:eastAsia="標楷體" w:hint="eastAsia"/>
          <w:b/>
          <w:spacing w:val="20"/>
          <w:sz w:val="28"/>
          <w:szCs w:val="28"/>
        </w:rPr>
        <w:t>圖</w:t>
      </w:r>
      <w:r>
        <w:rPr>
          <w:rFonts w:eastAsia="標楷體"/>
          <w:b/>
          <w:spacing w:val="20"/>
          <w:sz w:val="28"/>
          <w:szCs w:val="28"/>
        </w:rPr>
        <w:t>3</w:t>
      </w:r>
      <w:r w:rsidRPr="00963D26">
        <w:rPr>
          <w:rFonts w:eastAsia="標楷體"/>
          <w:b/>
          <w:spacing w:val="20"/>
          <w:sz w:val="28"/>
          <w:szCs w:val="28"/>
        </w:rPr>
        <w:t xml:space="preserve"> </w:t>
      </w:r>
      <w:r w:rsidRPr="006F2008">
        <w:rPr>
          <w:rFonts w:eastAsia="標楷體" w:hint="eastAsia"/>
          <w:b/>
          <w:spacing w:val="20"/>
          <w:sz w:val="28"/>
          <w:szCs w:val="28"/>
        </w:rPr>
        <w:t>國營事業</w:t>
      </w:r>
      <w:r>
        <w:rPr>
          <w:rFonts w:eastAsia="標楷體" w:hint="eastAsia"/>
          <w:b/>
          <w:spacing w:val="20"/>
          <w:sz w:val="28"/>
          <w:szCs w:val="28"/>
        </w:rPr>
        <w:t>111</w:t>
      </w:r>
      <w:r>
        <w:rPr>
          <w:rFonts w:eastAsia="標楷體" w:hint="eastAsia"/>
          <w:b/>
          <w:spacing w:val="20"/>
          <w:sz w:val="28"/>
          <w:szCs w:val="28"/>
        </w:rPr>
        <w:t>年度</w:t>
      </w:r>
      <w:r w:rsidRPr="00785E01">
        <w:rPr>
          <w:rFonts w:eastAsia="標楷體" w:hint="eastAsia"/>
          <w:b/>
          <w:spacing w:val="20"/>
          <w:sz w:val="28"/>
          <w:szCs w:val="28"/>
        </w:rPr>
        <w:t>國內長期債務之舉借與償還</w:t>
      </w:r>
    </w:p>
    <w:p w:rsidR="00177136" w:rsidRPr="005C5E31" w:rsidRDefault="00177136" w:rsidP="0065555C">
      <w:pPr>
        <w:spacing w:beforeLines="100" w:before="240" w:line="360" w:lineRule="auto"/>
        <w:ind w:left="482"/>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四</w:t>
      </w:r>
      <w:r w:rsidRPr="005C5E31">
        <w:rPr>
          <w:rFonts w:eastAsia="標楷體" w:hint="eastAsia"/>
          <w:b/>
          <w:spacing w:val="20"/>
          <w:sz w:val="30"/>
          <w:szCs w:val="30"/>
        </w:rPr>
        <w:t>)</w:t>
      </w:r>
      <w:r w:rsidR="0049504D" w:rsidRPr="005C5E31">
        <w:rPr>
          <w:rFonts w:eastAsia="標楷體" w:hint="eastAsia"/>
          <w:b/>
          <w:spacing w:val="20"/>
          <w:sz w:val="30"/>
          <w:szCs w:val="30"/>
        </w:rPr>
        <w:t>資金之轉投資</w:t>
      </w:r>
    </w:p>
    <w:p w:rsidR="00C100BD" w:rsidRDefault="00177136" w:rsidP="00465635">
      <w:pPr>
        <w:adjustRightInd w:val="0"/>
        <w:spacing w:beforeLines="50" w:before="120" w:line="360" w:lineRule="auto"/>
        <w:ind w:left="1077"/>
        <w:jc w:val="both"/>
        <w:rPr>
          <w:rFonts w:eastAsia="標楷體"/>
          <w:spacing w:val="20"/>
          <w:sz w:val="30"/>
        </w:rPr>
      </w:pPr>
      <w:bookmarkStart w:id="10" w:name="壹、六"/>
      <w:r w:rsidRPr="005C5E31">
        <w:rPr>
          <w:rFonts w:eastAsia="標楷體" w:hint="eastAsia"/>
          <w:spacing w:val="20"/>
          <w:sz w:val="30"/>
        </w:rPr>
        <w:t>本年度</w:t>
      </w:r>
      <w:r w:rsidR="009D7349" w:rsidRPr="005C5E31">
        <w:rPr>
          <w:rFonts w:eastAsia="標楷體" w:hint="eastAsia"/>
          <w:spacing w:val="20"/>
          <w:sz w:val="30"/>
        </w:rPr>
        <w:t>決算</w:t>
      </w:r>
      <w:r w:rsidRPr="005C5E31">
        <w:rPr>
          <w:rFonts w:eastAsia="標楷體" w:hint="eastAsia"/>
          <w:spacing w:val="20"/>
          <w:sz w:val="30"/>
        </w:rPr>
        <w:t>國營事業為應業務經營需要或配合政府政策，增加轉投資於其他公民營事業者，計有</w:t>
      </w:r>
      <w:r w:rsidR="00235143">
        <w:rPr>
          <w:rFonts w:eastAsia="標楷體"/>
          <w:spacing w:val="20"/>
          <w:sz w:val="30"/>
        </w:rPr>
        <w:t>3</w:t>
      </w:r>
      <w:r w:rsidRPr="005C5E31">
        <w:rPr>
          <w:rFonts w:eastAsia="標楷體"/>
          <w:spacing w:val="20"/>
          <w:sz w:val="30"/>
        </w:rPr>
        <w:t>單位；被投資對象計有</w:t>
      </w:r>
      <w:r w:rsidR="00235143">
        <w:rPr>
          <w:rFonts w:eastAsia="標楷體"/>
          <w:spacing w:val="20"/>
          <w:sz w:val="30"/>
        </w:rPr>
        <w:t>3</w:t>
      </w:r>
      <w:r w:rsidRPr="005C5E31">
        <w:rPr>
          <w:rFonts w:eastAsia="標楷體"/>
          <w:spacing w:val="20"/>
          <w:sz w:val="30"/>
        </w:rPr>
        <w:t>單位，投資總額</w:t>
      </w:r>
      <w:r w:rsidR="001C64F2">
        <w:rPr>
          <w:rFonts w:eastAsia="標楷體"/>
          <w:spacing w:val="20"/>
          <w:sz w:val="30"/>
        </w:rPr>
        <w:t>2</w:t>
      </w:r>
      <w:r w:rsidR="00235143">
        <w:rPr>
          <w:rFonts w:eastAsia="標楷體" w:hint="eastAsia"/>
          <w:spacing w:val="20"/>
          <w:sz w:val="30"/>
        </w:rPr>
        <w:t>億</w:t>
      </w:r>
      <w:r w:rsidRPr="005C5E31">
        <w:rPr>
          <w:rFonts w:eastAsia="標楷體"/>
          <w:spacing w:val="20"/>
          <w:sz w:val="30"/>
        </w:rPr>
        <w:t>餘元</w:t>
      </w:r>
      <w:r w:rsidR="00C100BD">
        <w:rPr>
          <w:rFonts w:eastAsia="標楷體" w:hint="eastAsia"/>
          <w:spacing w:val="20"/>
          <w:sz w:val="30"/>
        </w:rPr>
        <w:t>，</w:t>
      </w:r>
      <w:r w:rsidR="00465635">
        <w:rPr>
          <w:rFonts w:eastAsia="標楷體" w:hint="eastAsia"/>
          <w:spacing w:val="20"/>
          <w:sz w:val="30"/>
        </w:rPr>
        <w:t>係</w:t>
      </w:r>
      <w:r w:rsidR="00235143" w:rsidRPr="00235143">
        <w:rPr>
          <w:rFonts w:eastAsia="標楷體" w:hint="eastAsia"/>
          <w:spacing w:val="20"/>
          <w:sz w:val="30"/>
        </w:rPr>
        <w:t>台灣糖業股份有限公司</w:t>
      </w:r>
      <w:r w:rsidR="00235143">
        <w:rPr>
          <w:rFonts w:eastAsia="標楷體" w:hint="eastAsia"/>
          <w:spacing w:val="20"/>
          <w:sz w:val="30"/>
        </w:rPr>
        <w:t>投資</w:t>
      </w:r>
      <w:r w:rsidR="00235143" w:rsidRPr="00235143">
        <w:rPr>
          <w:rFonts w:eastAsia="標楷體" w:hint="eastAsia"/>
          <w:spacing w:val="20"/>
          <w:sz w:val="30"/>
        </w:rPr>
        <w:t>台灣</w:t>
      </w:r>
      <w:r w:rsidR="00235143" w:rsidRPr="00235143">
        <w:rPr>
          <w:rFonts w:eastAsia="標楷體" w:hint="eastAsia"/>
          <w:spacing w:val="20"/>
          <w:sz w:val="30"/>
        </w:rPr>
        <w:lastRenderedPageBreak/>
        <w:t>酵素股份有限公司</w:t>
      </w:r>
      <w:r w:rsidR="00235143">
        <w:rPr>
          <w:rFonts w:eastAsia="標楷體" w:hint="eastAsia"/>
          <w:spacing w:val="20"/>
          <w:sz w:val="30"/>
        </w:rPr>
        <w:t>4,000</w:t>
      </w:r>
      <w:r w:rsidR="00235143">
        <w:rPr>
          <w:rFonts w:eastAsia="標楷體" w:hint="eastAsia"/>
          <w:spacing w:val="20"/>
          <w:sz w:val="30"/>
        </w:rPr>
        <w:t>萬元、</w:t>
      </w:r>
      <w:r w:rsidR="00235143" w:rsidRPr="00235143">
        <w:rPr>
          <w:rFonts w:eastAsia="標楷體" w:hint="eastAsia"/>
          <w:spacing w:val="20"/>
          <w:sz w:val="30"/>
        </w:rPr>
        <w:t>台灣電力股份有限公司</w:t>
      </w:r>
      <w:r w:rsidR="00235143">
        <w:rPr>
          <w:rFonts w:eastAsia="標楷體" w:hint="eastAsia"/>
          <w:spacing w:val="20"/>
          <w:sz w:val="30"/>
        </w:rPr>
        <w:t>投資</w:t>
      </w:r>
      <w:r w:rsidR="00235143" w:rsidRPr="00235143">
        <w:rPr>
          <w:rFonts w:eastAsia="標楷體" w:hint="eastAsia"/>
          <w:spacing w:val="20"/>
          <w:sz w:val="30"/>
        </w:rPr>
        <w:t>澎湖綠能公司</w:t>
      </w:r>
      <w:r w:rsidR="00235143">
        <w:rPr>
          <w:rFonts w:eastAsia="標楷體" w:hint="eastAsia"/>
          <w:spacing w:val="20"/>
          <w:sz w:val="30"/>
        </w:rPr>
        <w:t>4,500</w:t>
      </w:r>
      <w:r w:rsidR="00235143">
        <w:rPr>
          <w:rFonts w:eastAsia="標楷體" w:hint="eastAsia"/>
          <w:spacing w:val="20"/>
          <w:sz w:val="30"/>
        </w:rPr>
        <w:t>萬元</w:t>
      </w:r>
      <w:r w:rsidR="0069367A">
        <w:rPr>
          <w:rFonts w:eastAsia="標楷體" w:hint="eastAsia"/>
          <w:spacing w:val="20"/>
          <w:sz w:val="30"/>
        </w:rPr>
        <w:t>、</w:t>
      </w:r>
      <w:r w:rsidR="0069367A" w:rsidRPr="0069367A">
        <w:rPr>
          <w:rFonts w:eastAsia="標楷體" w:hint="eastAsia"/>
          <w:spacing w:val="20"/>
          <w:sz w:val="30"/>
        </w:rPr>
        <w:t>臺灣金融控股股份有限公司投資</w:t>
      </w:r>
      <w:r w:rsidR="00235143" w:rsidRPr="00235143">
        <w:rPr>
          <w:rFonts w:eastAsia="標楷體" w:hint="eastAsia"/>
          <w:spacing w:val="20"/>
          <w:sz w:val="30"/>
        </w:rPr>
        <w:t>國泰金融控股股份有限公司</w:t>
      </w:r>
      <w:r w:rsidR="00A7332A">
        <w:rPr>
          <w:rFonts w:eastAsia="標楷體" w:hint="eastAsia"/>
          <w:spacing w:val="20"/>
          <w:sz w:val="30"/>
        </w:rPr>
        <w:t>1</w:t>
      </w:r>
      <w:r w:rsidR="00A7332A">
        <w:rPr>
          <w:rFonts w:eastAsia="標楷體" w:hint="eastAsia"/>
          <w:spacing w:val="20"/>
          <w:sz w:val="30"/>
        </w:rPr>
        <w:t>億</w:t>
      </w:r>
      <w:r w:rsidR="00C100BD">
        <w:rPr>
          <w:rFonts w:eastAsia="標楷體" w:hint="eastAsia"/>
          <w:spacing w:val="20"/>
          <w:sz w:val="30"/>
        </w:rPr>
        <w:t>餘元。</w:t>
      </w:r>
    </w:p>
    <w:p w:rsidR="00177136" w:rsidRPr="005C5E31" w:rsidRDefault="00177136" w:rsidP="00C100BD">
      <w:pPr>
        <w:adjustRightInd w:val="0"/>
        <w:spacing w:beforeLines="50" w:before="120" w:line="360" w:lineRule="auto"/>
        <w:ind w:left="1077"/>
        <w:jc w:val="both"/>
        <w:rPr>
          <w:rFonts w:eastAsia="標楷體"/>
          <w:spacing w:val="20"/>
          <w:sz w:val="30"/>
        </w:rPr>
      </w:pPr>
      <w:r w:rsidRPr="005C5E31">
        <w:rPr>
          <w:rFonts w:eastAsia="標楷體"/>
          <w:spacing w:val="20"/>
          <w:sz w:val="30"/>
        </w:rPr>
        <w:t>又本年度決算國營事業收回以</w:t>
      </w:r>
      <w:r w:rsidRPr="005C5E31">
        <w:rPr>
          <w:rFonts w:eastAsia="標楷體" w:hint="eastAsia"/>
          <w:spacing w:val="20"/>
          <w:sz w:val="30"/>
        </w:rPr>
        <w:t>前年度之投資</w:t>
      </w:r>
      <w:r w:rsidR="00A7332A">
        <w:rPr>
          <w:rFonts w:eastAsia="標楷體"/>
          <w:spacing w:val="20"/>
          <w:sz w:val="30"/>
        </w:rPr>
        <w:t>2</w:t>
      </w:r>
      <w:r w:rsidR="00717D74" w:rsidRPr="005C5E31">
        <w:rPr>
          <w:rFonts w:eastAsia="標楷體" w:hint="eastAsia"/>
          <w:spacing w:val="20"/>
          <w:sz w:val="30"/>
        </w:rPr>
        <w:t>億餘元（帳面金額），包括</w:t>
      </w:r>
      <w:r w:rsidRPr="005C5E31">
        <w:rPr>
          <w:rFonts w:eastAsia="標楷體" w:hint="eastAsia"/>
          <w:spacing w:val="20"/>
          <w:sz w:val="30"/>
        </w:rPr>
        <w:t>：</w:t>
      </w:r>
      <w:r w:rsidR="00147D5D" w:rsidRPr="005C5E31">
        <w:rPr>
          <w:rFonts w:eastAsia="標楷體"/>
          <w:spacing w:val="20"/>
          <w:sz w:val="30"/>
        </w:rPr>
        <w:t xml:space="preserve"> </w:t>
      </w:r>
    </w:p>
    <w:p w:rsidR="00177136" w:rsidRPr="005C5E31" w:rsidRDefault="0038474D" w:rsidP="000A39B3">
      <w:pPr>
        <w:adjustRightInd w:val="0"/>
        <w:spacing w:line="360" w:lineRule="auto"/>
        <w:ind w:leftChars="475" w:left="1446" w:hangingChars="90" w:hanging="306"/>
        <w:jc w:val="both"/>
        <w:rPr>
          <w:rFonts w:eastAsia="標楷體"/>
          <w:spacing w:val="20"/>
          <w:sz w:val="30"/>
        </w:rPr>
      </w:pPr>
      <w:r w:rsidRPr="005C5E31">
        <w:rPr>
          <w:rFonts w:eastAsia="標楷體"/>
          <w:spacing w:val="20"/>
          <w:sz w:val="30"/>
        </w:rPr>
        <w:t>1.</w:t>
      </w:r>
      <w:r w:rsidR="00A7332A" w:rsidRPr="00A7332A">
        <w:rPr>
          <w:rFonts w:eastAsia="標楷體" w:hint="eastAsia"/>
          <w:spacing w:val="20"/>
          <w:sz w:val="30"/>
        </w:rPr>
        <w:t>臺灣菸酒股份有限公司</w:t>
      </w:r>
      <w:r w:rsidR="00177136" w:rsidRPr="005C5E31">
        <w:rPr>
          <w:rFonts w:eastAsia="標楷體" w:hint="eastAsia"/>
          <w:spacing w:val="20"/>
          <w:sz w:val="30"/>
        </w:rPr>
        <w:t>收回投資</w:t>
      </w:r>
      <w:r w:rsidR="00A7332A" w:rsidRPr="00A7332A">
        <w:rPr>
          <w:rFonts w:eastAsia="標楷體" w:hint="eastAsia"/>
          <w:spacing w:val="20"/>
          <w:sz w:val="30"/>
        </w:rPr>
        <w:t>亞洲物流股份有限公司</w:t>
      </w:r>
      <w:r w:rsidR="00D02428">
        <w:rPr>
          <w:rFonts w:eastAsia="標楷體"/>
          <w:spacing w:val="20"/>
          <w:sz w:val="30"/>
        </w:rPr>
        <w:t xml:space="preserve"> </w:t>
      </w:r>
      <w:r w:rsidR="00A7332A" w:rsidRPr="00A7332A">
        <w:rPr>
          <w:rFonts w:eastAsia="標楷體" w:hint="eastAsia"/>
          <w:spacing w:val="20"/>
          <w:sz w:val="30"/>
        </w:rPr>
        <w:t>4,</w:t>
      </w:r>
      <w:r w:rsidR="00A7332A">
        <w:rPr>
          <w:rFonts w:eastAsia="標楷體"/>
          <w:spacing w:val="20"/>
          <w:sz w:val="30"/>
        </w:rPr>
        <w:t>9</w:t>
      </w:r>
      <w:r w:rsidR="00A7332A" w:rsidRPr="00A7332A">
        <w:rPr>
          <w:rFonts w:eastAsia="標楷體" w:hint="eastAsia"/>
          <w:spacing w:val="20"/>
          <w:sz w:val="30"/>
        </w:rPr>
        <w:t>00</w:t>
      </w:r>
      <w:r w:rsidR="00A7332A" w:rsidRPr="00A7332A">
        <w:rPr>
          <w:rFonts w:eastAsia="標楷體" w:hint="eastAsia"/>
          <w:spacing w:val="20"/>
          <w:sz w:val="30"/>
        </w:rPr>
        <w:t>萬</w:t>
      </w:r>
      <w:r w:rsidR="00177136" w:rsidRPr="005C5E31">
        <w:rPr>
          <w:rFonts w:eastAsia="標楷體" w:hint="eastAsia"/>
          <w:spacing w:val="20"/>
          <w:sz w:val="30"/>
        </w:rPr>
        <w:t>元。</w:t>
      </w:r>
    </w:p>
    <w:p w:rsidR="0038474D" w:rsidRPr="005C5E31" w:rsidRDefault="0038474D" w:rsidP="000A39B3">
      <w:pPr>
        <w:adjustRightInd w:val="0"/>
        <w:spacing w:line="360" w:lineRule="auto"/>
        <w:ind w:leftChars="475" w:left="1446" w:hangingChars="90" w:hanging="306"/>
        <w:jc w:val="both"/>
        <w:rPr>
          <w:rFonts w:eastAsia="標楷體"/>
          <w:spacing w:val="20"/>
          <w:sz w:val="30"/>
        </w:rPr>
      </w:pPr>
      <w:r w:rsidRPr="005C5E31">
        <w:rPr>
          <w:rFonts w:eastAsia="標楷體" w:hint="eastAsia"/>
          <w:spacing w:val="20"/>
          <w:sz w:val="30"/>
        </w:rPr>
        <w:t>2</w:t>
      </w:r>
      <w:r w:rsidRPr="005C5E31">
        <w:rPr>
          <w:rFonts w:eastAsia="標楷體"/>
          <w:spacing w:val="20"/>
          <w:sz w:val="30"/>
        </w:rPr>
        <w:t>.</w:t>
      </w:r>
      <w:r w:rsidR="00465635" w:rsidRPr="00D02428">
        <w:rPr>
          <w:rFonts w:eastAsia="標楷體" w:hint="eastAsia"/>
          <w:spacing w:val="20"/>
          <w:sz w:val="30"/>
        </w:rPr>
        <w:t>臺灣港務股份有限公司</w:t>
      </w:r>
      <w:r w:rsidR="00465635">
        <w:rPr>
          <w:rFonts w:eastAsia="標楷體" w:hint="eastAsia"/>
          <w:spacing w:val="20"/>
          <w:sz w:val="30"/>
        </w:rPr>
        <w:t>收回投資</w:t>
      </w:r>
      <w:r w:rsidR="00465635" w:rsidRPr="00465635">
        <w:rPr>
          <w:rFonts w:eastAsia="標楷體" w:hint="eastAsia"/>
          <w:spacing w:val="20"/>
          <w:sz w:val="30"/>
        </w:rPr>
        <w:t>陽明海運股份有限公司</w:t>
      </w:r>
      <w:r w:rsidR="00A7332A">
        <w:rPr>
          <w:rFonts w:eastAsia="標楷體"/>
          <w:spacing w:val="20"/>
          <w:sz w:val="30"/>
        </w:rPr>
        <w:t>2</w:t>
      </w:r>
      <w:r w:rsidR="00465635">
        <w:rPr>
          <w:rFonts w:eastAsia="標楷體" w:hint="eastAsia"/>
          <w:spacing w:val="20"/>
          <w:sz w:val="30"/>
        </w:rPr>
        <w:t>億餘元。</w:t>
      </w:r>
    </w:p>
    <w:p w:rsidR="00177136" w:rsidRPr="005C5E31" w:rsidRDefault="00177136" w:rsidP="002A68F9">
      <w:pPr>
        <w:spacing w:beforeLines="100" w:before="240" w:line="360" w:lineRule="auto"/>
        <w:ind w:left="482"/>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五</w:t>
      </w:r>
      <w:r w:rsidRPr="005C5E31">
        <w:rPr>
          <w:rFonts w:eastAsia="標楷體" w:hint="eastAsia"/>
          <w:b/>
          <w:spacing w:val="20"/>
          <w:sz w:val="30"/>
          <w:szCs w:val="30"/>
        </w:rPr>
        <w:t>)</w:t>
      </w:r>
      <w:r w:rsidR="0049504D" w:rsidRPr="005C5E31">
        <w:rPr>
          <w:rFonts w:eastAsia="標楷體" w:hint="eastAsia"/>
          <w:b/>
          <w:spacing w:val="20"/>
          <w:sz w:val="30"/>
          <w:szCs w:val="30"/>
        </w:rPr>
        <w:t>國庫增資</w:t>
      </w:r>
    </w:p>
    <w:p w:rsidR="00177136" w:rsidRPr="005C5E31" w:rsidRDefault="00177136" w:rsidP="005E78D5">
      <w:pPr>
        <w:adjustRightInd w:val="0"/>
        <w:spacing w:beforeLines="50" w:before="120" w:line="360" w:lineRule="auto"/>
        <w:ind w:left="1021"/>
        <w:jc w:val="both"/>
        <w:rPr>
          <w:rFonts w:eastAsia="標楷體"/>
          <w:spacing w:val="20"/>
          <w:sz w:val="30"/>
        </w:rPr>
      </w:pPr>
      <w:r w:rsidRPr="005C5E31">
        <w:rPr>
          <w:rFonts w:eastAsia="標楷體" w:hint="eastAsia"/>
          <w:spacing w:val="20"/>
          <w:sz w:val="30"/>
        </w:rPr>
        <w:t>本年度決算國營事業辦理增資者，計有</w:t>
      </w:r>
      <w:r w:rsidR="00023E5A">
        <w:rPr>
          <w:rFonts w:eastAsia="標楷體"/>
          <w:spacing w:val="20"/>
          <w:sz w:val="30"/>
        </w:rPr>
        <w:t>4</w:t>
      </w:r>
      <w:r w:rsidRPr="005C5E31">
        <w:rPr>
          <w:rFonts w:eastAsia="標楷體" w:hint="eastAsia"/>
          <w:spacing w:val="20"/>
          <w:sz w:val="30"/>
        </w:rPr>
        <w:t>單位</w:t>
      </w:r>
      <w:r w:rsidR="009D7349">
        <w:rPr>
          <w:rFonts w:eastAsia="標楷體" w:hint="eastAsia"/>
          <w:spacing w:val="20"/>
          <w:sz w:val="30"/>
        </w:rPr>
        <w:t>，</w:t>
      </w:r>
      <w:r w:rsidRPr="005C5E31">
        <w:rPr>
          <w:rFonts w:eastAsia="標楷體" w:hint="eastAsia"/>
          <w:spacing w:val="20"/>
          <w:sz w:val="30"/>
        </w:rPr>
        <w:t>主要係為配合業務需要、改善財務結構及辦理固定資產投資計畫，由國庫</w:t>
      </w:r>
      <w:r w:rsidR="00424189" w:rsidRPr="005C5E31">
        <w:rPr>
          <w:rFonts w:eastAsia="標楷體" w:hint="eastAsia"/>
          <w:spacing w:val="20"/>
          <w:sz w:val="30"/>
        </w:rPr>
        <w:t>分別</w:t>
      </w:r>
      <w:r w:rsidRPr="005C5E31">
        <w:rPr>
          <w:rFonts w:eastAsia="標楷體" w:hint="eastAsia"/>
          <w:spacing w:val="20"/>
          <w:sz w:val="30"/>
        </w:rPr>
        <w:t>對</w:t>
      </w:r>
      <w:r w:rsidR="00800D90" w:rsidRPr="00800D90">
        <w:rPr>
          <w:rFonts w:eastAsia="標楷體" w:hint="eastAsia"/>
          <w:spacing w:val="20"/>
          <w:sz w:val="30"/>
        </w:rPr>
        <w:t>台灣電力股份有限公司</w:t>
      </w:r>
      <w:r w:rsidR="00800D90">
        <w:rPr>
          <w:rFonts w:eastAsia="標楷體" w:hint="eastAsia"/>
          <w:spacing w:val="20"/>
          <w:sz w:val="30"/>
        </w:rPr>
        <w:t>、</w:t>
      </w:r>
      <w:r w:rsidRPr="005C5E31">
        <w:rPr>
          <w:rFonts w:eastAsia="標楷體" w:hint="eastAsia"/>
          <w:spacing w:val="20"/>
          <w:sz w:val="30"/>
        </w:rPr>
        <w:t>台灣自來水股份有限公司</w:t>
      </w:r>
      <w:r w:rsidR="00023E5A">
        <w:rPr>
          <w:rFonts w:eastAsia="標楷體" w:hint="eastAsia"/>
          <w:spacing w:val="20"/>
          <w:sz w:val="30"/>
        </w:rPr>
        <w:t>、</w:t>
      </w:r>
      <w:r w:rsidRPr="005C5E31">
        <w:rPr>
          <w:rFonts w:eastAsia="標楷體" w:hint="eastAsia"/>
          <w:spacing w:val="20"/>
          <w:sz w:val="30"/>
        </w:rPr>
        <w:t>交通部臺灣鐵路管理局</w:t>
      </w:r>
      <w:r w:rsidR="00023E5A">
        <w:rPr>
          <w:rFonts w:eastAsia="標楷體" w:hint="eastAsia"/>
          <w:spacing w:val="20"/>
          <w:sz w:val="30"/>
        </w:rPr>
        <w:t>及</w:t>
      </w:r>
      <w:r w:rsidR="00023E5A" w:rsidRPr="00023E5A">
        <w:rPr>
          <w:rFonts w:eastAsia="標楷體" w:hint="eastAsia"/>
          <w:spacing w:val="20"/>
          <w:sz w:val="30"/>
        </w:rPr>
        <w:t>臺灣港務股份有限公司</w:t>
      </w:r>
      <w:r w:rsidRPr="005C5E31">
        <w:rPr>
          <w:rFonts w:eastAsia="標楷體" w:hint="eastAsia"/>
          <w:spacing w:val="20"/>
          <w:sz w:val="30"/>
        </w:rPr>
        <w:t>現</w:t>
      </w:r>
      <w:r w:rsidRPr="005C5E31">
        <w:rPr>
          <w:rFonts w:eastAsia="標楷體"/>
          <w:spacing w:val="20"/>
          <w:sz w:val="30"/>
        </w:rPr>
        <w:t>金</w:t>
      </w:r>
      <w:r w:rsidRPr="005C5E31">
        <w:rPr>
          <w:rFonts w:eastAsia="標楷體" w:hint="eastAsia"/>
          <w:spacing w:val="20"/>
          <w:sz w:val="30"/>
        </w:rPr>
        <w:t>增資</w:t>
      </w:r>
      <w:r w:rsidR="00800D90">
        <w:rPr>
          <w:rFonts w:eastAsia="標楷體"/>
          <w:spacing w:val="20"/>
          <w:sz w:val="30"/>
        </w:rPr>
        <w:t>1</w:t>
      </w:r>
      <w:r w:rsidR="00FF6148">
        <w:rPr>
          <w:rFonts w:eastAsia="標楷體" w:hint="eastAsia"/>
          <w:spacing w:val="20"/>
          <w:sz w:val="30"/>
        </w:rPr>
        <w:t>億</w:t>
      </w:r>
      <w:r w:rsidRPr="005C5E31">
        <w:rPr>
          <w:rFonts w:eastAsia="標楷體" w:hint="eastAsia"/>
          <w:spacing w:val="20"/>
          <w:sz w:val="30"/>
        </w:rPr>
        <w:t>餘元、</w:t>
      </w:r>
      <w:r w:rsidR="00800D90">
        <w:rPr>
          <w:rFonts w:eastAsia="標楷體"/>
          <w:spacing w:val="20"/>
          <w:sz w:val="30"/>
        </w:rPr>
        <w:t>3</w:t>
      </w:r>
      <w:r w:rsidR="00023E5A">
        <w:rPr>
          <w:rFonts w:eastAsia="標楷體"/>
          <w:spacing w:val="20"/>
          <w:sz w:val="30"/>
        </w:rPr>
        <w:t>8</w:t>
      </w:r>
      <w:r w:rsidRPr="005C5E31">
        <w:rPr>
          <w:rFonts w:eastAsia="標楷體" w:hint="eastAsia"/>
          <w:spacing w:val="20"/>
          <w:sz w:val="30"/>
        </w:rPr>
        <w:t>億</w:t>
      </w:r>
      <w:r w:rsidR="000F5A49" w:rsidRPr="005C5E31">
        <w:rPr>
          <w:rFonts w:eastAsia="標楷體" w:hint="eastAsia"/>
          <w:spacing w:val="20"/>
          <w:sz w:val="30"/>
        </w:rPr>
        <w:t>餘</w:t>
      </w:r>
      <w:r w:rsidRPr="005C5E31">
        <w:rPr>
          <w:rFonts w:eastAsia="標楷體" w:hint="eastAsia"/>
          <w:spacing w:val="20"/>
          <w:sz w:val="30"/>
        </w:rPr>
        <w:t>元</w:t>
      </w:r>
      <w:r w:rsidR="00023E5A">
        <w:rPr>
          <w:rFonts w:eastAsia="標楷體" w:hint="eastAsia"/>
          <w:spacing w:val="20"/>
          <w:sz w:val="30"/>
        </w:rPr>
        <w:t>、</w:t>
      </w:r>
      <w:r w:rsidR="00F916A2" w:rsidRPr="005C5E31">
        <w:rPr>
          <w:rFonts w:eastAsia="標楷體" w:hint="eastAsia"/>
          <w:spacing w:val="20"/>
          <w:sz w:val="30"/>
        </w:rPr>
        <w:t>1</w:t>
      </w:r>
      <w:r w:rsidR="00023E5A">
        <w:rPr>
          <w:rFonts w:eastAsia="標楷體"/>
          <w:spacing w:val="20"/>
          <w:sz w:val="30"/>
        </w:rPr>
        <w:t>88</w:t>
      </w:r>
      <w:r w:rsidRPr="005C5E31">
        <w:rPr>
          <w:rFonts w:eastAsia="標楷體" w:hint="eastAsia"/>
          <w:spacing w:val="20"/>
          <w:sz w:val="30"/>
        </w:rPr>
        <w:t>億餘元</w:t>
      </w:r>
      <w:r w:rsidR="00023E5A">
        <w:rPr>
          <w:rFonts w:eastAsia="標楷體" w:hint="eastAsia"/>
          <w:spacing w:val="20"/>
          <w:sz w:val="30"/>
        </w:rPr>
        <w:t>及</w:t>
      </w:r>
      <w:r w:rsidR="00023E5A">
        <w:rPr>
          <w:rFonts w:eastAsia="標楷體"/>
          <w:spacing w:val="20"/>
          <w:sz w:val="30"/>
        </w:rPr>
        <w:t>2</w:t>
      </w:r>
      <w:r w:rsidR="00023E5A" w:rsidRPr="005C5E31">
        <w:rPr>
          <w:rFonts w:eastAsia="標楷體" w:hint="eastAsia"/>
          <w:spacing w:val="20"/>
          <w:sz w:val="30"/>
        </w:rPr>
        <w:t>億元</w:t>
      </w:r>
      <w:r w:rsidRPr="005C5E31">
        <w:rPr>
          <w:rFonts w:eastAsia="標楷體" w:hint="eastAsia"/>
          <w:spacing w:val="20"/>
          <w:sz w:val="30"/>
        </w:rPr>
        <w:t>，</w:t>
      </w:r>
      <w:r w:rsidRPr="005C5E31">
        <w:rPr>
          <w:rFonts w:eastAsia="標楷體"/>
          <w:spacing w:val="20"/>
          <w:sz w:val="30"/>
        </w:rPr>
        <w:t>合共</w:t>
      </w:r>
      <w:r w:rsidR="001C64F2">
        <w:rPr>
          <w:rFonts w:eastAsia="標楷體"/>
          <w:spacing w:val="20"/>
          <w:sz w:val="30"/>
        </w:rPr>
        <w:t>2</w:t>
      </w:r>
      <w:r w:rsidR="00023E5A">
        <w:rPr>
          <w:rFonts w:eastAsia="標楷體"/>
          <w:spacing w:val="20"/>
          <w:sz w:val="30"/>
        </w:rPr>
        <w:t>31</w:t>
      </w:r>
      <w:r w:rsidRPr="005C5E31">
        <w:rPr>
          <w:rFonts w:eastAsia="標楷體" w:hint="eastAsia"/>
          <w:spacing w:val="20"/>
          <w:sz w:val="30"/>
        </w:rPr>
        <w:t>億</w:t>
      </w:r>
      <w:r w:rsidRPr="005C5E31">
        <w:rPr>
          <w:rFonts w:eastAsia="標楷體"/>
          <w:spacing w:val="20"/>
          <w:sz w:val="30"/>
        </w:rPr>
        <w:t>餘元</w:t>
      </w:r>
      <w:r w:rsidRPr="005C5E31">
        <w:rPr>
          <w:rFonts w:eastAsia="標楷體" w:hint="eastAsia"/>
          <w:spacing w:val="20"/>
          <w:sz w:val="30"/>
        </w:rPr>
        <w:t>。</w:t>
      </w:r>
    </w:p>
    <w:bookmarkEnd w:id="10"/>
    <w:p w:rsidR="00177136" w:rsidRPr="005C5E31" w:rsidRDefault="00177136" w:rsidP="00177136">
      <w:pPr>
        <w:spacing w:beforeLines="200" w:before="480" w:line="360" w:lineRule="auto"/>
        <w:outlineLvl w:val="0"/>
        <w:rPr>
          <w:rFonts w:eastAsia="標楷體"/>
          <w:b/>
          <w:spacing w:val="20"/>
          <w:sz w:val="40"/>
        </w:rPr>
      </w:pPr>
      <w:r w:rsidRPr="005C5E31">
        <w:rPr>
          <w:rFonts w:eastAsia="標楷體" w:hint="eastAsia"/>
          <w:b/>
          <w:spacing w:val="20"/>
          <w:sz w:val="40"/>
        </w:rPr>
        <w:t>五、資產負債狀況</w:t>
      </w:r>
    </w:p>
    <w:p w:rsidR="00177136" w:rsidRPr="005C5E31" w:rsidRDefault="00177136" w:rsidP="008E16A9">
      <w:pPr>
        <w:spacing w:beforeLines="50" w:before="120" w:line="620" w:lineRule="exact"/>
        <w:ind w:left="425" w:firstLineChars="200" w:firstLine="680"/>
        <w:jc w:val="both"/>
        <w:rPr>
          <w:rFonts w:eastAsia="標楷體"/>
          <w:spacing w:val="20"/>
          <w:sz w:val="30"/>
        </w:rPr>
      </w:pPr>
      <w:r w:rsidRPr="005C5E31">
        <w:rPr>
          <w:rFonts w:eastAsia="標楷體" w:hint="eastAsia"/>
          <w:spacing w:val="20"/>
          <w:sz w:val="30"/>
        </w:rPr>
        <w:t>本年度</w:t>
      </w:r>
      <w:r w:rsidR="009D7349" w:rsidRPr="005C5E31">
        <w:rPr>
          <w:rFonts w:eastAsia="標楷體" w:hint="eastAsia"/>
          <w:spacing w:val="20"/>
          <w:sz w:val="30"/>
        </w:rPr>
        <w:t>決算</w:t>
      </w:r>
      <w:r w:rsidRPr="005C5E31">
        <w:rPr>
          <w:rFonts w:eastAsia="標楷體" w:hint="eastAsia"/>
          <w:spacing w:val="20"/>
          <w:sz w:val="30"/>
        </w:rPr>
        <w:t>國營事業年度終了時之資產負債狀況如下</w:t>
      </w:r>
      <w:r w:rsidR="004159E1" w:rsidRPr="005C5E31">
        <w:rPr>
          <w:rFonts w:eastAsia="標楷體" w:hint="eastAsia"/>
          <w:spacing w:val="20"/>
          <w:sz w:val="30"/>
          <w:szCs w:val="30"/>
        </w:rPr>
        <w:t>（詳表</w:t>
      </w:r>
      <w:r w:rsidR="004159E1" w:rsidRPr="005C5E31">
        <w:rPr>
          <w:rFonts w:eastAsia="標楷體" w:hint="eastAsia"/>
          <w:spacing w:val="20"/>
          <w:sz w:val="30"/>
          <w:szCs w:val="30"/>
        </w:rPr>
        <w:t>4</w:t>
      </w:r>
      <w:r w:rsidR="00D74CA2" w:rsidRPr="005C5E31">
        <w:rPr>
          <w:rFonts w:eastAsia="標楷體" w:hint="eastAsia"/>
          <w:spacing w:val="20"/>
          <w:sz w:val="30"/>
          <w:szCs w:val="30"/>
        </w:rPr>
        <w:t>與</w:t>
      </w:r>
      <w:r w:rsidR="004159E1" w:rsidRPr="005C5E31">
        <w:rPr>
          <w:rFonts w:eastAsia="標楷體" w:hint="eastAsia"/>
          <w:spacing w:val="20"/>
          <w:sz w:val="30"/>
          <w:szCs w:val="30"/>
        </w:rPr>
        <w:t>圖</w:t>
      </w:r>
      <w:r w:rsidR="00CD2FC4" w:rsidRPr="005C5E31">
        <w:rPr>
          <w:rFonts w:eastAsia="標楷體" w:hint="eastAsia"/>
          <w:spacing w:val="20"/>
          <w:sz w:val="30"/>
          <w:szCs w:val="30"/>
        </w:rPr>
        <w:t>4</w:t>
      </w:r>
      <w:r w:rsidR="00D74CA2" w:rsidRPr="005C5E31">
        <w:rPr>
          <w:rFonts w:eastAsia="標楷體"/>
          <w:spacing w:val="20"/>
          <w:sz w:val="30"/>
          <w:szCs w:val="30"/>
        </w:rPr>
        <w:t>-1</w:t>
      </w:r>
      <w:r w:rsidR="00D74CA2" w:rsidRPr="005C5E31">
        <w:rPr>
          <w:rFonts w:eastAsia="標楷體" w:hint="eastAsia"/>
          <w:spacing w:val="20"/>
          <w:sz w:val="30"/>
          <w:szCs w:val="30"/>
        </w:rPr>
        <w:t>及</w:t>
      </w:r>
      <w:r w:rsidR="00D74CA2" w:rsidRPr="005C5E31">
        <w:rPr>
          <w:rFonts w:eastAsia="標楷體" w:hint="eastAsia"/>
          <w:spacing w:val="20"/>
          <w:sz w:val="30"/>
          <w:szCs w:val="30"/>
        </w:rPr>
        <w:t>4-2</w:t>
      </w:r>
      <w:r w:rsidR="004159E1" w:rsidRPr="005C5E31">
        <w:rPr>
          <w:rFonts w:eastAsia="標楷體" w:hint="eastAsia"/>
          <w:spacing w:val="20"/>
          <w:sz w:val="30"/>
          <w:szCs w:val="30"/>
        </w:rPr>
        <w:t>）</w:t>
      </w:r>
      <w:r w:rsidRPr="005C5E31">
        <w:rPr>
          <w:rFonts w:eastAsia="標楷體" w:hint="eastAsia"/>
          <w:spacing w:val="20"/>
          <w:sz w:val="30"/>
        </w:rPr>
        <w:t>：</w:t>
      </w:r>
    </w:p>
    <w:p w:rsidR="00177136" w:rsidRPr="005C5E31" w:rsidRDefault="00177136" w:rsidP="00FE3C09">
      <w:pPr>
        <w:spacing w:beforeLines="150" w:before="360" w:afterLines="50" w:after="120" w:line="640" w:lineRule="exact"/>
        <w:ind w:left="482"/>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一</w:t>
      </w:r>
      <w:r w:rsidRPr="005C5E31">
        <w:rPr>
          <w:rFonts w:eastAsia="標楷體" w:hint="eastAsia"/>
          <w:b/>
          <w:spacing w:val="20"/>
          <w:sz w:val="30"/>
          <w:szCs w:val="30"/>
        </w:rPr>
        <w:t>)</w:t>
      </w:r>
      <w:r w:rsidR="00085FDF" w:rsidRPr="005C5E31">
        <w:rPr>
          <w:rFonts w:eastAsia="標楷體" w:hint="eastAsia"/>
          <w:b/>
          <w:spacing w:val="20"/>
          <w:sz w:val="30"/>
          <w:szCs w:val="30"/>
        </w:rPr>
        <w:t>資產</w:t>
      </w:r>
    </w:p>
    <w:p w:rsidR="00177136" w:rsidRPr="005C5E31" w:rsidRDefault="00177136" w:rsidP="008E16A9">
      <w:pPr>
        <w:adjustRightInd w:val="0"/>
        <w:spacing w:beforeLines="50" w:before="120" w:line="620" w:lineRule="exact"/>
        <w:ind w:left="1021"/>
        <w:jc w:val="both"/>
        <w:rPr>
          <w:rFonts w:eastAsia="標楷體"/>
          <w:spacing w:val="20"/>
          <w:sz w:val="30"/>
        </w:rPr>
      </w:pPr>
      <w:r w:rsidRPr="005C5E31">
        <w:rPr>
          <w:rFonts w:eastAsia="標楷體" w:hint="eastAsia"/>
          <w:spacing w:val="20"/>
          <w:sz w:val="30"/>
        </w:rPr>
        <w:t>本年度決算資產總額</w:t>
      </w:r>
      <w:r w:rsidR="004D0F08">
        <w:rPr>
          <w:rFonts w:eastAsia="標楷體"/>
          <w:spacing w:val="20"/>
          <w:sz w:val="30"/>
        </w:rPr>
        <w:t>4</w:t>
      </w:r>
      <w:r w:rsidR="00346262">
        <w:rPr>
          <w:rFonts w:eastAsia="標楷體"/>
          <w:spacing w:val="20"/>
          <w:sz w:val="30"/>
        </w:rPr>
        <w:t>3</w:t>
      </w:r>
      <w:r w:rsidRPr="005C5E31">
        <w:rPr>
          <w:rFonts w:eastAsia="標楷體" w:hint="eastAsia"/>
          <w:spacing w:val="20"/>
          <w:sz w:val="30"/>
        </w:rPr>
        <w:t>兆</w:t>
      </w:r>
      <w:r w:rsidR="00346262" w:rsidRPr="00346262">
        <w:rPr>
          <w:rFonts w:eastAsia="標楷體"/>
          <w:spacing w:val="20"/>
          <w:sz w:val="30"/>
        </w:rPr>
        <w:t>1</w:t>
      </w:r>
      <w:r w:rsidR="00346262">
        <w:rPr>
          <w:rFonts w:eastAsia="標楷體"/>
          <w:spacing w:val="20"/>
          <w:sz w:val="30"/>
        </w:rPr>
        <w:t>,</w:t>
      </w:r>
      <w:r w:rsidR="00346262" w:rsidRPr="00346262">
        <w:rPr>
          <w:rFonts w:eastAsia="標楷體"/>
          <w:spacing w:val="20"/>
          <w:sz w:val="30"/>
        </w:rPr>
        <w:t>918</w:t>
      </w:r>
      <w:r w:rsidRPr="005C5E31">
        <w:rPr>
          <w:rFonts w:eastAsia="標楷體" w:hint="eastAsia"/>
          <w:spacing w:val="20"/>
          <w:sz w:val="30"/>
        </w:rPr>
        <w:t>億餘元，較上年度決算數</w:t>
      </w:r>
      <w:r w:rsidR="00346262">
        <w:rPr>
          <w:rFonts w:eastAsia="標楷體"/>
          <w:spacing w:val="20"/>
          <w:sz w:val="30"/>
        </w:rPr>
        <w:t>41</w:t>
      </w:r>
      <w:r w:rsidRPr="005C5E31">
        <w:rPr>
          <w:rFonts w:eastAsia="標楷體" w:hint="eastAsia"/>
          <w:spacing w:val="20"/>
          <w:sz w:val="30"/>
        </w:rPr>
        <w:lastRenderedPageBreak/>
        <w:t>兆</w:t>
      </w:r>
      <w:r w:rsidR="00346262" w:rsidRPr="00346262">
        <w:rPr>
          <w:rFonts w:eastAsia="標楷體"/>
          <w:spacing w:val="20"/>
          <w:sz w:val="30"/>
        </w:rPr>
        <w:t>4</w:t>
      </w:r>
      <w:r w:rsidR="00346262">
        <w:rPr>
          <w:rFonts w:eastAsia="標楷體"/>
          <w:spacing w:val="20"/>
          <w:sz w:val="30"/>
        </w:rPr>
        <w:t>,</w:t>
      </w:r>
      <w:r w:rsidR="00346262" w:rsidRPr="00346262">
        <w:rPr>
          <w:rFonts w:eastAsia="標楷體"/>
          <w:spacing w:val="20"/>
          <w:sz w:val="30"/>
        </w:rPr>
        <w:t>310</w:t>
      </w:r>
      <w:r w:rsidRPr="005C5E31">
        <w:rPr>
          <w:rFonts w:eastAsia="標楷體" w:hint="eastAsia"/>
          <w:spacing w:val="20"/>
          <w:sz w:val="30"/>
        </w:rPr>
        <w:t>億餘元，計增加</w:t>
      </w:r>
      <w:r w:rsidR="004D0F08">
        <w:rPr>
          <w:rFonts w:eastAsia="標楷體"/>
          <w:spacing w:val="20"/>
          <w:sz w:val="30"/>
        </w:rPr>
        <w:t>1</w:t>
      </w:r>
      <w:r w:rsidR="006E0EBA">
        <w:rPr>
          <w:rFonts w:eastAsia="標楷體" w:hint="eastAsia"/>
          <w:spacing w:val="20"/>
          <w:sz w:val="30"/>
        </w:rPr>
        <w:t>兆</w:t>
      </w:r>
      <w:r w:rsidR="004D0F08">
        <w:rPr>
          <w:rFonts w:eastAsia="標楷體" w:hint="eastAsia"/>
          <w:spacing w:val="20"/>
          <w:sz w:val="30"/>
        </w:rPr>
        <w:t>7</w:t>
      </w:r>
      <w:r w:rsidR="006E0EBA">
        <w:rPr>
          <w:rFonts w:eastAsia="標楷體"/>
          <w:spacing w:val="20"/>
          <w:sz w:val="30"/>
        </w:rPr>
        <w:t>,</w:t>
      </w:r>
      <w:r w:rsidR="00B577DC">
        <w:rPr>
          <w:rFonts w:eastAsia="標楷體"/>
          <w:spacing w:val="20"/>
          <w:sz w:val="30"/>
        </w:rPr>
        <w:t>607</w:t>
      </w:r>
      <w:r w:rsidRPr="005C5E31">
        <w:rPr>
          <w:rFonts w:eastAsia="標楷體" w:hint="eastAsia"/>
          <w:spacing w:val="20"/>
          <w:sz w:val="30"/>
        </w:rPr>
        <w:t>億餘元，約</w:t>
      </w:r>
      <w:r w:rsidR="004D0F08">
        <w:rPr>
          <w:rFonts w:eastAsia="標楷體"/>
          <w:spacing w:val="20"/>
          <w:sz w:val="30"/>
        </w:rPr>
        <w:t>4.</w:t>
      </w:r>
      <w:r w:rsidR="00B577DC">
        <w:rPr>
          <w:rFonts w:eastAsia="標楷體"/>
          <w:spacing w:val="20"/>
          <w:sz w:val="30"/>
        </w:rPr>
        <w:t>2</w:t>
      </w:r>
      <w:r w:rsidRPr="005C5E31">
        <w:rPr>
          <w:rFonts w:eastAsia="標楷體" w:hint="eastAsia"/>
          <w:spacing w:val="20"/>
          <w:sz w:val="30"/>
        </w:rPr>
        <w:t>％：</w:t>
      </w:r>
    </w:p>
    <w:p w:rsidR="00177136" w:rsidRPr="005C5E31" w:rsidRDefault="00177136" w:rsidP="008E16A9">
      <w:pPr>
        <w:kinsoku w:val="0"/>
        <w:overflowPunct w:val="0"/>
        <w:autoSpaceDE w:val="0"/>
        <w:autoSpaceDN w:val="0"/>
        <w:adjustRightInd w:val="0"/>
        <w:spacing w:line="620" w:lineRule="exact"/>
        <w:ind w:left="1248" w:hanging="227"/>
        <w:jc w:val="both"/>
        <w:rPr>
          <w:rFonts w:eastAsia="標楷體"/>
          <w:spacing w:val="20"/>
          <w:sz w:val="30"/>
        </w:rPr>
      </w:pPr>
      <w:r w:rsidRPr="005C5E31">
        <w:rPr>
          <w:rFonts w:eastAsia="標楷體"/>
          <w:spacing w:val="20"/>
          <w:sz w:val="30"/>
        </w:rPr>
        <w:t>1.</w:t>
      </w:r>
      <w:r w:rsidRPr="005C5E31">
        <w:rPr>
          <w:rFonts w:eastAsia="標楷體" w:hint="eastAsia"/>
          <w:spacing w:val="20"/>
          <w:sz w:val="30"/>
        </w:rPr>
        <w:t>流動資產</w:t>
      </w:r>
      <w:r w:rsidR="00563707">
        <w:rPr>
          <w:rFonts w:eastAsia="標楷體"/>
          <w:spacing w:val="20"/>
          <w:sz w:val="30"/>
        </w:rPr>
        <w:t>10</w:t>
      </w:r>
      <w:r w:rsidR="004C18C8" w:rsidRPr="005C5E31">
        <w:rPr>
          <w:rFonts w:eastAsia="標楷體" w:hint="eastAsia"/>
          <w:spacing w:val="20"/>
          <w:sz w:val="30"/>
        </w:rPr>
        <w:t>兆</w:t>
      </w:r>
      <w:r w:rsidR="00B577DC">
        <w:rPr>
          <w:rFonts w:eastAsia="標楷體"/>
          <w:spacing w:val="20"/>
          <w:sz w:val="30"/>
        </w:rPr>
        <w:t>6,025</w:t>
      </w:r>
      <w:r w:rsidRPr="005C5E31">
        <w:rPr>
          <w:rFonts w:eastAsia="標楷體" w:hint="eastAsia"/>
          <w:spacing w:val="20"/>
          <w:sz w:val="30"/>
        </w:rPr>
        <w:t>億餘元，占資產總額之</w:t>
      </w:r>
      <w:r w:rsidR="002055E4" w:rsidRPr="005C5E31">
        <w:rPr>
          <w:rFonts w:eastAsia="標楷體" w:hint="eastAsia"/>
          <w:spacing w:val="20"/>
          <w:sz w:val="30"/>
        </w:rPr>
        <w:t>2</w:t>
      </w:r>
      <w:r w:rsidR="00B577DC">
        <w:rPr>
          <w:rFonts w:eastAsia="標楷體"/>
          <w:spacing w:val="20"/>
          <w:sz w:val="30"/>
        </w:rPr>
        <w:t>4.5</w:t>
      </w:r>
      <w:r w:rsidRPr="005C5E31">
        <w:rPr>
          <w:rFonts w:eastAsia="標楷體" w:hint="eastAsia"/>
          <w:spacing w:val="20"/>
          <w:sz w:val="30"/>
        </w:rPr>
        <w:t>％。</w:t>
      </w:r>
    </w:p>
    <w:p w:rsidR="00177136" w:rsidRPr="005C5E31" w:rsidRDefault="00177136" w:rsidP="008E16A9">
      <w:pPr>
        <w:kinsoku w:val="0"/>
        <w:overflowPunct w:val="0"/>
        <w:autoSpaceDE w:val="0"/>
        <w:autoSpaceDN w:val="0"/>
        <w:adjustRightInd w:val="0"/>
        <w:spacing w:line="620" w:lineRule="exact"/>
        <w:ind w:left="1248" w:hanging="227"/>
        <w:jc w:val="both"/>
        <w:rPr>
          <w:rFonts w:eastAsia="標楷體"/>
          <w:spacing w:val="20"/>
          <w:sz w:val="30"/>
        </w:rPr>
      </w:pPr>
      <w:r w:rsidRPr="005C5E31">
        <w:rPr>
          <w:rFonts w:eastAsia="標楷體"/>
          <w:spacing w:val="20"/>
          <w:sz w:val="30"/>
        </w:rPr>
        <w:t>2.</w:t>
      </w:r>
      <w:r w:rsidRPr="005C5E31">
        <w:rPr>
          <w:rFonts w:eastAsia="標楷體" w:hint="eastAsia"/>
          <w:spacing w:val="20"/>
          <w:sz w:val="30"/>
        </w:rPr>
        <w:t>押匯貼現及放款</w:t>
      </w:r>
      <w:r w:rsidR="00B577DC">
        <w:rPr>
          <w:rFonts w:eastAsia="標楷體"/>
          <w:spacing w:val="20"/>
          <w:sz w:val="30"/>
        </w:rPr>
        <w:t>6</w:t>
      </w:r>
      <w:r w:rsidR="004C18C8" w:rsidRPr="005C5E31">
        <w:rPr>
          <w:rFonts w:eastAsia="標楷體" w:hint="eastAsia"/>
          <w:spacing w:val="20"/>
          <w:sz w:val="30"/>
        </w:rPr>
        <w:t>兆</w:t>
      </w:r>
      <w:r w:rsidR="00B577DC">
        <w:rPr>
          <w:rFonts w:eastAsia="標楷體"/>
          <w:spacing w:val="20"/>
          <w:sz w:val="30"/>
        </w:rPr>
        <w:t>3,921</w:t>
      </w:r>
      <w:r w:rsidRPr="005C5E31">
        <w:rPr>
          <w:rFonts w:eastAsia="標楷體" w:hint="eastAsia"/>
          <w:spacing w:val="20"/>
          <w:sz w:val="30"/>
        </w:rPr>
        <w:t>億餘元，占資產總額之</w:t>
      </w:r>
      <w:r w:rsidR="00563707">
        <w:rPr>
          <w:rFonts w:eastAsia="標楷體" w:hint="eastAsia"/>
          <w:spacing w:val="20"/>
          <w:sz w:val="30"/>
        </w:rPr>
        <w:t>14</w:t>
      </w:r>
      <w:r w:rsidR="004D0F08">
        <w:rPr>
          <w:rFonts w:eastAsia="標楷體"/>
          <w:spacing w:val="20"/>
          <w:sz w:val="30"/>
        </w:rPr>
        <w:t>.</w:t>
      </w:r>
      <w:r w:rsidR="00B577DC">
        <w:rPr>
          <w:rFonts w:eastAsia="標楷體"/>
          <w:spacing w:val="20"/>
          <w:sz w:val="30"/>
        </w:rPr>
        <w:t>8</w:t>
      </w:r>
      <w:r w:rsidR="00563707" w:rsidRPr="005C5E31">
        <w:rPr>
          <w:rFonts w:eastAsia="標楷體" w:hint="eastAsia"/>
          <w:spacing w:val="20"/>
          <w:sz w:val="30"/>
        </w:rPr>
        <w:t>％</w:t>
      </w:r>
      <w:r w:rsidRPr="005C5E31">
        <w:rPr>
          <w:rFonts w:eastAsia="標楷體" w:hint="eastAsia"/>
          <w:spacing w:val="20"/>
          <w:sz w:val="30"/>
        </w:rPr>
        <w:t>。</w:t>
      </w:r>
    </w:p>
    <w:p w:rsidR="00177136" w:rsidRPr="005C5E31" w:rsidRDefault="00177136" w:rsidP="008E16A9">
      <w:pPr>
        <w:adjustRightInd w:val="0"/>
        <w:spacing w:line="620" w:lineRule="exact"/>
        <w:ind w:left="1248" w:hanging="227"/>
        <w:jc w:val="both"/>
        <w:rPr>
          <w:rFonts w:eastAsia="標楷體"/>
          <w:spacing w:val="20"/>
          <w:sz w:val="30"/>
        </w:rPr>
      </w:pPr>
      <w:r w:rsidRPr="005C5E31">
        <w:rPr>
          <w:rFonts w:eastAsia="標楷體"/>
          <w:spacing w:val="20"/>
          <w:sz w:val="30"/>
        </w:rPr>
        <w:t>3.</w:t>
      </w:r>
      <w:r w:rsidRPr="005C5E31">
        <w:rPr>
          <w:rFonts w:eastAsia="標楷體" w:hint="eastAsia"/>
          <w:spacing w:val="20"/>
          <w:sz w:val="30"/>
        </w:rPr>
        <w:t>基金、投資及長期應收款</w:t>
      </w:r>
      <w:r w:rsidR="00B577DC">
        <w:rPr>
          <w:rFonts w:eastAsia="標楷體"/>
          <w:spacing w:val="20"/>
          <w:sz w:val="30"/>
        </w:rPr>
        <w:t>21</w:t>
      </w:r>
      <w:r w:rsidRPr="005C5E31">
        <w:rPr>
          <w:rFonts w:eastAsia="標楷體" w:hint="eastAsia"/>
          <w:spacing w:val="20"/>
          <w:sz w:val="30"/>
        </w:rPr>
        <w:t>兆</w:t>
      </w:r>
      <w:r w:rsidR="00B577DC">
        <w:rPr>
          <w:rFonts w:eastAsia="標楷體"/>
          <w:spacing w:val="20"/>
          <w:sz w:val="30"/>
        </w:rPr>
        <w:t>1,297</w:t>
      </w:r>
      <w:r w:rsidRPr="005C5E31">
        <w:rPr>
          <w:rFonts w:eastAsia="標楷體" w:hint="eastAsia"/>
          <w:spacing w:val="20"/>
          <w:sz w:val="30"/>
        </w:rPr>
        <w:t>億餘元，占資產總額之</w:t>
      </w:r>
      <w:r w:rsidRPr="005C5E31">
        <w:rPr>
          <w:rFonts w:eastAsia="標楷體" w:hint="eastAsia"/>
          <w:spacing w:val="20"/>
          <w:sz w:val="30"/>
        </w:rPr>
        <w:t>4</w:t>
      </w:r>
      <w:r w:rsidR="00B577DC">
        <w:rPr>
          <w:rFonts w:eastAsia="標楷體"/>
          <w:spacing w:val="20"/>
          <w:sz w:val="30"/>
        </w:rPr>
        <w:t>8.9</w:t>
      </w:r>
      <w:r w:rsidRPr="005C5E31">
        <w:rPr>
          <w:rFonts w:eastAsia="標楷體" w:hint="eastAsia"/>
          <w:spacing w:val="20"/>
          <w:sz w:val="30"/>
        </w:rPr>
        <w:t>％。</w:t>
      </w:r>
    </w:p>
    <w:p w:rsidR="00177136" w:rsidRPr="005C5E31" w:rsidRDefault="00177136" w:rsidP="008E16A9">
      <w:pPr>
        <w:adjustRightInd w:val="0"/>
        <w:spacing w:line="620" w:lineRule="exact"/>
        <w:ind w:left="1248" w:hanging="227"/>
        <w:jc w:val="both"/>
        <w:rPr>
          <w:rFonts w:eastAsia="標楷體"/>
          <w:spacing w:val="20"/>
          <w:sz w:val="30"/>
        </w:rPr>
      </w:pPr>
      <w:r w:rsidRPr="005C5E31">
        <w:rPr>
          <w:rFonts w:eastAsia="標楷體"/>
          <w:spacing w:val="20"/>
          <w:sz w:val="30"/>
        </w:rPr>
        <w:t>4.</w:t>
      </w:r>
      <w:r w:rsidRPr="005C5E31">
        <w:rPr>
          <w:rFonts w:eastAsia="標楷體" w:hint="eastAsia"/>
          <w:spacing w:val="14"/>
          <w:sz w:val="30"/>
        </w:rPr>
        <w:t>不動產、廠房及設備</w:t>
      </w:r>
      <w:r w:rsidR="00964965">
        <w:rPr>
          <w:rFonts w:eastAsia="標楷體" w:hint="eastAsia"/>
          <w:spacing w:val="14"/>
          <w:sz w:val="30"/>
        </w:rPr>
        <w:t>、</w:t>
      </w:r>
      <w:r w:rsidR="00964965" w:rsidRPr="00563707">
        <w:rPr>
          <w:rFonts w:eastAsia="標楷體" w:hint="eastAsia"/>
          <w:spacing w:val="20"/>
          <w:sz w:val="30"/>
        </w:rPr>
        <w:t>使用權資產</w:t>
      </w:r>
      <w:r w:rsidR="00B577DC">
        <w:rPr>
          <w:rFonts w:eastAsia="標楷體"/>
          <w:spacing w:val="14"/>
          <w:sz w:val="30"/>
        </w:rPr>
        <w:t>3</w:t>
      </w:r>
      <w:r w:rsidRPr="005C5E31">
        <w:rPr>
          <w:rFonts w:eastAsia="標楷體" w:hint="eastAsia"/>
          <w:spacing w:val="14"/>
          <w:sz w:val="30"/>
        </w:rPr>
        <w:t>兆</w:t>
      </w:r>
      <w:r w:rsidR="00B577DC">
        <w:rPr>
          <w:rFonts w:eastAsia="標楷體"/>
          <w:spacing w:val="14"/>
          <w:sz w:val="30"/>
        </w:rPr>
        <w:t>9,969</w:t>
      </w:r>
      <w:r w:rsidRPr="005C5E31">
        <w:rPr>
          <w:rFonts w:eastAsia="標楷體" w:hint="eastAsia"/>
          <w:spacing w:val="14"/>
          <w:sz w:val="30"/>
        </w:rPr>
        <w:t>億餘元，占資產總額之</w:t>
      </w:r>
      <w:r w:rsidR="00563707">
        <w:rPr>
          <w:rFonts w:eastAsia="標楷體" w:hint="eastAsia"/>
          <w:spacing w:val="14"/>
          <w:sz w:val="30"/>
        </w:rPr>
        <w:t>9</w:t>
      </w:r>
      <w:r w:rsidR="004C18C8" w:rsidRPr="005C5E31">
        <w:rPr>
          <w:rFonts w:eastAsia="標楷體"/>
          <w:spacing w:val="14"/>
          <w:sz w:val="30"/>
        </w:rPr>
        <w:t>.</w:t>
      </w:r>
      <w:r w:rsidR="00B577DC">
        <w:rPr>
          <w:rFonts w:eastAsia="標楷體"/>
          <w:spacing w:val="14"/>
          <w:sz w:val="30"/>
        </w:rPr>
        <w:t>3</w:t>
      </w:r>
      <w:r w:rsidRPr="005C5E31">
        <w:rPr>
          <w:rFonts w:eastAsia="標楷體" w:hint="eastAsia"/>
          <w:spacing w:val="14"/>
          <w:sz w:val="30"/>
        </w:rPr>
        <w:t>％。</w:t>
      </w:r>
    </w:p>
    <w:p w:rsidR="00177136" w:rsidRPr="005C5E31" w:rsidRDefault="00177136" w:rsidP="008E16A9">
      <w:pPr>
        <w:adjustRightInd w:val="0"/>
        <w:spacing w:line="620" w:lineRule="exact"/>
        <w:ind w:left="1248" w:hanging="227"/>
        <w:jc w:val="both"/>
        <w:rPr>
          <w:rFonts w:eastAsia="標楷體"/>
          <w:spacing w:val="20"/>
          <w:sz w:val="30"/>
        </w:rPr>
      </w:pPr>
      <w:r w:rsidRPr="005C5E31">
        <w:rPr>
          <w:rFonts w:eastAsia="標楷體" w:hint="eastAsia"/>
          <w:spacing w:val="20"/>
          <w:sz w:val="30"/>
        </w:rPr>
        <w:t>5.</w:t>
      </w:r>
      <w:r w:rsidRPr="005C5E31">
        <w:rPr>
          <w:rFonts w:eastAsia="標楷體" w:hint="eastAsia"/>
          <w:spacing w:val="20"/>
          <w:sz w:val="30"/>
        </w:rPr>
        <w:t>投資性不動產</w:t>
      </w:r>
      <w:r w:rsidR="004C18C8" w:rsidRPr="005C5E31">
        <w:rPr>
          <w:rFonts w:eastAsia="標楷體"/>
          <w:spacing w:val="20"/>
          <w:sz w:val="30"/>
        </w:rPr>
        <w:t>4,</w:t>
      </w:r>
      <w:r w:rsidR="00E43575">
        <w:rPr>
          <w:rFonts w:eastAsia="標楷體"/>
          <w:spacing w:val="20"/>
          <w:sz w:val="30"/>
        </w:rPr>
        <w:t>77</w:t>
      </w:r>
      <w:r w:rsidR="00B577DC">
        <w:rPr>
          <w:rFonts w:eastAsia="標楷體"/>
          <w:spacing w:val="20"/>
          <w:sz w:val="30"/>
        </w:rPr>
        <w:t>6</w:t>
      </w:r>
      <w:r w:rsidRPr="005C5E31">
        <w:rPr>
          <w:rFonts w:eastAsia="標楷體" w:hint="eastAsia"/>
          <w:spacing w:val="20"/>
          <w:sz w:val="30"/>
        </w:rPr>
        <w:t>億餘元，占資產總額之</w:t>
      </w:r>
      <w:r w:rsidRPr="005C5E31">
        <w:rPr>
          <w:rFonts w:eastAsia="標楷體" w:hint="eastAsia"/>
          <w:spacing w:val="20"/>
          <w:sz w:val="30"/>
        </w:rPr>
        <w:t>1.</w:t>
      </w:r>
      <w:r w:rsidR="005F410F">
        <w:rPr>
          <w:rFonts w:eastAsia="標楷體"/>
          <w:spacing w:val="20"/>
          <w:sz w:val="30"/>
        </w:rPr>
        <w:t>1</w:t>
      </w:r>
      <w:r w:rsidRPr="005C5E31">
        <w:rPr>
          <w:rFonts w:eastAsia="標楷體" w:hint="eastAsia"/>
          <w:spacing w:val="20"/>
          <w:sz w:val="30"/>
        </w:rPr>
        <w:t>％。</w:t>
      </w:r>
    </w:p>
    <w:p w:rsidR="00177136" w:rsidRPr="005C5E31" w:rsidRDefault="00177136" w:rsidP="008E16A9">
      <w:pPr>
        <w:adjustRightInd w:val="0"/>
        <w:spacing w:afterLines="50" w:after="120" w:line="620" w:lineRule="exact"/>
        <w:ind w:left="1248" w:hanging="227"/>
        <w:jc w:val="both"/>
        <w:rPr>
          <w:rFonts w:eastAsia="標楷體"/>
          <w:spacing w:val="20"/>
          <w:sz w:val="30"/>
        </w:rPr>
      </w:pPr>
      <w:r w:rsidRPr="005C5E31">
        <w:rPr>
          <w:rFonts w:eastAsia="標楷體" w:hint="eastAsia"/>
          <w:spacing w:val="20"/>
          <w:sz w:val="30"/>
        </w:rPr>
        <w:t>6</w:t>
      </w:r>
      <w:r w:rsidRPr="005C5E31">
        <w:rPr>
          <w:rFonts w:eastAsia="標楷體"/>
          <w:spacing w:val="20"/>
          <w:sz w:val="30"/>
        </w:rPr>
        <w:t>.</w:t>
      </w:r>
      <w:r w:rsidRPr="005C5E31">
        <w:rPr>
          <w:rFonts w:eastAsia="標楷體" w:hint="eastAsia"/>
          <w:spacing w:val="20"/>
          <w:sz w:val="30"/>
        </w:rPr>
        <w:t>無形資產、生物資產及其他資產</w:t>
      </w:r>
      <w:r w:rsidR="00B577DC">
        <w:rPr>
          <w:rFonts w:eastAsia="標楷體"/>
          <w:spacing w:val="20"/>
          <w:sz w:val="30"/>
        </w:rPr>
        <w:t>5,926</w:t>
      </w:r>
      <w:r w:rsidRPr="005C5E31">
        <w:rPr>
          <w:rFonts w:eastAsia="標楷體" w:hint="eastAsia"/>
          <w:spacing w:val="20"/>
          <w:sz w:val="30"/>
        </w:rPr>
        <w:t>億餘元，占資產總額之</w:t>
      </w:r>
      <w:r w:rsidR="00B577DC">
        <w:rPr>
          <w:rFonts w:eastAsia="標楷體"/>
          <w:spacing w:val="20"/>
          <w:sz w:val="30"/>
        </w:rPr>
        <w:t>1.4</w:t>
      </w:r>
      <w:r w:rsidRPr="005C5E31">
        <w:rPr>
          <w:rFonts w:eastAsia="標楷體" w:hint="eastAsia"/>
          <w:spacing w:val="20"/>
          <w:sz w:val="30"/>
        </w:rPr>
        <w:t>％。</w:t>
      </w:r>
    </w:p>
    <w:p w:rsidR="00177136" w:rsidRPr="005C5E31" w:rsidRDefault="00177136" w:rsidP="00FE3C09">
      <w:pPr>
        <w:spacing w:beforeLines="150" w:before="360" w:afterLines="50" w:after="120" w:line="640" w:lineRule="exact"/>
        <w:ind w:left="482"/>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二</w:t>
      </w:r>
      <w:r w:rsidRPr="005C5E31">
        <w:rPr>
          <w:rFonts w:eastAsia="標楷體" w:hint="eastAsia"/>
          <w:b/>
          <w:spacing w:val="20"/>
          <w:sz w:val="30"/>
          <w:szCs w:val="30"/>
        </w:rPr>
        <w:t>)</w:t>
      </w:r>
      <w:r w:rsidR="00085FDF" w:rsidRPr="009427F9">
        <w:rPr>
          <w:rFonts w:eastAsia="標楷體" w:hint="eastAsia"/>
          <w:b/>
          <w:spacing w:val="20"/>
          <w:sz w:val="30"/>
          <w:szCs w:val="30"/>
        </w:rPr>
        <w:t>負債</w:t>
      </w:r>
    </w:p>
    <w:p w:rsidR="00177136" w:rsidRPr="005C5E31" w:rsidRDefault="00177136" w:rsidP="008E16A9">
      <w:pPr>
        <w:adjustRightInd w:val="0"/>
        <w:spacing w:beforeLines="50" w:before="120" w:line="620" w:lineRule="exact"/>
        <w:ind w:left="1021"/>
        <w:jc w:val="both"/>
        <w:rPr>
          <w:rFonts w:eastAsia="標楷體"/>
          <w:spacing w:val="20"/>
          <w:sz w:val="30"/>
        </w:rPr>
      </w:pPr>
      <w:r w:rsidRPr="005C5E31">
        <w:rPr>
          <w:rFonts w:eastAsia="標楷體" w:hint="eastAsia"/>
          <w:spacing w:val="22"/>
          <w:sz w:val="30"/>
        </w:rPr>
        <w:t>本年度決算負債總額</w:t>
      </w:r>
      <w:r w:rsidR="004F0E11" w:rsidRPr="005C5E31">
        <w:rPr>
          <w:rFonts w:eastAsia="標楷體" w:hint="eastAsia"/>
          <w:spacing w:val="22"/>
          <w:sz w:val="30"/>
        </w:rPr>
        <w:t>3</w:t>
      </w:r>
      <w:r w:rsidR="00B577DC">
        <w:rPr>
          <w:rFonts w:eastAsia="標楷體"/>
          <w:spacing w:val="22"/>
          <w:sz w:val="30"/>
        </w:rPr>
        <w:t>9</w:t>
      </w:r>
      <w:r w:rsidRPr="005C5E31">
        <w:rPr>
          <w:rFonts w:eastAsia="標楷體" w:hint="eastAsia"/>
          <w:spacing w:val="22"/>
          <w:sz w:val="30"/>
        </w:rPr>
        <w:t>兆</w:t>
      </w:r>
      <w:r w:rsidR="00B577DC">
        <w:rPr>
          <w:rFonts w:eastAsia="標楷體"/>
          <w:spacing w:val="22"/>
          <w:sz w:val="30"/>
        </w:rPr>
        <w:t>6,227</w:t>
      </w:r>
      <w:r w:rsidRPr="005C5E31">
        <w:rPr>
          <w:rFonts w:eastAsia="標楷體" w:hint="eastAsia"/>
          <w:spacing w:val="22"/>
          <w:sz w:val="30"/>
        </w:rPr>
        <w:t>億餘元，占負債及權益總額之</w:t>
      </w:r>
      <w:r w:rsidR="006E0EBA">
        <w:rPr>
          <w:rFonts w:eastAsia="標楷體"/>
          <w:spacing w:val="22"/>
          <w:sz w:val="30"/>
        </w:rPr>
        <w:t>9</w:t>
      </w:r>
      <w:r w:rsidR="00B577DC">
        <w:rPr>
          <w:rFonts w:eastAsia="標楷體"/>
          <w:spacing w:val="22"/>
          <w:sz w:val="30"/>
        </w:rPr>
        <w:t>1.7</w:t>
      </w:r>
      <w:r w:rsidRPr="005C5E31">
        <w:rPr>
          <w:rFonts w:eastAsia="標楷體" w:hint="eastAsia"/>
          <w:spacing w:val="22"/>
          <w:sz w:val="30"/>
        </w:rPr>
        <w:t>％</w:t>
      </w:r>
      <w:r w:rsidR="009D7349">
        <w:rPr>
          <w:rFonts w:eastAsia="標楷體" w:hint="eastAsia"/>
          <w:spacing w:val="22"/>
          <w:sz w:val="30"/>
        </w:rPr>
        <w:t>；</w:t>
      </w:r>
      <w:r w:rsidRPr="005C5E31">
        <w:rPr>
          <w:rFonts w:eastAsia="標楷體" w:hint="eastAsia"/>
          <w:spacing w:val="22"/>
          <w:sz w:val="30"/>
        </w:rPr>
        <w:t>較上年度決算數</w:t>
      </w:r>
      <w:r w:rsidR="00B577DC" w:rsidRPr="005C5E31">
        <w:rPr>
          <w:rFonts w:eastAsia="標楷體" w:hint="eastAsia"/>
          <w:spacing w:val="22"/>
          <w:sz w:val="30"/>
        </w:rPr>
        <w:t>3</w:t>
      </w:r>
      <w:r w:rsidR="00B577DC">
        <w:rPr>
          <w:rFonts w:eastAsia="標楷體"/>
          <w:spacing w:val="22"/>
          <w:sz w:val="30"/>
        </w:rPr>
        <w:t>7</w:t>
      </w:r>
      <w:r w:rsidR="00B577DC" w:rsidRPr="005C5E31">
        <w:rPr>
          <w:rFonts w:eastAsia="標楷體" w:hint="eastAsia"/>
          <w:spacing w:val="22"/>
          <w:sz w:val="30"/>
        </w:rPr>
        <w:t>兆</w:t>
      </w:r>
      <w:r w:rsidR="00B577DC">
        <w:rPr>
          <w:rFonts w:eastAsia="標楷體"/>
          <w:spacing w:val="22"/>
          <w:sz w:val="30"/>
        </w:rPr>
        <w:t>4,117</w:t>
      </w:r>
      <w:r w:rsidR="004F1ACE" w:rsidRPr="005C5E31">
        <w:rPr>
          <w:rFonts w:eastAsia="標楷體" w:hint="eastAsia"/>
          <w:spacing w:val="22"/>
          <w:sz w:val="30"/>
        </w:rPr>
        <w:t>億</w:t>
      </w:r>
      <w:r w:rsidRPr="005C5E31">
        <w:rPr>
          <w:rFonts w:eastAsia="標楷體" w:hint="eastAsia"/>
          <w:spacing w:val="22"/>
          <w:sz w:val="30"/>
        </w:rPr>
        <w:t>餘元，計</w:t>
      </w:r>
      <w:r w:rsidR="004F1ACE">
        <w:rPr>
          <w:rFonts w:eastAsia="標楷體" w:hint="eastAsia"/>
          <w:spacing w:val="22"/>
          <w:sz w:val="30"/>
        </w:rPr>
        <w:t>增加</w:t>
      </w:r>
      <w:r w:rsidR="005C7FC5">
        <w:rPr>
          <w:rFonts w:eastAsia="標楷體"/>
          <w:spacing w:val="22"/>
          <w:sz w:val="30"/>
        </w:rPr>
        <w:t>2</w:t>
      </w:r>
      <w:r w:rsidR="004F1ACE">
        <w:rPr>
          <w:rFonts w:eastAsia="標楷體" w:hint="eastAsia"/>
          <w:spacing w:val="22"/>
          <w:sz w:val="30"/>
        </w:rPr>
        <w:t>兆</w:t>
      </w:r>
      <w:r w:rsidR="005C7FC5">
        <w:rPr>
          <w:rFonts w:eastAsia="標楷體"/>
          <w:spacing w:val="22"/>
          <w:sz w:val="30"/>
        </w:rPr>
        <w:t>2,110</w:t>
      </w:r>
      <w:r w:rsidRPr="005C5E31">
        <w:rPr>
          <w:rFonts w:eastAsia="標楷體" w:hint="eastAsia"/>
          <w:spacing w:val="22"/>
          <w:sz w:val="30"/>
        </w:rPr>
        <w:t>億</w:t>
      </w:r>
      <w:r w:rsidRPr="005C5E31">
        <w:rPr>
          <w:rFonts w:eastAsia="標楷體" w:hint="eastAsia"/>
          <w:spacing w:val="20"/>
          <w:sz w:val="30"/>
        </w:rPr>
        <w:t>餘元，約</w:t>
      </w:r>
      <w:r w:rsidR="005C7FC5">
        <w:rPr>
          <w:rFonts w:eastAsia="標楷體"/>
          <w:spacing w:val="20"/>
          <w:sz w:val="30"/>
        </w:rPr>
        <w:t>5.9</w:t>
      </w:r>
      <w:r w:rsidRPr="005C5E31">
        <w:rPr>
          <w:rFonts w:eastAsia="標楷體" w:hint="eastAsia"/>
          <w:spacing w:val="20"/>
          <w:sz w:val="30"/>
        </w:rPr>
        <w:t>％：</w:t>
      </w:r>
    </w:p>
    <w:p w:rsidR="00177136" w:rsidRPr="005C5E31" w:rsidRDefault="00177136" w:rsidP="008E16A9">
      <w:pPr>
        <w:kinsoku w:val="0"/>
        <w:overflowPunct w:val="0"/>
        <w:autoSpaceDE w:val="0"/>
        <w:autoSpaceDN w:val="0"/>
        <w:adjustRightInd w:val="0"/>
        <w:spacing w:line="620" w:lineRule="exact"/>
        <w:ind w:left="1248" w:hanging="227"/>
        <w:jc w:val="both"/>
        <w:rPr>
          <w:rFonts w:eastAsia="標楷體"/>
          <w:spacing w:val="20"/>
          <w:sz w:val="30"/>
        </w:rPr>
      </w:pPr>
      <w:r w:rsidRPr="005C5E31">
        <w:rPr>
          <w:rFonts w:eastAsia="標楷體"/>
          <w:spacing w:val="20"/>
          <w:sz w:val="30"/>
        </w:rPr>
        <w:t>1.</w:t>
      </w:r>
      <w:r w:rsidRPr="005C5E31">
        <w:rPr>
          <w:rFonts w:eastAsia="標楷體" w:hint="eastAsia"/>
          <w:spacing w:val="20"/>
          <w:sz w:val="30"/>
        </w:rPr>
        <w:t>流動負債</w:t>
      </w:r>
      <w:r w:rsidRPr="005C5E31">
        <w:rPr>
          <w:rFonts w:eastAsia="標楷體" w:hint="eastAsia"/>
          <w:spacing w:val="20"/>
          <w:sz w:val="30"/>
        </w:rPr>
        <w:t>1</w:t>
      </w:r>
      <w:r w:rsidR="00E43575">
        <w:rPr>
          <w:rFonts w:eastAsia="標楷體"/>
          <w:spacing w:val="20"/>
          <w:sz w:val="30"/>
        </w:rPr>
        <w:t>9</w:t>
      </w:r>
      <w:r w:rsidRPr="005C5E31">
        <w:rPr>
          <w:rFonts w:eastAsia="標楷體" w:hint="eastAsia"/>
          <w:spacing w:val="20"/>
          <w:sz w:val="30"/>
        </w:rPr>
        <w:t>兆</w:t>
      </w:r>
      <w:r w:rsidR="005C7FC5">
        <w:rPr>
          <w:rFonts w:eastAsia="標楷體"/>
          <w:spacing w:val="20"/>
          <w:sz w:val="30"/>
        </w:rPr>
        <w:t>3,171</w:t>
      </w:r>
      <w:r w:rsidRPr="005C5E31">
        <w:rPr>
          <w:rFonts w:eastAsia="標楷體" w:hint="eastAsia"/>
          <w:spacing w:val="20"/>
          <w:sz w:val="30"/>
        </w:rPr>
        <w:t>億餘元，占負債及權益總額之</w:t>
      </w:r>
      <w:r w:rsidR="004F0E11" w:rsidRPr="005C5E31">
        <w:rPr>
          <w:rFonts w:eastAsia="標楷體" w:hint="eastAsia"/>
          <w:spacing w:val="20"/>
          <w:sz w:val="30"/>
        </w:rPr>
        <w:t>4</w:t>
      </w:r>
      <w:r w:rsidR="005C7FC5">
        <w:rPr>
          <w:rFonts w:eastAsia="標楷體"/>
          <w:spacing w:val="20"/>
          <w:sz w:val="30"/>
        </w:rPr>
        <w:t>4.7</w:t>
      </w:r>
      <w:r w:rsidRPr="005C5E31">
        <w:rPr>
          <w:rFonts w:eastAsia="標楷體" w:hint="eastAsia"/>
          <w:spacing w:val="20"/>
          <w:sz w:val="30"/>
        </w:rPr>
        <w:t>％。</w:t>
      </w:r>
    </w:p>
    <w:p w:rsidR="00FA34EB" w:rsidRPr="005C5E31" w:rsidRDefault="00177136" w:rsidP="008E16A9">
      <w:pPr>
        <w:adjustRightInd w:val="0"/>
        <w:spacing w:line="620" w:lineRule="exact"/>
        <w:ind w:left="1248" w:hanging="227"/>
        <w:jc w:val="both"/>
        <w:rPr>
          <w:rFonts w:eastAsia="標楷體"/>
          <w:spacing w:val="20"/>
          <w:sz w:val="30"/>
        </w:rPr>
      </w:pPr>
      <w:r w:rsidRPr="005C5E31">
        <w:rPr>
          <w:rFonts w:eastAsia="標楷體"/>
          <w:spacing w:val="20"/>
          <w:sz w:val="30"/>
        </w:rPr>
        <w:t>2.</w:t>
      </w:r>
      <w:r w:rsidRPr="005C5E31">
        <w:rPr>
          <w:rFonts w:eastAsia="標楷體" w:hint="eastAsia"/>
          <w:spacing w:val="20"/>
          <w:sz w:val="30"/>
        </w:rPr>
        <w:t>存款、匯款及金融債券</w:t>
      </w:r>
      <w:r w:rsidR="004F0E11" w:rsidRPr="005C5E31">
        <w:rPr>
          <w:rFonts w:eastAsia="標楷體" w:hint="eastAsia"/>
          <w:spacing w:val="20"/>
          <w:sz w:val="30"/>
        </w:rPr>
        <w:t>1</w:t>
      </w:r>
      <w:r w:rsidR="005C7FC5">
        <w:rPr>
          <w:rFonts w:eastAsia="標楷體"/>
          <w:spacing w:val="20"/>
          <w:sz w:val="30"/>
        </w:rPr>
        <w:t>5</w:t>
      </w:r>
      <w:r w:rsidRPr="005C5E31">
        <w:rPr>
          <w:rFonts w:eastAsia="標楷體" w:hint="eastAsia"/>
          <w:spacing w:val="20"/>
          <w:sz w:val="30"/>
        </w:rPr>
        <w:t>兆</w:t>
      </w:r>
      <w:r w:rsidR="005C7FC5">
        <w:rPr>
          <w:rFonts w:eastAsia="標楷體"/>
          <w:spacing w:val="20"/>
          <w:sz w:val="30"/>
        </w:rPr>
        <w:t>865</w:t>
      </w:r>
      <w:r w:rsidRPr="005C5E31">
        <w:rPr>
          <w:rFonts w:eastAsia="標楷體" w:hint="eastAsia"/>
          <w:spacing w:val="20"/>
          <w:sz w:val="30"/>
        </w:rPr>
        <w:t>億餘元，</w:t>
      </w:r>
      <w:r w:rsidR="00FA34EB" w:rsidRPr="005C5E31">
        <w:rPr>
          <w:rFonts w:eastAsia="標楷體" w:hint="eastAsia"/>
          <w:spacing w:val="20"/>
          <w:sz w:val="30"/>
        </w:rPr>
        <w:t>占負債及權益總額之</w:t>
      </w:r>
      <w:r w:rsidR="00FA34EB" w:rsidRPr="005C5E31">
        <w:rPr>
          <w:rFonts w:eastAsia="標楷體" w:hint="eastAsia"/>
          <w:spacing w:val="20"/>
          <w:sz w:val="30"/>
        </w:rPr>
        <w:t>3</w:t>
      </w:r>
      <w:r w:rsidR="004F1ACE">
        <w:rPr>
          <w:rFonts w:eastAsia="標楷體"/>
          <w:spacing w:val="20"/>
          <w:sz w:val="30"/>
        </w:rPr>
        <w:t>4</w:t>
      </w:r>
      <w:r w:rsidR="00FA34EB" w:rsidRPr="005C5E31">
        <w:rPr>
          <w:rFonts w:eastAsia="標楷體" w:hint="eastAsia"/>
          <w:spacing w:val="20"/>
          <w:sz w:val="30"/>
        </w:rPr>
        <w:t>.</w:t>
      </w:r>
      <w:r w:rsidR="005C7FC5">
        <w:rPr>
          <w:rFonts w:eastAsia="標楷體"/>
          <w:spacing w:val="20"/>
          <w:sz w:val="30"/>
        </w:rPr>
        <w:t>9</w:t>
      </w:r>
      <w:r w:rsidR="00FA34EB" w:rsidRPr="005C5E31">
        <w:rPr>
          <w:rFonts w:eastAsia="標楷體" w:hint="eastAsia"/>
          <w:spacing w:val="20"/>
          <w:sz w:val="30"/>
        </w:rPr>
        <w:t>％。</w:t>
      </w:r>
    </w:p>
    <w:p w:rsidR="00177136" w:rsidRPr="005C5E31" w:rsidRDefault="00FA34EB" w:rsidP="008E16A9">
      <w:pPr>
        <w:adjustRightInd w:val="0"/>
        <w:spacing w:line="620" w:lineRule="exact"/>
        <w:ind w:left="1248" w:hanging="227"/>
        <w:jc w:val="both"/>
        <w:rPr>
          <w:rFonts w:eastAsia="標楷體"/>
          <w:spacing w:val="20"/>
          <w:sz w:val="30"/>
        </w:rPr>
      </w:pPr>
      <w:r w:rsidRPr="005C5E31">
        <w:rPr>
          <w:rFonts w:eastAsia="標楷體"/>
          <w:spacing w:val="20"/>
          <w:sz w:val="30"/>
        </w:rPr>
        <w:t>3.</w:t>
      </w:r>
      <w:r w:rsidR="00177136" w:rsidRPr="005C5E31">
        <w:rPr>
          <w:rFonts w:eastAsia="標楷體" w:hint="eastAsia"/>
          <w:spacing w:val="16"/>
          <w:sz w:val="30"/>
        </w:rPr>
        <w:t>央行及同業融資</w:t>
      </w:r>
      <w:r w:rsidR="005C7FC5">
        <w:rPr>
          <w:rFonts w:eastAsia="標楷體"/>
          <w:spacing w:val="16"/>
          <w:sz w:val="30"/>
        </w:rPr>
        <w:t>2,914</w:t>
      </w:r>
      <w:r w:rsidR="00903C41" w:rsidRPr="00903C41">
        <w:rPr>
          <w:rFonts w:eastAsia="標楷體" w:hint="eastAsia"/>
          <w:spacing w:val="16"/>
          <w:sz w:val="30"/>
        </w:rPr>
        <w:t>億</w:t>
      </w:r>
      <w:r w:rsidR="00177136" w:rsidRPr="005C5E31">
        <w:rPr>
          <w:rFonts w:eastAsia="標楷體" w:hint="eastAsia"/>
          <w:spacing w:val="16"/>
          <w:sz w:val="30"/>
        </w:rPr>
        <w:t>餘元，</w:t>
      </w:r>
      <w:r w:rsidR="00177136" w:rsidRPr="005C5E31">
        <w:rPr>
          <w:rFonts w:eastAsia="標楷體" w:hint="eastAsia"/>
          <w:spacing w:val="20"/>
          <w:sz w:val="30"/>
        </w:rPr>
        <w:t>占負債及權益總額之</w:t>
      </w:r>
      <w:r w:rsidRPr="005C5E31">
        <w:rPr>
          <w:rFonts w:eastAsia="標楷體" w:hint="eastAsia"/>
          <w:spacing w:val="20"/>
          <w:sz w:val="30"/>
        </w:rPr>
        <w:t>0.</w:t>
      </w:r>
      <w:r w:rsidR="005C7FC5">
        <w:rPr>
          <w:rFonts w:eastAsia="標楷體"/>
          <w:spacing w:val="20"/>
          <w:sz w:val="30"/>
        </w:rPr>
        <w:t>7</w:t>
      </w:r>
      <w:r w:rsidR="00177136" w:rsidRPr="005C5E31">
        <w:rPr>
          <w:rFonts w:eastAsia="標楷體" w:hint="eastAsia"/>
          <w:spacing w:val="20"/>
          <w:sz w:val="30"/>
        </w:rPr>
        <w:t>％。</w:t>
      </w:r>
    </w:p>
    <w:p w:rsidR="00177136" w:rsidRPr="005C5E31" w:rsidRDefault="00FA34EB" w:rsidP="008E16A9">
      <w:pPr>
        <w:kinsoku w:val="0"/>
        <w:overflowPunct w:val="0"/>
        <w:autoSpaceDE w:val="0"/>
        <w:autoSpaceDN w:val="0"/>
        <w:adjustRightInd w:val="0"/>
        <w:spacing w:line="620" w:lineRule="exact"/>
        <w:ind w:left="1248" w:hanging="227"/>
        <w:jc w:val="both"/>
        <w:rPr>
          <w:rFonts w:eastAsia="標楷體"/>
          <w:spacing w:val="16"/>
          <w:sz w:val="30"/>
        </w:rPr>
      </w:pPr>
      <w:r w:rsidRPr="005C5E31">
        <w:rPr>
          <w:rFonts w:eastAsia="標楷體"/>
          <w:spacing w:val="20"/>
          <w:sz w:val="30"/>
        </w:rPr>
        <w:t>4</w:t>
      </w:r>
      <w:r w:rsidR="00177136" w:rsidRPr="005C5E31">
        <w:rPr>
          <w:rFonts w:eastAsia="標楷體"/>
          <w:spacing w:val="20"/>
          <w:sz w:val="30"/>
        </w:rPr>
        <w:t>.</w:t>
      </w:r>
      <w:r w:rsidR="00177136" w:rsidRPr="005C5E31">
        <w:rPr>
          <w:rFonts w:eastAsia="標楷體" w:hint="eastAsia"/>
          <w:spacing w:val="20"/>
          <w:sz w:val="30"/>
        </w:rPr>
        <w:t>長期負債</w:t>
      </w:r>
      <w:r w:rsidR="00D528F8">
        <w:rPr>
          <w:rFonts w:eastAsia="標楷體" w:hint="eastAsia"/>
          <w:spacing w:val="20"/>
          <w:sz w:val="30"/>
        </w:rPr>
        <w:t>1</w:t>
      </w:r>
      <w:r w:rsidR="00D528F8">
        <w:rPr>
          <w:rFonts w:eastAsia="標楷體" w:hint="eastAsia"/>
          <w:spacing w:val="20"/>
          <w:sz w:val="30"/>
        </w:rPr>
        <w:t>兆</w:t>
      </w:r>
      <w:r w:rsidR="005C7FC5">
        <w:rPr>
          <w:rFonts w:eastAsia="標楷體"/>
          <w:spacing w:val="20"/>
          <w:sz w:val="30"/>
        </w:rPr>
        <w:t>2,330</w:t>
      </w:r>
      <w:r w:rsidR="00177136" w:rsidRPr="005C5E31">
        <w:rPr>
          <w:rFonts w:eastAsia="標楷體" w:hint="eastAsia"/>
          <w:spacing w:val="20"/>
          <w:sz w:val="30"/>
        </w:rPr>
        <w:t>億餘元，占負債及權益總額之</w:t>
      </w:r>
      <w:r w:rsidR="004F0E11" w:rsidRPr="005C5E31">
        <w:rPr>
          <w:rFonts w:eastAsia="標楷體" w:hint="eastAsia"/>
          <w:spacing w:val="20"/>
          <w:sz w:val="30"/>
        </w:rPr>
        <w:t>2.</w:t>
      </w:r>
      <w:r w:rsidR="005C7FC5">
        <w:rPr>
          <w:rFonts w:eastAsia="標楷體"/>
          <w:spacing w:val="20"/>
          <w:sz w:val="30"/>
        </w:rPr>
        <w:t>9</w:t>
      </w:r>
      <w:r w:rsidR="00177136" w:rsidRPr="005C5E31">
        <w:rPr>
          <w:rFonts w:eastAsia="標楷體" w:hint="eastAsia"/>
          <w:spacing w:val="20"/>
          <w:sz w:val="30"/>
        </w:rPr>
        <w:t>％。</w:t>
      </w:r>
    </w:p>
    <w:p w:rsidR="00177136" w:rsidRPr="005C5E31" w:rsidRDefault="00FA34EB" w:rsidP="008E16A9">
      <w:pPr>
        <w:adjustRightInd w:val="0"/>
        <w:spacing w:line="620" w:lineRule="exact"/>
        <w:ind w:left="1248" w:hanging="227"/>
        <w:jc w:val="both"/>
        <w:rPr>
          <w:rFonts w:eastAsia="標楷體"/>
          <w:spacing w:val="20"/>
          <w:sz w:val="30"/>
        </w:rPr>
      </w:pPr>
      <w:r w:rsidRPr="005C5E31">
        <w:rPr>
          <w:rFonts w:eastAsia="標楷體" w:hint="eastAsia"/>
          <w:spacing w:val="20"/>
          <w:sz w:val="30"/>
        </w:rPr>
        <w:t>5</w:t>
      </w:r>
      <w:r w:rsidR="00177136" w:rsidRPr="005C5E31">
        <w:rPr>
          <w:rFonts w:eastAsia="標楷體" w:hint="eastAsia"/>
          <w:spacing w:val="20"/>
          <w:sz w:val="30"/>
        </w:rPr>
        <w:t>.</w:t>
      </w:r>
      <w:r w:rsidR="00177136" w:rsidRPr="005C5E31">
        <w:rPr>
          <w:rFonts w:eastAsia="標楷體" w:hint="eastAsia"/>
          <w:spacing w:val="20"/>
          <w:sz w:val="30"/>
        </w:rPr>
        <w:t>其他負債</w:t>
      </w:r>
      <w:r w:rsidR="00E43575">
        <w:rPr>
          <w:rFonts w:eastAsia="標楷體"/>
          <w:spacing w:val="20"/>
          <w:sz w:val="30"/>
        </w:rPr>
        <w:t>3</w:t>
      </w:r>
      <w:r w:rsidR="00177136" w:rsidRPr="005C5E31">
        <w:rPr>
          <w:rFonts w:eastAsia="標楷體" w:hint="eastAsia"/>
          <w:spacing w:val="20"/>
          <w:sz w:val="30"/>
        </w:rPr>
        <w:t>兆</w:t>
      </w:r>
      <w:r w:rsidR="005C7FC5">
        <w:rPr>
          <w:rFonts w:eastAsia="標楷體"/>
          <w:spacing w:val="20"/>
          <w:sz w:val="30"/>
        </w:rPr>
        <w:t>6</w:t>
      </w:r>
      <w:r w:rsidR="003806AA" w:rsidRPr="005C5E31">
        <w:rPr>
          <w:rFonts w:eastAsia="標楷體"/>
          <w:spacing w:val="20"/>
          <w:sz w:val="30"/>
        </w:rPr>
        <w:t>,</w:t>
      </w:r>
      <w:r w:rsidR="005C7FC5">
        <w:rPr>
          <w:rFonts w:eastAsia="標楷體"/>
          <w:spacing w:val="20"/>
          <w:sz w:val="30"/>
        </w:rPr>
        <w:t>945</w:t>
      </w:r>
      <w:r w:rsidR="00177136" w:rsidRPr="005C5E31">
        <w:rPr>
          <w:rFonts w:eastAsia="標楷體" w:hint="eastAsia"/>
          <w:spacing w:val="20"/>
          <w:sz w:val="30"/>
        </w:rPr>
        <w:t>億餘元，占負債及權益總額之</w:t>
      </w:r>
      <w:r w:rsidR="005C7FC5">
        <w:rPr>
          <w:rFonts w:eastAsia="標楷體"/>
          <w:spacing w:val="20"/>
          <w:sz w:val="30"/>
        </w:rPr>
        <w:t>8</w:t>
      </w:r>
      <w:r w:rsidR="003806AA" w:rsidRPr="005C5E31">
        <w:rPr>
          <w:rFonts w:eastAsia="標楷體"/>
          <w:spacing w:val="20"/>
          <w:sz w:val="30"/>
        </w:rPr>
        <w:t>.</w:t>
      </w:r>
      <w:r w:rsidR="00D528F8">
        <w:rPr>
          <w:rFonts w:eastAsia="標楷體"/>
          <w:spacing w:val="20"/>
          <w:sz w:val="30"/>
        </w:rPr>
        <w:t>5</w:t>
      </w:r>
      <w:r w:rsidR="00177136" w:rsidRPr="005C5E31">
        <w:rPr>
          <w:rFonts w:eastAsia="標楷體" w:hint="eastAsia"/>
          <w:spacing w:val="20"/>
          <w:sz w:val="30"/>
        </w:rPr>
        <w:t>％。</w:t>
      </w:r>
    </w:p>
    <w:p w:rsidR="00177136" w:rsidRPr="005C5E31" w:rsidRDefault="00177136" w:rsidP="00FE3C09">
      <w:pPr>
        <w:spacing w:beforeLines="150" w:before="360" w:afterLines="50" w:after="120" w:line="640" w:lineRule="exact"/>
        <w:ind w:left="482"/>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三</w:t>
      </w:r>
      <w:r w:rsidRPr="005C5E31">
        <w:rPr>
          <w:rFonts w:eastAsia="標楷體" w:hint="eastAsia"/>
          <w:b/>
          <w:spacing w:val="20"/>
          <w:sz w:val="30"/>
          <w:szCs w:val="30"/>
        </w:rPr>
        <w:t>)</w:t>
      </w:r>
      <w:r w:rsidR="00085FDF" w:rsidRPr="005C5E31">
        <w:rPr>
          <w:rFonts w:eastAsia="標楷體" w:hint="eastAsia"/>
          <w:b/>
          <w:spacing w:val="20"/>
          <w:sz w:val="30"/>
          <w:szCs w:val="30"/>
        </w:rPr>
        <w:t>權益</w:t>
      </w:r>
    </w:p>
    <w:p w:rsidR="00E65E53" w:rsidRDefault="00177136" w:rsidP="008E16A9">
      <w:pPr>
        <w:spacing w:beforeLines="50" w:before="120" w:afterLines="50" w:after="120" w:line="620" w:lineRule="exact"/>
        <w:ind w:left="1021"/>
        <w:jc w:val="both"/>
        <w:outlineLvl w:val="0"/>
        <w:rPr>
          <w:rFonts w:eastAsia="標楷體"/>
          <w:spacing w:val="-2"/>
          <w:sz w:val="30"/>
        </w:rPr>
      </w:pPr>
      <w:r w:rsidRPr="005C5E31">
        <w:rPr>
          <w:rFonts w:eastAsia="標楷體" w:hint="eastAsia"/>
          <w:spacing w:val="6"/>
          <w:sz w:val="30"/>
        </w:rPr>
        <w:lastRenderedPageBreak/>
        <w:t>本年度決算權益</w:t>
      </w:r>
      <w:r w:rsidR="005C7FC5">
        <w:rPr>
          <w:rFonts w:eastAsia="標楷體"/>
          <w:spacing w:val="6"/>
          <w:sz w:val="30"/>
        </w:rPr>
        <w:t>3</w:t>
      </w:r>
      <w:r w:rsidRPr="005C5E31">
        <w:rPr>
          <w:rFonts w:eastAsia="標楷體" w:hint="eastAsia"/>
          <w:spacing w:val="6"/>
          <w:sz w:val="30"/>
        </w:rPr>
        <w:t>兆</w:t>
      </w:r>
      <w:r w:rsidR="005C7FC5">
        <w:rPr>
          <w:rFonts w:eastAsia="標楷體"/>
          <w:spacing w:val="6"/>
          <w:sz w:val="30"/>
        </w:rPr>
        <w:t>5,690</w:t>
      </w:r>
      <w:r w:rsidRPr="005C5E31">
        <w:rPr>
          <w:rFonts w:eastAsia="標楷體" w:hint="eastAsia"/>
          <w:spacing w:val="6"/>
          <w:sz w:val="30"/>
        </w:rPr>
        <w:t>億餘元，</w:t>
      </w:r>
      <w:r w:rsidR="00877BA8" w:rsidRPr="005C5E31">
        <w:rPr>
          <w:rFonts w:eastAsia="標楷體" w:hint="eastAsia"/>
          <w:spacing w:val="6"/>
          <w:sz w:val="30"/>
        </w:rPr>
        <w:t>占負債及權益總額之</w:t>
      </w:r>
      <w:r w:rsidR="005C7FC5">
        <w:rPr>
          <w:rFonts w:eastAsia="標楷體"/>
          <w:spacing w:val="6"/>
          <w:sz w:val="30"/>
        </w:rPr>
        <w:t>8.3</w:t>
      </w:r>
      <w:r w:rsidR="00877BA8" w:rsidRPr="005C5E31">
        <w:rPr>
          <w:rFonts w:ascii="標楷體" w:eastAsia="標楷體" w:hAnsi="標楷體" w:hint="eastAsia"/>
          <w:spacing w:val="6"/>
          <w:sz w:val="30"/>
        </w:rPr>
        <w:t>％</w:t>
      </w:r>
      <w:r w:rsidR="009D7349">
        <w:rPr>
          <w:rFonts w:eastAsia="標楷體" w:hint="eastAsia"/>
          <w:spacing w:val="22"/>
          <w:sz w:val="30"/>
        </w:rPr>
        <w:t>；</w:t>
      </w:r>
      <w:r w:rsidRPr="005C5E31">
        <w:rPr>
          <w:rFonts w:eastAsia="標楷體" w:hint="eastAsia"/>
          <w:spacing w:val="26"/>
          <w:sz w:val="30"/>
        </w:rPr>
        <w:t>較上</w:t>
      </w:r>
      <w:r w:rsidRPr="005C5E31">
        <w:rPr>
          <w:rFonts w:eastAsia="標楷體" w:hint="eastAsia"/>
          <w:spacing w:val="-2"/>
          <w:sz w:val="30"/>
        </w:rPr>
        <w:t>年度決算數</w:t>
      </w:r>
      <w:r w:rsidR="00C55BC0">
        <w:rPr>
          <w:rFonts w:eastAsia="標楷體"/>
          <w:spacing w:val="6"/>
          <w:sz w:val="30"/>
        </w:rPr>
        <w:t>4</w:t>
      </w:r>
      <w:r w:rsidR="00D528F8" w:rsidRPr="005C5E31">
        <w:rPr>
          <w:rFonts w:eastAsia="標楷體" w:hint="eastAsia"/>
          <w:spacing w:val="6"/>
          <w:sz w:val="30"/>
        </w:rPr>
        <w:t>兆</w:t>
      </w:r>
      <w:r w:rsidR="00C55BC0">
        <w:rPr>
          <w:rFonts w:eastAsia="標楷體"/>
          <w:spacing w:val="6"/>
          <w:sz w:val="30"/>
        </w:rPr>
        <w:t>192</w:t>
      </w:r>
      <w:r w:rsidRPr="005C5E31">
        <w:rPr>
          <w:rFonts w:eastAsia="標楷體" w:hint="eastAsia"/>
          <w:spacing w:val="-2"/>
          <w:sz w:val="30"/>
        </w:rPr>
        <w:t>億餘元，計</w:t>
      </w:r>
      <w:r w:rsidR="00C55BC0">
        <w:rPr>
          <w:rFonts w:eastAsia="標楷體" w:hint="eastAsia"/>
          <w:spacing w:val="-2"/>
          <w:sz w:val="30"/>
        </w:rPr>
        <w:t>減少</w:t>
      </w:r>
      <w:r w:rsidR="00C55BC0">
        <w:rPr>
          <w:rFonts w:eastAsia="標楷體" w:hint="eastAsia"/>
          <w:spacing w:val="-2"/>
          <w:sz w:val="30"/>
        </w:rPr>
        <w:t>4,502</w:t>
      </w:r>
      <w:r w:rsidRPr="005C5E31">
        <w:rPr>
          <w:rFonts w:eastAsia="標楷體" w:hint="eastAsia"/>
          <w:spacing w:val="-2"/>
          <w:sz w:val="30"/>
        </w:rPr>
        <w:t>億餘元，約</w:t>
      </w:r>
      <w:r w:rsidR="00C55BC0">
        <w:rPr>
          <w:rFonts w:eastAsia="標楷體"/>
          <w:spacing w:val="-2"/>
          <w:sz w:val="30"/>
        </w:rPr>
        <w:t>11.2</w:t>
      </w:r>
      <w:r w:rsidR="00EF4DB3" w:rsidRPr="005C5E31">
        <w:rPr>
          <w:rFonts w:eastAsia="標楷體" w:hint="eastAsia"/>
          <w:spacing w:val="-2"/>
          <w:sz w:val="30"/>
        </w:rPr>
        <w:t>％</w:t>
      </w:r>
      <w:r w:rsidR="008F4A03">
        <w:rPr>
          <w:rFonts w:eastAsia="標楷體" w:hint="eastAsia"/>
          <w:spacing w:val="-2"/>
          <w:sz w:val="30"/>
        </w:rPr>
        <w:t>：</w:t>
      </w:r>
    </w:p>
    <w:p w:rsidR="00E65E53" w:rsidRDefault="00E65E53" w:rsidP="008E16A9">
      <w:pPr>
        <w:kinsoku w:val="0"/>
        <w:overflowPunct w:val="0"/>
        <w:autoSpaceDE w:val="0"/>
        <w:autoSpaceDN w:val="0"/>
        <w:adjustRightInd w:val="0"/>
        <w:spacing w:line="620" w:lineRule="exact"/>
        <w:ind w:left="1248" w:hanging="227"/>
        <w:jc w:val="both"/>
        <w:rPr>
          <w:rFonts w:eastAsia="標楷體"/>
          <w:spacing w:val="26"/>
          <w:sz w:val="30"/>
        </w:rPr>
      </w:pPr>
      <w:r w:rsidRPr="00E65E53">
        <w:rPr>
          <w:rFonts w:eastAsia="標楷體"/>
          <w:spacing w:val="26"/>
          <w:sz w:val="30"/>
        </w:rPr>
        <w:t>1.</w:t>
      </w:r>
      <w:r w:rsidR="00177136" w:rsidRPr="00E65E53">
        <w:rPr>
          <w:rFonts w:eastAsia="標楷體" w:hint="eastAsia"/>
          <w:spacing w:val="20"/>
          <w:sz w:val="30"/>
        </w:rPr>
        <w:t>資本</w:t>
      </w:r>
      <w:r w:rsidR="00177136" w:rsidRPr="005C5E31">
        <w:rPr>
          <w:rFonts w:eastAsia="標楷體" w:hint="eastAsia"/>
          <w:spacing w:val="26"/>
          <w:sz w:val="30"/>
        </w:rPr>
        <w:t>1</w:t>
      </w:r>
      <w:r w:rsidR="00177136" w:rsidRPr="005C5E31">
        <w:rPr>
          <w:rFonts w:eastAsia="標楷體" w:hint="eastAsia"/>
          <w:spacing w:val="26"/>
          <w:sz w:val="30"/>
        </w:rPr>
        <w:t>兆</w:t>
      </w:r>
      <w:r w:rsidR="00E43575">
        <w:rPr>
          <w:rFonts w:eastAsia="標楷體"/>
          <w:spacing w:val="26"/>
          <w:sz w:val="30"/>
        </w:rPr>
        <w:t>4</w:t>
      </w:r>
      <w:r w:rsidR="00775886" w:rsidRPr="005C5E31">
        <w:rPr>
          <w:rFonts w:eastAsia="標楷體"/>
          <w:spacing w:val="26"/>
          <w:sz w:val="30"/>
        </w:rPr>
        <w:t>,</w:t>
      </w:r>
      <w:r w:rsidR="00E43575">
        <w:rPr>
          <w:rFonts w:eastAsia="標楷體"/>
          <w:spacing w:val="26"/>
          <w:sz w:val="30"/>
        </w:rPr>
        <w:t>5</w:t>
      </w:r>
      <w:r w:rsidR="00C55BC0">
        <w:rPr>
          <w:rFonts w:eastAsia="標楷體"/>
          <w:spacing w:val="26"/>
          <w:sz w:val="30"/>
        </w:rPr>
        <w:t>9</w:t>
      </w:r>
      <w:r w:rsidR="00E43575">
        <w:rPr>
          <w:rFonts w:eastAsia="標楷體"/>
          <w:spacing w:val="26"/>
          <w:sz w:val="30"/>
        </w:rPr>
        <w:t>7</w:t>
      </w:r>
      <w:r w:rsidR="00177136" w:rsidRPr="005C5E31">
        <w:rPr>
          <w:rFonts w:eastAsia="標楷體" w:hint="eastAsia"/>
          <w:spacing w:val="26"/>
          <w:sz w:val="30"/>
        </w:rPr>
        <w:t>億餘元，占負債及權益總額之</w:t>
      </w:r>
      <w:r w:rsidR="008B2260" w:rsidRPr="005C5E31">
        <w:rPr>
          <w:rFonts w:eastAsia="標楷體" w:hint="eastAsia"/>
          <w:spacing w:val="26"/>
          <w:sz w:val="30"/>
        </w:rPr>
        <w:t>3.</w:t>
      </w:r>
      <w:r w:rsidR="00C55BC0">
        <w:rPr>
          <w:rFonts w:eastAsia="標楷體"/>
          <w:spacing w:val="26"/>
          <w:sz w:val="30"/>
        </w:rPr>
        <w:t>4</w:t>
      </w:r>
      <w:r w:rsidR="00177136" w:rsidRPr="005C5E31">
        <w:rPr>
          <w:rFonts w:eastAsia="標楷體" w:hint="eastAsia"/>
          <w:spacing w:val="26"/>
          <w:sz w:val="30"/>
        </w:rPr>
        <w:t>％</w:t>
      </w:r>
      <w:r>
        <w:rPr>
          <w:rFonts w:eastAsia="標楷體" w:hint="eastAsia"/>
          <w:spacing w:val="26"/>
          <w:sz w:val="30"/>
        </w:rPr>
        <w:t>。</w:t>
      </w:r>
    </w:p>
    <w:p w:rsidR="00E65E53" w:rsidRDefault="00E65E53" w:rsidP="008E16A9">
      <w:pPr>
        <w:kinsoku w:val="0"/>
        <w:overflowPunct w:val="0"/>
        <w:autoSpaceDE w:val="0"/>
        <w:autoSpaceDN w:val="0"/>
        <w:adjustRightInd w:val="0"/>
        <w:spacing w:line="620" w:lineRule="exact"/>
        <w:ind w:left="1248" w:hanging="227"/>
        <w:jc w:val="both"/>
        <w:rPr>
          <w:rFonts w:eastAsia="標楷體"/>
          <w:spacing w:val="26"/>
          <w:sz w:val="30"/>
        </w:rPr>
      </w:pPr>
      <w:r>
        <w:rPr>
          <w:rFonts w:eastAsia="標楷體"/>
          <w:spacing w:val="26"/>
          <w:sz w:val="30"/>
        </w:rPr>
        <w:t>2.</w:t>
      </w:r>
      <w:r w:rsidR="00177136" w:rsidRPr="005C5E31">
        <w:rPr>
          <w:rFonts w:eastAsia="標楷體" w:hint="eastAsia"/>
          <w:spacing w:val="26"/>
          <w:sz w:val="30"/>
        </w:rPr>
        <w:t>資本公積</w:t>
      </w:r>
      <w:r w:rsidR="00775886" w:rsidRPr="005C5E31">
        <w:rPr>
          <w:rFonts w:eastAsia="標楷體"/>
          <w:spacing w:val="26"/>
          <w:sz w:val="30"/>
        </w:rPr>
        <w:t>2,4</w:t>
      </w:r>
      <w:r w:rsidR="00C55BC0">
        <w:rPr>
          <w:rFonts w:eastAsia="標楷體"/>
          <w:spacing w:val="26"/>
          <w:sz w:val="30"/>
        </w:rPr>
        <w:t>8</w:t>
      </w:r>
      <w:r w:rsidR="00E43575">
        <w:rPr>
          <w:rFonts w:eastAsia="標楷體"/>
          <w:spacing w:val="26"/>
          <w:sz w:val="30"/>
        </w:rPr>
        <w:t>8</w:t>
      </w:r>
      <w:r w:rsidR="00177136" w:rsidRPr="005C5E31">
        <w:rPr>
          <w:rFonts w:eastAsia="標楷體" w:hint="eastAsia"/>
          <w:spacing w:val="26"/>
          <w:sz w:val="30"/>
        </w:rPr>
        <w:t>億餘元，占負債及權益總額之</w:t>
      </w:r>
      <w:r w:rsidR="00177136" w:rsidRPr="005C5E31">
        <w:rPr>
          <w:rFonts w:eastAsia="標楷體" w:hint="eastAsia"/>
          <w:spacing w:val="26"/>
          <w:sz w:val="30"/>
        </w:rPr>
        <w:t>0.</w:t>
      </w:r>
      <w:r w:rsidR="00D528F8">
        <w:rPr>
          <w:rFonts w:eastAsia="標楷體"/>
          <w:spacing w:val="26"/>
          <w:sz w:val="30"/>
        </w:rPr>
        <w:t>6</w:t>
      </w:r>
      <w:r w:rsidR="00177136" w:rsidRPr="005C5E31">
        <w:rPr>
          <w:rFonts w:eastAsia="標楷體" w:hint="eastAsia"/>
          <w:spacing w:val="26"/>
          <w:sz w:val="30"/>
        </w:rPr>
        <w:t>％</w:t>
      </w:r>
      <w:r>
        <w:rPr>
          <w:rFonts w:eastAsia="標楷體" w:hint="eastAsia"/>
          <w:spacing w:val="26"/>
          <w:sz w:val="30"/>
        </w:rPr>
        <w:t>。</w:t>
      </w:r>
    </w:p>
    <w:p w:rsidR="00E65E53" w:rsidRDefault="00E65E53" w:rsidP="008E16A9">
      <w:pPr>
        <w:kinsoku w:val="0"/>
        <w:overflowPunct w:val="0"/>
        <w:autoSpaceDE w:val="0"/>
        <w:autoSpaceDN w:val="0"/>
        <w:adjustRightInd w:val="0"/>
        <w:spacing w:line="620" w:lineRule="exact"/>
        <w:ind w:left="1248" w:hanging="227"/>
        <w:jc w:val="both"/>
        <w:rPr>
          <w:rFonts w:eastAsia="標楷體"/>
          <w:spacing w:val="26"/>
          <w:sz w:val="30"/>
        </w:rPr>
      </w:pPr>
      <w:r>
        <w:rPr>
          <w:rFonts w:eastAsia="標楷體" w:hint="eastAsia"/>
          <w:spacing w:val="26"/>
          <w:sz w:val="30"/>
        </w:rPr>
        <w:t>3</w:t>
      </w:r>
      <w:r>
        <w:rPr>
          <w:rFonts w:eastAsia="標楷體"/>
          <w:spacing w:val="26"/>
          <w:sz w:val="30"/>
        </w:rPr>
        <w:t>.</w:t>
      </w:r>
      <w:r w:rsidR="00177136" w:rsidRPr="005C5E31">
        <w:rPr>
          <w:rFonts w:eastAsia="標楷體" w:hint="eastAsia"/>
          <w:spacing w:val="26"/>
          <w:sz w:val="30"/>
        </w:rPr>
        <w:t>保留盈餘</w:t>
      </w:r>
      <w:r w:rsidR="00775886" w:rsidRPr="005C5E31">
        <w:rPr>
          <w:rFonts w:eastAsia="標楷體"/>
          <w:spacing w:val="26"/>
          <w:sz w:val="30"/>
        </w:rPr>
        <w:t>1</w:t>
      </w:r>
      <w:r w:rsidR="00775886" w:rsidRPr="005C5E31">
        <w:rPr>
          <w:rFonts w:eastAsia="標楷體" w:hint="eastAsia"/>
          <w:spacing w:val="26"/>
          <w:sz w:val="30"/>
        </w:rPr>
        <w:t>兆</w:t>
      </w:r>
      <w:r w:rsidR="00C55BC0">
        <w:rPr>
          <w:rFonts w:eastAsia="標楷體"/>
          <w:spacing w:val="26"/>
          <w:sz w:val="30"/>
        </w:rPr>
        <w:t>7,435</w:t>
      </w:r>
      <w:r w:rsidR="00177136" w:rsidRPr="005C5E31">
        <w:rPr>
          <w:rFonts w:eastAsia="標楷體" w:hint="eastAsia"/>
          <w:spacing w:val="26"/>
          <w:sz w:val="30"/>
        </w:rPr>
        <w:t>億餘元，占負債及權益總額之</w:t>
      </w:r>
      <w:r w:rsidR="00C55BC0">
        <w:rPr>
          <w:rFonts w:eastAsia="標楷體"/>
          <w:spacing w:val="26"/>
          <w:sz w:val="30"/>
        </w:rPr>
        <w:t>4</w:t>
      </w:r>
      <w:r w:rsidR="00177136" w:rsidRPr="005C5E31">
        <w:rPr>
          <w:rFonts w:eastAsia="標楷體" w:hint="eastAsia"/>
          <w:spacing w:val="26"/>
          <w:sz w:val="30"/>
        </w:rPr>
        <w:t>％</w:t>
      </w:r>
      <w:r>
        <w:rPr>
          <w:rFonts w:eastAsia="標楷體" w:hint="eastAsia"/>
          <w:spacing w:val="26"/>
          <w:sz w:val="30"/>
        </w:rPr>
        <w:t>。</w:t>
      </w:r>
    </w:p>
    <w:p w:rsidR="00E65E53" w:rsidRDefault="00E65E53" w:rsidP="008E16A9">
      <w:pPr>
        <w:kinsoku w:val="0"/>
        <w:overflowPunct w:val="0"/>
        <w:autoSpaceDE w:val="0"/>
        <w:autoSpaceDN w:val="0"/>
        <w:adjustRightInd w:val="0"/>
        <w:spacing w:line="620" w:lineRule="exact"/>
        <w:ind w:left="1248" w:hanging="227"/>
        <w:jc w:val="both"/>
        <w:rPr>
          <w:rFonts w:eastAsia="標楷體"/>
          <w:spacing w:val="26"/>
          <w:sz w:val="30"/>
        </w:rPr>
      </w:pPr>
      <w:r>
        <w:rPr>
          <w:rFonts w:eastAsia="標楷體" w:hint="eastAsia"/>
          <w:spacing w:val="26"/>
          <w:sz w:val="30"/>
        </w:rPr>
        <w:t>4</w:t>
      </w:r>
      <w:r>
        <w:rPr>
          <w:rFonts w:eastAsia="標楷體"/>
          <w:spacing w:val="26"/>
          <w:sz w:val="30"/>
        </w:rPr>
        <w:t>.</w:t>
      </w:r>
      <w:r w:rsidR="00177136" w:rsidRPr="005C5E31">
        <w:rPr>
          <w:rFonts w:eastAsia="標楷體" w:hint="eastAsia"/>
          <w:spacing w:val="26"/>
          <w:sz w:val="30"/>
        </w:rPr>
        <w:t>累積其他綜合</w:t>
      </w:r>
      <w:r w:rsidR="000A39B3">
        <w:rPr>
          <w:rFonts w:eastAsia="標楷體" w:hint="eastAsia"/>
          <w:spacing w:val="26"/>
          <w:sz w:val="30"/>
        </w:rPr>
        <w:t>利</w:t>
      </w:r>
      <w:r w:rsidR="00177136" w:rsidRPr="005C5E31">
        <w:rPr>
          <w:rFonts w:eastAsia="標楷體" w:hint="eastAsia"/>
          <w:spacing w:val="26"/>
          <w:sz w:val="30"/>
        </w:rPr>
        <w:t>益及非控制權益</w:t>
      </w:r>
      <w:r w:rsidR="00E57E6E">
        <w:rPr>
          <w:rFonts w:eastAsia="標楷體"/>
          <w:spacing w:val="26"/>
          <w:sz w:val="30"/>
        </w:rPr>
        <w:t>1,168</w:t>
      </w:r>
      <w:r w:rsidR="00E57E6E" w:rsidRPr="005C5E31">
        <w:rPr>
          <w:rFonts w:eastAsia="標楷體" w:hint="eastAsia"/>
          <w:spacing w:val="26"/>
          <w:sz w:val="30"/>
        </w:rPr>
        <w:t>億餘元</w:t>
      </w:r>
      <w:r w:rsidR="00177136" w:rsidRPr="005C5E31">
        <w:rPr>
          <w:rFonts w:eastAsia="標楷體" w:hint="eastAsia"/>
          <w:spacing w:val="26"/>
          <w:sz w:val="30"/>
        </w:rPr>
        <w:t>，占負債及權益總額之</w:t>
      </w:r>
      <w:r w:rsidR="00E57E6E">
        <w:rPr>
          <w:rFonts w:eastAsia="標楷體"/>
          <w:spacing w:val="26"/>
          <w:sz w:val="30"/>
        </w:rPr>
        <w:t>0.3</w:t>
      </w:r>
      <w:r w:rsidR="00177136" w:rsidRPr="005C5E31">
        <w:rPr>
          <w:rFonts w:eastAsia="標楷體" w:hint="eastAsia"/>
          <w:spacing w:val="26"/>
          <w:sz w:val="30"/>
        </w:rPr>
        <w:t>％。</w:t>
      </w:r>
    </w:p>
    <w:p w:rsidR="00133109" w:rsidRDefault="00057099" w:rsidP="00E10752">
      <w:pPr>
        <w:spacing w:beforeLines="25" w:before="60" w:afterLines="25" w:after="60" w:line="620" w:lineRule="exact"/>
        <w:ind w:left="1021"/>
        <w:jc w:val="both"/>
        <w:outlineLvl w:val="0"/>
        <w:rPr>
          <w:rFonts w:eastAsia="標楷體"/>
          <w:spacing w:val="24"/>
          <w:sz w:val="30"/>
        </w:rPr>
      </w:pPr>
      <w:r>
        <w:rPr>
          <w:rFonts w:eastAsia="標楷體" w:hint="eastAsia"/>
          <w:spacing w:val="26"/>
          <w:sz w:val="30"/>
        </w:rPr>
        <w:t>按</w:t>
      </w:r>
      <w:r w:rsidR="00177136" w:rsidRPr="005C5E31">
        <w:rPr>
          <w:rFonts w:eastAsia="標楷體" w:hint="eastAsia"/>
          <w:spacing w:val="26"/>
          <w:sz w:val="30"/>
        </w:rPr>
        <w:t>實收資本之結構，中央政府資本</w:t>
      </w:r>
      <w:r w:rsidR="00177136" w:rsidRPr="005C5E31">
        <w:rPr>
          <w:rFonts w:eastAsia="標楷體"/>
          <w:spacing w:val="26"/>
          <w:sz w:val="30"/>
        </w:rPr>
        <w:t>1</w:t>
      </w:r>
      <w:r w:rsidR="00177136" w:rsidRPr="005C5E31">
        <w:rPr>
          <w:rFonts w:eastAsia="標楷體" w:hint="eastAsia"/>
          <w:spacing w:val="26"/>
          <w:sz w:val="30"/>
        </w:rPr>
        <w:t>兆</w:t>
      </w:r>
      <w:r w:rsidR="00E57E6E">
        <w:rPr>
          <w:rFonts w:eastAsia="標楷體"/>
          <w:spacing w:val="26"/>
          <w:sz w:val="30"/>
        </w:rPr>
        <w:t>3,822</w:t>
      </w:r>
      <w:r w:rsidR="00177136" w:rsidRPr="005C5E31">
        <w:rPr>
          <w:rFonts w:eastAsia="標楷體" w:hint="eastAsia"/>
          <w:spacing w:val="26"/>
          <w:sz w:val="30"/>
        </w:rPr>
        <w:t>億餘元，占</w:t>
      </w:r>
      <w:r w:rsidR="00177136" w:rsidRPr="005C5E31">
        <w:rPr>
          <w:rFonts w:eastAsia="標楷體" w:hint="eastAsia"/>
          <w:spacing w:val="24"/>
          <w:sz w:val="30"/>
        </w:rPr>
        <w:t>實收資本之</w:t>
      </w:r>
      <w:r w:rsidR="00FA0D65" w:rsidRPr="005C5E31">
        <w:rPr>
          <w:rFonts w:eastAsia="標楷體" w:hint="eastAsia"/>
          <w:spacing w:val="24"/>
          <w:sz w:val="30"/>
        </w:rPr>
        <w:t>96.</w:t>
      </w:r>
      <w:r w:rsidR="00EE2F79">
        <w:rPr>
          <w:rFonts w:eastAsia="標楷體"/>
          <w:spacing w:val="24"/>
          <w:sz w:val="30"/>
        </w:rPr>
        <w:t>3</w:t>
      </w:r>
      <w:r w:rsidR="00177136" w:rsidRPr="005C5E31">
        <w:rPr>
          <w:rFonts w:eastAsia="標楷體" w:hint="eastAsia"/>
          <w:spacing w:val="24"/>
          <w:sz w:val="30"/>
        </w:rPr>
        <w:t>％；地方政府資本</w:t>
      </w:r>
      <w:r w:rsidR="00897EF3" w:rsidRPr="005C5E31">
        <w:rPr>
          <w:rFonts w:eastAsia="標楷體"/>
          <w:spacing w:val="24"/>
          <w:sz w:val="30"/>
        </w:rPr>
        <w:t>219</w:t>
      </w:r>
      <w:r w:rsidR="00177136" w:rsidRPr="005C5E31">
        <w:rPr>
          <w:rFonts w:eastAsia="標楷體" w:hint="eastAsia"/>
          <w:spacing w:val="24"/>
          <w:sz w:val="30"/>
        </w:rPr>
        <w:t>億餘元，占</w:t>
      </w:r>
      <w:r w:rsidR="00177136" w:rsidRPr="005C5E31">
        <w:rPr>
          <w:rFonts w:eastAsia="標楷體"/>
          <w:spacing w:val="24"/>
          <w:sz w:val="30"/>
        </w:rPr>
        <w:t>1</w:t>
      </w:r>
      <w:r w:rsidR="00177136" w:rsidRPr="005C5E31">
        <w:rPr>
          <w:rFonts w:eastAsia="標楷體" w:hint="eastAsia"/>
          <w:spacing w:val="24"/>
          <w:sz w:val="30"/>
        </w:rPr>
        <w:t>.</w:t>
      </w:r>
      <w:r w:rsidR="00EE2F79">
        <w:rPr>
          <w:rFonts w:eastAsia="標楷體"/>
          <w:spacing w:val="24"/>
          <w:sz w:val="30"/>
        </w:rPr>
        <w:t>5</w:t>
      </w:r>
      <w:r w:rsidR="00177136" w:rsidRPr="005C5E31">
        <w:rPr>
          <w:rFonts w:eastAsia="標楷體" w:hint="eastAsia"/>
          <w:spacing w:val="24"/>
          <w:sz w:val="30"/>
        </w:rPr>
        <w:t>％；其他政府機關資本</w:t>
      </w:r>
      <w:r w:rsidR="00FA0D65" w:rsidRPr="005C5E31">
        <w:rPr>
          <w:rFonts w:eastAsia="標楷體" w:hint="eastAsia"/>
          <w:spacing w:val="24"/>
          <w:sz w:val="30"/>
        </w:rPr>
        <w:t>1</w:t>
      </w:r>
      <w:r w:rsidR="00E57E6E">
        <w:rPr>
          <w:rFonts w:eastAsia="標楷體"/>
          <w:spacing w:val="24"/>
          <w:sz w:val="30"/>
        </w:rPr>
        <w:t>8</w:t>
      </w:r>
      <w:r w:rsidR="00FA0D65" w:rsidRPr="005C5E31">
        <w:rPr>
          <w:rFonts w:eastAsia="標楷體" w:hint="eastAsia"/>
          <w:spacing w:val="24"/>
          <w:sz w:val="30"/>
        </w:rPr>
        <w:t>7</w:t>
      </w:r>
      <w:r w:rsidR="00177136" w:rsidRPr="005C5E31">
        <w:rPr>
          <w:rFonts w:eastAsia="標楷體" w:hint="eastAsia"/>
          <w:spacing w:val="24"/>
          <w:sz w:val="30"/>
        </w:rPr>
        <w:t>億餘元，占</w:t>
      </w:r>
      <w:r w:rsidR="00FA0D65" w:rsidRPr="005C5E31">
        <w:rPr>
          <w:rFonts w:eastAsia="標楷體" w:hint="eastAsia"/>
          <w:spacing w:val="24"/>
          <w:sz w:val="30"/>
        </w:rPr>
        <w:t>1.</w:t>
      </w:r>
      <w:r w:rsidR="00BF3040" w:rsidRPr="005C5E31">
        <w:rPr>
          <w:rFonts w:eastAsia="標楷體" w:hint="eastAsia"/>
          <w:spacing w:val="24"/>
          <w:sz w:val="30"/>
        </w:rPr>
        <w:t>3</w:t>
      </w:r>
      <w:r w:rsidR="00177136" w:rsidRPr="005C5E31">
        <w:rPr>
          <w:rFonts w:eastAsia="標楷體" w:hint="eastAsia"/>
          <w:spacing w:val="24"/>
          <w:sz w:val="30"/>
        </w:rPr>
        <w:t>％；民股股東資本</w:t>
      </w:r>
      <w:r w:rsidR="00177136" w:rsidRPr="005C5E31">
        <w:rPr>
          <w:rFonts w:eastAsia="標楷體" w:hint="eastAsia"/>
          <w:spacing w:val="24"/>
          <w:sz w:val="30"/>
        </w:rPr>
        <w:t>121</w:t>
      </w:r>
      <w:r w:rsidR="00177136" w:rsidRPr="005C5E31">
        <w:rPr>
          <w:rFonts w:eastAsia="標楷體" w:hint="eastAsia"/>
          <w:spacing w:val="24"/>
          <w:sz w:val="30"/>
        </w:rPr>
        <w:t>億餘元，占</w:t>
      </w:r>
      <w:r w:rsidR="00177136" w:rsidRPr="005C5E31">
        <w:rPr>
          <w:rFonts w:eastAsia="標楷體" w:hint="eastAsia"/>
          <w:spacing w:val="24"/>
          <w:sz w:val="30"/>
        </w:rPr>
        <w:t>0.9</w:t>
      </w:r>
      <w:r w:rsidR="00177136" w:rsidRPr="005C5E31">
        <w:rPr>
          <w:rFonts w:eastAsia="標楷體" w:hint="eastAsia"/>
          <w:spacing w:val="24"/>
          <w:sz w:val="30"/>
        </w:rPr>
        <w:t>％。</w:t>
      </w:r>
    </w:p>
    <w:p w:rsidR="00F84BF0" w:rsidRDefault="00F84BF0" w:rsidP="00E10752">
      <w:pPr>
        <w:spacing w:beforeLines="25" w:before="60" w:afterLines="25" w:after="60" w:line="620" w:lineRule="exact"/>
        <w:ind w:left="1021"/>
        <w:jc w:val="both"/>
        <w:outlineLvl w:val="0"/>
        <w:rPr>
          <w:rFonts w:eastAsia="標楷體"/>
          <w:spacing w:val="20"/>
          <w:sz w:val="28"/>
          <w:szCs w:val="28"/>
        </w:rPr>
      </w:pPr>
    </w:p>
    <w:p w:rsidR="00177136" w:rsidRPr="00963D26" w:rsidRDefault="00177136" w:rsidP="00B260FC">
      <w:pPr>
        <w:tabs>
          <w:tab w:val="left" w:pos="3402"/>
        </w:tabs>
        <w:spacing w:beforeLines="50" w:before="120"/>
        <w:jc w:val="center"/>
        <w:outlineLvl w:val="0"/>
        <w:rPr>
          <w:rFonts w:eastAsia="標楷體"/>
          <w:b/>
          <w:spacing w:val="20"/>
          <w:sz w:val="28"/>
          <w:szCs w:val="28"/>
        </w:rPr>
      </w:pPr>
      <w:r w:rsidRPr="00963D26">
        <w:rPr>
          <w:rFonts w:eastAsia="標楷體" w:hint="eastAsia"/>
          <w:b/>
          <w:spacing w:val="20"/>
          <w:sz w:val="28"/>
          <w:szCs w:val="28"/>
        </w:rPr>
        <w:t>表</w:t>
      </w:r>
      <w:r w:rsidRPr="00963D26">
        <w:rPr>
          <w:rFonts w:eastAsia="標楷體" w:hint="eastAsia"/>
          <w:b/>
          <w:spacing w:val="20"/>
          <w:sz w:val="28"/>
          <w:szCs w:val="28"/>
        </w:rPr>
        <w:t xml:space="preserve">4 </w:t>
      </w:r>
      <w:r w:rsidRPr="00963D26">
        <w:rPr>
          <w:rFonts w:eastAsia="標楷體" w:hint="eastAsia"/>
          <w:b/>
          <w:spacing w:val="20"/>
          <w:sz w:val="28"/>
          <w:szCs w:val="28"/>
        </w:rPr>
        <w:t>國營事業</w:t>
      </w:r>
      <w:r w:rsidR="00E17694">
        <w:rPr>
          <w:rFonts w:eastAsia="標楷體" w:hint="eastAsia"/>
          <w:b/>
          <w:spacing w:val="20"/>
          <w:sz w:val="28"/>
          <w:szCs w:val="28"/>
        </w:rPr>
        <w:t>111</w:t>
      </w:r>
      <w:r w:rsidR="00E17694">
        <w:rPr>
          <w:rFonts w:eastAsia="標楷體" w:hint="eastAsia"/>
          <w:b/>
          <w:spacing w:val="20"/>
          <w:sz w:val="28"/>
          <w:szCs w:val="28"/>
        </w:rPr>
        <w:t>年度</w:t>
      </w:r>
      <w:r w:rsidRPr="00963D26">
        <w:rPr>
          <w:rFonts w:eastAsia="標楷體" w:hint="eastAsia"/>
          <w:b/>
          <w:spacing w:val="20"/>
          <w:sz w:val="28"/>
          <w:szCs w:val="28"/>
        </w:rPr>
        <w:t>資產、負債及權益</w:t>
      </w:r>
    </w:p>
    <w:p w:rsidR="00177136" w:rsidRPr="005C5E31" w:rsidRDefault="00177136" w:rsidP="00495AC4">
      <w:pPr>
        <w:tabs>
          <w:tab w:val="left" w:pos="3402"/>
        </w:tabs>
        <w:outlineLvl w:val="0"/>
        <w:rPr>
          <w:rFonts w:eastAsia="標楷體"/>
          <w:spacing w:val="20"/>
          <w:sz w:val="18"/>
          <w:szCs w:val="18"/>
        </w:rPr>
      </w:pPr>
      <w:r w:rsidRPr="005C5E31">
        <w:rPr>
          <w:rFonts w:eastAsia="標楷體" w:hint="eastAsia"/>
          <w:spacing w:val="20"/>
          <w:sz w:val="36"/>
        </w:rPr>
        <w:t xml:space="preserve">　</w:t>
      </w:r>
      <w:r w:rsidRPr="005C5E31">
        <w:rPr>
          <w:rFonts w:eastAsia="標楷體"/>
          <w:spacing w:val="20"/>
          <w:sz w:val="36"/>
        </w:rPr>
        <w:t xml:space="preserve">　　　　　　　</w:t>
      </w:r>
      <w:r w:rsidRPr="005C5E31">
        <w:rPr>
          <w:rFonts w:eastAsia="標楷體" w:hint="eastAsia"/>
          <w:spacing w:val="20"/>
          <w:sz w:val="36"/>
        </w:rPr>
        <w:t xml:space="preserve">　</w:t>
      </w:r>
      <w:r w:rsidRPr="005C5E31">
        <w:rPr>
          <w:rFonts w:eastAsia="標楷體"/>
          <w:spacing w:val="20"/>
          <w:sz w:val="36"/>
        </w:rPr>
        <w:t xml:space="preserve">　　　　　　　　　　</w:t>
      </w:r>
      <w:r w:rsidRPr="00495AC4">
        <w:rPr>
          <w:rFonts w:eastAsia="標楷體" w:hint="eastAsia"/>
          <w:spacing w:val="20"/>
          <w:sz w:val="22"/>
          <w:szCs w:val="18"/>
        </w:rPr>
        <w:t>單</w:t>
      </w:r>
      <w:r w:rsidRPr="00495AC4">
        <w:rPr>
          <w:rFonts w:eastAsia="標楷體"/>
          <w:spacing w:val="20"/>
          <w:sz w:val="22"/>
          <w:szCs w:val="18"/>
        </w:rPr>
        <w:t>位：</w:t>
      </w:r>
      <w:r w:rsidR="00734286" w:rsidRPr="00734286">
        <w:rPr>
          <w:rFonts w:eastAsia="標楷體" w:hint="eastAsia"/>
          <w:spacing w:val="20"/>
          <w:sz w:val="22"/>
          <w:szCs w:val="18"/>
        </w:rPr>
        <w:t>新臺幣億元</w:t>
      </w:r>
    </w:p>
    <w:tbl>
      <w:tblPr>
        <w:tblW w:w="4619" w:type="pct"/>
        <w:tblInd w:w="70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35"/>
        <w:gridCol w:w="1258"/>
        <w:gridCol w:w="639"/>
        <w:gridCol w:w="2662"/>
        <w:gridCol w:w="1170"/>
        <w:gridCol w:w="650"/>
      </w:tblGrid>
      <w:tr w:rsidR="004C2888" w:rsidRPr="006F2008" w:rsidTr="006D190C">
        <w:trPr>
          <w:trHeight w:val="339"/>
        </w:trPr>
        <w:tc>
          <w:tcPr>
            <w:tcW w:w="1575" w:type="pct"/>
            <w:vMerge w:val="restart"/>
            <w:tcBorders>
              <w:top w:val="single" w:sz="4" w:space="0" w:color="auto"/>
            </w:tcBorders>
            <w:shd w:val="clear" w:color="auto" w:fill="auto"/>
            <w:noWrap/>
            <w:vAlign w:val="center"/>
            <w:hideMark/>
          </w:tcPr>
          <w:p w:rsidR="00505F4D" w:rsidRPr="00B02927" w:rsidRDefault="00505F4D" w:rsidP="00326D9E">
            <w:pPr>
              <w:widowControl/>
              <w:jc w:val="center"/>
              <w:rPr>
                <w:rFonts w:ascii="標楷體" w:eastAsia="標楷體" w:hAnsi="標楷體" w:cs="新細明體"/>
                <w:b/>
                <w:bCs/>
                <w:kern w:val="0"/>
                <w:szCs w:val="24"/>
              </w:rPr>
            </w:pPr>
            <w:r w:rsidRPr="00B02927">
              <w:rPr>
                <w:rFonts w:ascii="標楷體" w:eastAsia="標楷體" w:hAnsi="標楷體" w:cs="新細明體" w:hint="eastAsia"/>
                <w:b/>
                <w:bCs/>
                <w:kern w:val="0"/>
                <w:szCs w:val="24"/>
              </w:rPr>
              <w:t>資  產</w:t>
            </w:r>
          </w:p>
        </w:tc>
        <w:tc>
          <w:tcPr>
            <w:tcW w:w="1018" w:type="pct"/>
            <w:gridSpan w:val="2"/>
            <w:tcBorders>
              <w:top w:val="single" w:sz="4" w:space="0" w:color="auto"/>
              <w:bottom w:val="nil"/>
            </w:tcBorders>
            <w:shd w:val="clear" w:color="auto" w:fill="auto"/>
            <w:noWrap/>
            <w:vAlign w:val="center"/>
            <w:hideMark/>
          </w:tcPr>
          <w:p w:rsidR="00505F4D" w:rsidRPr="00B02927" w:rsidRDefault="00505F4D" w:rsidP="00CE7D7D">
            <w:pPr>
              <w:widowControl/>
              <w:jc w:val="center"/>
              <w:rPr>
                <w:rFonts w:ascii="標楷體" w:eastAsia="標楷體" w:hAnsi="標楷體" w:cs="新細明體"/>
                <w:b/>
                <w:bCs/>
                <w:kern w:val="0"/>
                <w:szCs w:val="24"/>
              </w:rPr>
            </w:pPr>
            <w:r w:rsidRPr="00B02927">
              <w:rPr>
                <w:rFonts w:ascii="標楷體" w:eastAsia="標楷體" w:hAnsi="標楷體" w:cs="新細明體" w:hint="eastAsia"/>
                <w:b/>
                <w:bCs/>
                <w:kern w:val="0"/>
                <w:szCs w:val="24"/>
              </w:rPr>
              <w:t>決算</w:t>
            </w:r>
            <w:r w:rsidR="00CE7D7D" w:rsidRPr="00CE7D7D">
              <w:rPr>
                <w:rFonts w:ascii="標楷體" w:eastAsia="標楷體" w:hAnsi="標楷體" w:cs="新細明體" w:hint="eastAsia"/>
                <w:b/>
                <w:bCs/>
                <w:kern w:val="0"/>
                <w:szCs w:val="24"/>
              </w:rPr>
              <w:t>數</w:t>
            </w:r>
          </w:p>
        </w:tc>
        <w:tc>
          <w:tcPr>
            <w:tcW w:w="1429" w:type="pct"/>
            <w:vMerge w:val="restart"/>
            <w:tcBorders>
              <w:top w:val="single" w:sz="4" w:space="0" w:color="auto"/>
            </w:tcBorders>
            <w:shd w:val="clear" w:color="auto" w:fill="auto"/>
            <w:noWrap/>
            <w:vAlign w:val="center"/>
            <w:hideMark/>
          </w:tcPr>
          <w:p w:rsidR="00505F4D" w:rsidRPr="00B02927" w:rsidRDefault="00505F4D" w:rsidP="00326D9E">
            <w:pPr>
              <w:widowControl/>
              <w:jc w:val="center"/>
              <w:rPr>
                <w:rFonts w:ascii="標楷體" w:eastAsia="標楷體" w:hAnsi="標楷體" w:cs="新細明體"/>
                <w:b/>
                <w:bCs/>
                <w:kern w:val="0"/>
                <w:szCs w:val="24"/>
              </w:rPr>
            </w:pPr>
            <w:r w:rsidRPr="00B02927">
              <w:rPr>
                <w:rFonts w:ascii="標楷體" w:eastAsia="標楷體" w:hAnsi="標楷體" w:cs="新細明體" w:hint="eastAsia"/>
                <w:b/>
                <w:bCs/>
                <w:kern w:val="0"/>
                <w:szCs w:val="24"/>
              </w:rPr>
              <w:t>負債及權益</w:t>
            </w:r>
          </w:p>
        </w:tc>
        <w:tc>
          <w:tcPr>
            <w:tcW w:w="977" w:type="pct"/>
            <w:gridSpan w:val="2"/>
            <w:tcBorders>
              <w:top w:val="single" w:sz="4" w:space="0" w:color="auto"/>
              <w:bottom w:val="nil"/>
            </w:tcBorders>
            <w:shd w:val="clear" w:color="auto" w:fill="auto"/>
            <w:noWrap/>
            <w:vAlign w:val="center"/>
            <w:hideMark/>
          </w:tcPr>
          <w:p w:rsidR="00505F4D" w:rsidRPr="00B02927" w:rsidRDefault="00505F4D" w:rsidP="00CE7D7D">
            <w:pPr>
              <w:widowControl/>
              <w:jc w:val="center"/>
              <w:rPr>
                <w:rFonts w:eastAsia="標楷體"/>
                <w:b/>
                <w:bCs/>
                <w:kern w:val="0"/>
                <w:szCs w:val="24"/>
              </w:rPr>
            </w:pPr>
            <w:r w:rsidRPr="00B02927">
              <w:rPr>
                <w:rFonts w:ascii="標楷體" w:eastAsia="標楷體" w:hAnsi="標楷體" w:cs="新細明體" w:hint="eastAsia"/>
                <w:b/>
                <w:bCs/>
                <w:kern w:val="0"/>
                <w:szCs w:val="24"/>
              </w:rPr>
              <w:t>決算</w:t>
            </w:r>
            <w:r w:rsidR="00CE7D7D" w:rsidRPr="00CE7D7D">
              <w:rPr>
                <w:rFonts w:ascii="標楷體" w:eastAsia="標楷體" w:hAnsi="標楷體" w:cs="新細明體" w:hint="eastAsia"/>
                <w:b/>
                <w:bCs/>
                <w:kern w:val="0"/>
                <w:szCs w:val="24"/>
              </w:rPr>
              <w:t>數</w:t>
            </w:r>
          </w:p>
        </w:tc>
      </w:tr>
      <w:tr w:rsidR="004C2888" w:rsidRPr="006F2008" w:rsidTr="006D190C">
        <w:trPr>
          <w:trHeight w:val="339"/>
        </w:trPr>
        <w:tc>
          <w:tcPr>
            <w:tcW w:w="1575" w:type="pct"/>
            <w:vMerge/>
            <w:tcBorders>
              <w:bottom w:val="single" w:sz="4" w:space="0" w:color="auto"/>
            </w:tcBorders>
            <w:shd w:val="clear" w:color="auto" w:fill="auto"/>
            <w:noWrap/>
            <w:vAlign w:val="center"/>
          </w:tcPr>
          <w:p w:rsidR="00505F4D" w:rsidRPr="00B02927" w:rsidRDefault="00505F4D" w:rsidP="00505F4D">
            <w:pPr>
              <w:widowControl/>
              <w:jc w:val="center"/>
              <w:rPr>
                <w:rFonts w:ascii="標楷體" w:eastAsia="標楷體" w:hAnsi="標楷體" w:cs="新細明體"/>
                <w:b/>
                <w:bCs/>
                <w:kern w:val="0"/>
                <w:szCs w:val="24"/>
              </w:rPr>
            </w:pPr>
          </w:p>
        </w:tc>
        <w:tc>
          <w:tcPr>
            <w:tcW w:w="675" w:type="pct"/>
            <w:tcBorders>
              <w:top w:val="nil"/>
              <w:bottom w:val="single" w:sz="4" w:space="0" w:color="auto"/>
            </w:tcBorders>
            <w:shd w:val="clear" w:color="auto" w:fill="auto"/>
            <w:noWrap/>
            <w:vAlign w:val="center"/>
          </w:tcPr>
          <w:p w:rsidR="00505F4D" w:rsidRPr="00B02927" w:rsidRDefault="00505F4D" w:rsidP="00505F4D">
            <w:pPr>
              <w:widowControl/>
              <w:jc w:val="center"/>
              <w:rPr>
                <w:rFonts w:ascii="標楷體" w:eastAsia="標楷體" w:hAnsi="標楷體" w:cs="新細明體"/>
                <w:b/>
                <w:bCs/>
                <w:kern w:val="0"/>
                <w:szCs w:val="24"/>
              </w:rPr>
            </w:pPr>
          </w:p>
        </w:tc>
        <w:tc>
          <w:tcPr>
            <w:tcW w:w="343" w:type="pct"/>
            <w:tcBorders>
              <w:top w:val="single" w:sz="4" w:space="0" w:color="auto"/>
              <w:bottom w:val="single" w:sz="4" w:space="0" w:color="auto"/>
            </w:tcBorders>
            <w:vAlign w:val="center"/>
          </w:tcPr>
          <w:p w:rsidR="00505F4D" w:rsidRPr="00B02927" w:rsidRDefault="00505F4D" w:rsidP="00505F4D">
            <w:pPr>
              <w:widowControl/>
              <w:jc w:val="center"/>
              <w:rPr>
                <w:rFonts w:ascii="標楷體" w:eastAsia="標楷體" w:hAnsi="標楷體" w:cs="新細明體"/>
                <w:b/>
                <w:bCs/>
                <w:kern w:val="0"/>
                <w:szCs w:val="24"/>
              </w:rPr>
            </w:pPr>
            <w:r w:rsidRPr="00B02927">
              <w:rPr>
                <w:rFonts w:ascii="標楷體" w:eastAsia="標楷體" w:hAnsi="標楷體" w:cs="新細明體" w:hint="eastAsia"/>
                <w:b/>
                <w:bCs/>
                <w:kern w:val="0"/>
                <w:szCs w:val="24"/>
              </w:rPr>
              <w:t>％</w:t>
            </w:r>
          </w:p>
        </w:tc>
        <w:tc>
          <w:tcPr>
            <w:tcW w:w="1429" w:type="pct"/>
            <w:vMerge/>
            <w:tcBorders>
              <w:bottom w:val="single" w:sz="4" w:space="0" w:color="auto"/>
            </w:tcBorders>
            <w:shd w:val="clear" w:color="auto" w:fill="auto"/>
            <w:noWrap/>
            <w:vAlign w:val="center"/>
          </w:tcPr>
          <w:p w:rsidR="00505F4D" w:rsidRPr="00B02927" w:rsidRDefault="00505F4D" w:rsidP="00505F4D">
            <w:pPr>
              <w:widowControl/>
              <w:jc w:val="center"/>
              <w:rPr>
                <w:rFonts w:ascii="標楷體" w:eastAsia="標楷體" w:hAnsi="標楷體" w:cs="新細明體"/>
                <w:b/>
                <w:bCs/>
                <w:kern w:val="0"/>
                <w:szCs w:val="24"/>
              </w:rPr>
            </w:pPr>
          </w:p>
        </w:tc>
        <w:tc>
          <w:tcPr>
            <w:tcW w:w="628" w:type="pct"/>
            <w:tcBorders>
              <w:top w:val="nil"/>
              <w:bottom w:val="single" w:sz="4" w:space="0" w:color="auto"/>
            </w:tcBorders>
            <w:shd w:val="clear" w:color="auto" w:fill="auto"/>
            <w:noWrap/>
            <w:vAlign w:val="center"/>
          </w:tcPr>
          <w:p w:rsidR="00505F4D" w:rsidRPr="00B02927" w:rsidRDefault="00505F4D" w:rsidP="00505F4D">
            <w:pPr>
              <w:widowControl/>
              <w:jc w:val="center"/>
              <w:rPr>
                <w:rFonts w:ascii="標楷體" w:eastAsia="標楷體" w:hAnsi="標楷體" w:cs="新細明體"/>
                <w:b/>
                <w:bCs/>
                <w:kern w:val="0"/>
                <w:szCs w:val="24"/>
              </w:rPr>
            </w:pPr>
          </w:p>
        </w:tc>
        <w:tc>
          <w:tcPr>
            <w:tcW w:w="349" w:type="pct"/>
            <w:tcBorders>
              <w:top w:val="single" w:sz="4" w:space="0" w:color="auto"/>
              <w:bottom w:val="single" w:sz="4" w:space="0" w:color="auto"/>
            </w:tcBorders>
            <w:vAlign w:val="center"/>
          </w:tcPr>
          <w:p w:rsidR="00505F4D" w:rsidRPr="00B02927" w:rsidRDefault="00505F4D" w:rsidP="00505F4D">
            <w:pPr>
              <w:widowControl/>
              <w:jc w:val="center"/>
              <w:rPr>
                <w:rFonts w:ascii="標楷體" w:eastAsia="標楷體" w:hAnsi="標楷體" w:cs="新細明體"/>
                <w:b/>
                <w:bCs/>
                <w:kern w:val="0"/>
                <w:szCs w:val="24"/>
              </w:rPr>
            </w:pPr>
            <w:r w:rsidRPr="00B02927">
              <w:rPr>
                <w:rFonts w:ascii="標楷體" w:eastAsia="標楷體" w:hAnsi="標楷體" w:cs="新細明體" w:hint="eastAsia"/>
                <w:b/>
                <w:bCs/>
                <w:kern w:val="0"/>
                <w:szCs w:val="24"/>
              </w:rPr>
              <w:t>％</w:t>
            </w:r>
          </w:p>
        </w:tc>
      </w:tr>
      <w:tr w:rsidR="004C2888" w:rsidRPr="006F2008" w:rsidTr="006D190C">
        <w:trPr>
          <w:trHeight w:val="339"/>
        </w:trPr>
        <w:tc>
          <w:tcPr>
            <w:tcW w:w="1575" w:type="pct"/>
            <w:tcBorders>
              <w:top w:val="single" w:sz="4" w:space="0" w:color="auto"/>
              <w:right w:val="single" w:sz="4" w:space="0" w:color="auto"/>
            </w:tcBorders>
            <w:shd w:val="clear" w:color="auto" w:fill="auto"/>
            <w:hideMark/>
          </w:tcPr>
          <w:p w:rsidR="006171BB" w:rsidRPr="00B02927" w:rsidRDefault="006171BB" w:rsidP="006171BB">
            <w:pPr>
              <w:widowControl/>
              <w:spacing w:line="240" w:lineRule="exact"/>
              <w:rPr>
                <w:rFonts w:ascii="標楷體" w:eastAsia="標楷體" w:hAnsi="標楷體" w:cs="新細明體"/>
                <w:b/>
                <w:bCs/>
                <w:kern w:val="0"/>
                <w:szCs w:val="24"/>
              </w:rPr>
            </w:pPr>
            <w:r w:rsidRPr="00B02927">
              <w:rPr>
                <w:rFonts w:ascii="標楷體" w:eastAsia="標楷體" w:hAnsi="標楷體" w:cs="新細明體" w:hint="eastAsia"/>
                <w:b/>
                <w:bCs/>
                <w:kern w:val="0"/>
                <w:szCs w:val="24"/>
              </w:rPr>
              <w:t>資產</w:t>
            </w:r>
          </w:p>
        </w:tc>
        <w:tc>
          <w:tcPr>
            <w:tcW w:w="675" w:type="pct"/>
            <w:tcBorders>
              <w:top w:val="nil"/>
              <w:left w:val="single" w:sz="4" w:space="0" w:color="auto"/>
              <w:bottom w:val="nil"/>
              <w:right w:val="single" w:sz="4" w:space="0" w:color="auto"/>
            </w:tcBorders>
            <w:shd w:val="clear" w:color="auto" w:fill="auto"/>
            <w:noWrap/>
            <w:hideMark/>
          </w:tcPr>
          <w:p w:rsidR="006171BB" w:rsidRDefault="006171BB" w:rsidP="006171BB">
            <w:pPr>
              <w:widowControl/>
              <w:jc w:val="right"/>
              <w:rPr>
                <w:rFonts w:eastAsia="新細明體"/>
                <w:b/>
                <w:bCs/>
              </w:rPr>
            </w:pPr>
            <w:r>
              <w:rPr>
                <w:b/>
                <w:bCs/>
              </w:rPr>
              <w:t>431,918.19</w:t>
            </w:r>
          </w:p>
        </w:tc>
        <w:tc>
          <w:tcPr>
            <w:tcW w:w="343" w:type="pct"/>
            <w:tcBorders>
              <w:top w:val="nil"/>
              <w:left w:val="single" w:sz="4" w:space="0" w:color="auto"/>
              <w:bottom w:val="nil"/>
              <w:right w:val="single" w:sz="4" w:space="0" w:color="auto"/>
            </w:tcBorders>
            <w:shd w:val="clear" w:color="auto" w:fill="auto"/>
          </w:tcPr>
          <w:p w:rsidR="006171BB" w:rsidRDefault="006171BB" w:rsidP="006171BB">
            <w:pPr>
              <w:jc w:val="right"/>
              <w:rPr>
                <w:b/>
                <w:bCs/>
              </w:rPr>
            </w:pPr>
            <w:r>
              <w:rPr>
                <w:b/>
                <w:bCs/>
              </w:rPr>
              <w:t>100.0</w:t>
            </w:r>
          </w:p>
        </w:tc>
        <w:tc>
          <w:tcPr>
            <w:tcW w:w="1429" w:type="pct"/>
            <w:tcBorders>
              <w:top w:val="single" w:sz="4" w:space="0" w:color="auto"/>
              <w:left w:val="single" w:sz="4" w:space="0" w:color="auto"/>
              <w:right w:val="single" w:sz="4" w:space="0" w:color="auto"/>
            </w:tcBorders>
            <w:shd w:val="clear" w:color="auto" w:fill="auto"/>
            <w:hideMark/>
          </w:tcPr>
          <w:p w:rsidR="006171BB" w:rsidRDefault="006171BB" w:rsidP="006171BB">
            <w:pPr>
              <w:widowControl/>
              <w:rPr>
                <w:rFonts w:ascii="標楷體" w:eastAsia="標楷體" w:hAnsi="標楷體"/>
                <w:b/>
                <w:bCs/>
              </w:rPr>
            </w:pPr>
            <w:r>
              <w:rPr>
                <w:rFonts w:ascii="標楷體" w:eastAsia="標楷體" w:hAnsi="標楷體" w:hint="eastAsia"/>
                <w:b/>
                <w:bCs/>
              </w:rPr>
              <w:t>負債</w:t>
            </w:r>
          </w:p>
        </w:tc>
        <w:tc>
          <w:tcPr>
            <w:tcW w:w="628" w:type="pct"/>
            <w:tcBorders>
              <w:top w:val="nil"/>
              <w:left w:val="single" w:sz="4" w:space="0" w:color="auto"/>
              <w:bottom w:val="nil"/>
              <w:right w:val="single" w:sz="4" w:space="0" w:color="auto"/>
            </w:tcBorders>
            <w:shd w:val="clear" w:color="auto" w:fill="auto"/>
            <w:noWrap/>
            <w:hideMark/>
          </w:tcPr>
          <w:p w:rsidR="006171BB" w:rsidRDefault="006171BB" w:rsidP="00DD7653">
            <w:pPr>
              <w:jc w:val="right"/>
              <w:rPr>
                <w:rFonts w:eastAsia="新細明體"/>
                <w:b/>
                <w:bCs/>
              </w:rPr>
            </w:pPr>
            <w:r>
              <w:rPr>
                <w:b/>
                <w:bCs/>
              </w:rPr>
              <w:t>396,227.8</w:t>
            </w:r>
            <w:r w:rsidR="00DD7653">
              <w:rPr>
                <w:b/>
                <w:bCs/>
              </w:rPr>
              <w:t>0</w:t>
            </w:r>
          </w:p>
        </w:tc>
        <w:tc>
          <w:tcPr>
            <w:tcW w:w="349" w:type="pct"/>
            <w:tcBorders>
              <w:top w:val="nil"/>
              <w:left w:val="single" w:sz="4" w:space="0" w:color="auto"/>
              <w:bottom w:val="nil"/>
              <w:right w:val="single" w:sz="4" w:space="0" w:color="auto"/>
            </w:tcBorders>
            <w:shd w:val="clear" w:color="auto" w:fill="auto"/>
          </w:tcPr>
          <w:p w:rsidR="006171BB" w:rsidRDefault="006171BB" w:rsidP="006171BB">
            <w:pPr>
              <w:jc w:val="right"/>
              <w:rPr>
                <w:b/>
                <w:bCs/>
              </w:rPr>
            </w:pPr>
            <w:r>
              <w:rPr>
                <w:b/>
                <w:bCs/>
              </w:rPr>
              <w:t>91.7</w:t>
            </w:r>
          </w:p>
        </w:tc>
      </w:tr>
      <w:tr w:rsidR="004C2888" w:rsidRPr="006F2008" w:rsidTr="006D190C">
        <w:trPr>
          <w:trHeight w:val="339"/>
        </w:trPr>
        <w:tc>
          <w:tcPr>
            <w:tcW w:w="1575" w:type="pct"/>
            <w:tcBorders>
              <w:right w:val="single" w:sz="4" w:space="0" w:color="auto"/>
            </w:tcBorders>
            <w:shd w:val="clear" w:color="auto" w:fill="auto"/>
            <w:hideMark/>
          </w:tcPr>
          <w:p w:rsidR="006171BB" w:rsidRPr="00B02927" w:rsidRDefault="006171BB" w:rsidP="006171BB">
            <w:pPr>
              <w:widowControl/>
              <w:spacing w:line="240" w:lineRule="exact"/>
              <w:ind w:firstLineChars="50" w:firstLine="120"/>
              <w:rPr>
                <w:rFonts w:ascii="標楷體" w:eastAsia="標楷體" w:hAnsi="標楷體" w:cs="新細明體"/>
                <w:kern w:val="0"/>
                <w:szCs w:val="24"/>
              </w:rPr>
            </w:pPr>
            <w:r w:rsidRPr="00B02927">
              <w:rPr>
                <w:rFonts w:ascii="標楷體" w:eastAsia="標楷體" w:hAnsi="標楷體" w:cs="新細明體" w:hint="eastAsia"/>
                <w:kern w:val="0"/>
                <w:szCs w:val="24"/>
              </w:rPr>
              <w:t>流動資產</w:t>
            </w:r>
          </w:p>
        </w:tc>
        <w:tc>
          <w:tcPr>
            <w:tcW w:w="675" w:type="pct"/>
            <w:tcBorders>
              <w:top w:val="nil"/>
              <w:left w:val="single" w:sz="4" w:space="0" w:color="auto"/>
              <w:bottom w:val="nil"/>
              <w:right w:val="single" w:sz="4" w:space="0" w:color="auto"/>
            </w:tcBorders>
            <w:shd w:val="clear" w:color="auto" w:fill="auto"/>
            <w:noWrap/>
            <w:hideMark/>
          </w:tcPr>
          <w:p w:rsidR="006171BB" w:rsidRDefault="006171BB" w:rsidP="006171BB">
            <w:pPr>
              <w:jc w:val="right"/>
            </w:pPr>
            <w:r>
              <w:t>106,025.50</w:t>
            </w:r>
          </w:p>
        </w:tc>
        <w:tc>
          <w:tcPr>
            <w:tcW w:w="343" w:type="pct"/>
            <w:tcBorders>
              <w:top w:val="nil"/>
              <w:left w:val="single" w:sz="4" w:space="0" w:color="auto"/>
              <w:bottom w:val="nil"/>
              <w:right w:val="single" w:sz="4" w:space="0" w:color="auto"/>
            </w:tcBorders>
            <w:shd w:val="clear" w:color="auto" w:fill="auto"/>
          </w:tcPr>
          <w:p w:rsidR="006171BB" w:rsidRDefault="006171BB" w:rsidP="006171BB">
            <w:pPr>
              <w:jc w:val="right"/>
            </w:pPr>
            <w:r>
              <w:t>24.6</w:t>
            </w:r>
          </w:p>
        </w:tc>
        <w:tc>
          <w:tcPr>
            <w:tcW w:w="1429" w:type="pct"/>
            <w:tcBorders>
              <w:left w:val="single" w:sz="4" w:space="0" w:color="auto"/>
              <w:right w:val="single" w:sz="4" w:space="0" w:color="auto"/>
            </w:tcBorders>
            <w:shd w:val="clear" w:color="auto" w:fill="auto"/>
            <w:hideMark/>
          </w:tcPr>
          <w:p w:rsidR="006171BB" w:rsidRDefault="006171BB" w:rsidP="004C2888">
            <w:pPr>
              <w:widowControl/>
              <w:spacing w:line="240" w:lineRule="exact"/>
              <w:ind w:firstLineChars="50" w:firstLine="120"/>
              <w:rPr>
                <w:rFonts w:ascii="標楷體" w:eastAsia="標楷體" w:hAnsi="標楷體" w:cs="新細明體"/>
              </w:rPr>
            </w:pPr>
            <w:r w:rsidRPr="004C2888">
              <w:rPr>
                <w:rFonts w:ascii="標楷體" w:eastAsia="標楷體" w:hAnsi="標楷體" w:cs="新細明體" w:hint="eastAsia"/>
                <w:kern w:val="0"/>
                <w:szCs w:val="24"/>
              </w:rPr>
              <w:t>流動</w:t>
            </w:r>
            <w:r>
              <w:rPr>
                <w:rFonts w:ascii="標楷體" w:eastAsia="標楷體" w:hAnsi="標楷體" w:hint="eastAsia"/>
              </w:rPr>
              <w:t>負債</w:t>
            </w:r>
          </w:p>
        </w:tc>
        <w:tc>
          <w:tcPr>
            <w:tcW w:w="628" w:type="pct"/>
            <w:tcBorders>
              <w:top w:val="nil"/>
              <w:left w:val="single" w:sz="4" w:space="0" w:color="auto"/>
              <w:bottom w:val="nil"/>
              <w:right w:val="single" w:sz="4" w:space="0" w:color="auto"/>
            </w:tcBorders>
            <w:shd w:val="clear" w:color="auto" w:fill="auto"/>
            <w:noWrap/>
            <w:hideMark/>
          </w:tcPr>
          <w:p w:rsidR="006171BB" w:rsidRDefault="006171BB" w:rsidP="00DD7653">
            <w:pPr>
              <w:jc w:val="right"/>
              <w:rPr>
                <w:rFonts w:eastAsia="新細明體"/>
              </w:rPr>
            </w:pPr>
            <w:r>
              <w:t>193,171.7</w:t>
            </w:r>
            <w:r w:rsidR="00DD7653">
              <w:t>0</w:t>
            </w:r>
          </w:p>
        </w:tc>
        <w:tc>
          <w:tcPr>
            <w:tcW w:w="349" w:type="pct"/>
            <w:tcBorders>
              <w:top w:val="nil"/>
              <w:left w:val="single" w:sz="4" w:space="0" w:color="auto"/>
              <w:bottom w:val="nil"/>
              <w:right w:val="single" w:sz="4" w:space="0" w:color="auto"/>
            </w:tcBorders>
            <w:shd w:val="clear" w:color="auto" w:fill="auto"/>
          </w:tcPr>
          <w:p w:rsidR="006171BB" w:rsidRDefault="006171BB" w:rsidP="006171BB">
            <w:pPr>
              <w:jc w:val="right"/>
            </w:pPr>
            <w:r>
              <w:t>44.7</w:t>
            </w:r>
          </w:p>
        </w:tc>
      </w:tr>
      <w:tr w:rsidR="004C2888" w:rsidRPr="006F2008" w:rsidTr="006D190C">
        <w:trPr>
          <w:trHeight w:val="132"/>
        </w:trPr>
        <w:tc>
          <w:tcPr>
            <w:tcW w:w="1575" w:type="pct"/>
            <w:tcBorders>
              <w:right w:val="single" w:sz="4" w:space="0" w:color="auto"/>
            </w:tcBorders>
            <w:shd w:val="clear" w:color="auto" w:fill="auto"/>
            <w:hideMark/>
          </w:tcPr>
          <w:p w:rsidR="006171BB" w:rsidRPr="00B02927" w:rsidRDefault="006171BB" w:rsidP="006171BB">
            <w:pPr>
              <w:widowControl/>
              <w:spacing w:line="240" w:lineRule="exact"/>
              <w:ind w:firstLineChars="50" w:firstLine="120"/>
              <w:rPr>
                <w:rFonts w:ascii="標楷體" w:eastAsia="標楷體" w:hAnsi="標楷體" w:cs="新細明體"/>
                <w:kern w:val="0"/>
                <w:szCs w:val="24"/>
              </w:rPr>
            </w:pPr>
            <w:r w:rsidRPr="00B02927">
              <w:rPr>
                <w:rFonts w:ascii="標楷體" w:eastAsia="標楷體" w:hAnsi="標楷體" w:cs="新細明體" w:hint="eastAsia"/>
                <w:kern w:val="0"/>
                <w:szCs w:val="24"/>
              </w:rPr>
              <w:t>押匯貼現及放款</w:t>
            </w:r>
          </w:p>
        </w:tc>
        <w:tc>
          <w:tcPr>
            <w:tcW w:w="675" w:type="pct"/>
            <w:tcBorders>
              <w:top w:val="nil"/>
              <w:left w:val="single" w:sz="4" w:space="0" w:color="auto"/>
              <w:bottom w:val="nil"/>
              <w:right w:val="single" w:sz="4" w:space="0" w:color="auto"/>
            </w:tcBorders>
            <w:shd w:val="clear" w:color="auto" w:fill="auto"/>
            <w:noWrap/>
            <w:hideMark/>
          </w:tcPr>
          <w:p w:rsidR="006171BB" w:rsidRDefault="006171BB" w:rsidP="00133109">
            <w:pPr>
              <w:jc w:val="right"/>
            </w:pPr>
            <w:r>
              <w:t>63,92</w:t>
            </w:r>
            <w:r w:rsidR="00133109">
              <w:t>2.00</w:t>
            </w:r>
          </w:p>
        </w:tc>
        <w:tc>
          <w:tcPr>
            <w:tcW w:w="343" w:type="pct"/>
            <w:tcBorders>
              <w:top w:val="nil"/>
              <w:left w:val="single" w:sz="4" w:space="0" w:color="auto"/>
              <w:bottom w:val="nil"/>
              <w:right w:val="single" w:sz="4" w:space="0" w:color="auto"/>
            </w:tcBorders>
            <w:shd w:val="clear" w:color="auto" w:fill="auto"/>
          </w:tcPr>
          <w:p w:rsidR="006171BB" w:rsidRDefault="006171BB" w:rsidP="006171BB">
            <w:pPr>
              <w:jc w:val="right"/>
            </w:pPr>
            <w:r>
              <w:t>14.8</w:t>
            </w:r>
          </w:p>
        </w:tc>
        <w:tc>
          <w:tcPr>
            <w:tcW w:w="1429" w:type="pct"/>
            <w:tcBorders>
              <w:left w:val="single" w:sz="4" w:space="0" w:color="auto"/>
              <w:right w:val="single" w:sz="4" w:space="0" w:color="auto"/>
            </w:tcBorders>
            <w:shd w:val="clear" w:color="auto" w:fill="auto"/>
            <w:hideMark/>
          </w:tcPr>
          <w:p w:rsidR="006171BB" w:rsidRDefault="006171BB" w:rsidP="004C2888">
            <w:pPr>
              <w:widowControl/>
              <w:spacing w:line="240" w:lineRule="exact"/>
              <w:ind w:firstLineChars="50" w:firstLine="120"/>
              <w:rPr>
                <w:rFonts w:ascii="標楷體" w:eastAsia="標楷體" w:hAnsi="標楷體" w:cs="新細明體"/>
              </w:rPr>
            </w:pPr>
            <w:r w:rsidRPr="004C2888">
              <w:rPr>
                <w:rFonts w:ascii="標楷體" w:eastAsia="標楷體" w:hAnsi="標楷體" w:cs="新細明體" w:hint="eastAsia"/>
                <w:kern w:val="0"/>
                <w:szCs w:val="24"/>
              </w:rPr>
              <w:t>存款</w:t>
            </w:r>
            <w:r>
              <w:rPr>
                <w:rFonts w:ascii="標楷體" w:eastAsia="標楷體" w:hAnsi="標楷體" w:hint="eastAsia"/>
              </w:rPr>
              <w:t>、匯款及金融債券</w:t>
            </w:r>
          </w:p>
        </w:tc>
        <w:tc>
          <w:tcPr>
            <w:tcW w:w="628" w:type="pct"/>
            <w:tcBorders>
              <w:top w:val="nil"/>
              <w:left w:val="single" w:sz="4" w:space="0" w:color="auto"/>
              <w:bottom w:val="nil"/>
              <w:right w:val="single" w:sz="4" w:space="0" w:color="auto"/>
            </w:tcBorders>
            <w:shd w:val="clear" w:color="auto" w:fill="auto"/>
            <w:noWrap/>
            <w:hideMark/>
          </w:tcPr>
          <w:p w:rsidR="006171BB" w:rsidRDefault="006171BB" w:rsidP="006171BB">
            <w:pPr>
              <w:jc w:val="right"/>
              <w:rPr>
                <w:rFonts w:eastAsia="新細明體"/>
              </w:rPr>
            </w:pPr>
            <w:r>
              <w:t>150,865.01</w:t>
            </w:r>
          </w:p>
        </w:tc>
        <w:tc>
          <w:tcPr>
            <w:tcW w:w="349" w:type="pct"/>
            <w:tcBorders>
              <w:top w:val="nil"/>
              <w:left w:val="single" w:sz="4" w:space="0" w:color="auto"/>
              <w:bottom w:val="nil"/>
              <w:right w:val="single" w:sz="4" w:space="0" w:color="auto"/>
            </w:tcBorders>
            <w:shd w:val="clear" w:color="auto" w:fill="auto"/>
          </w:tcPr>
          <w:p w:rsidR="006171BB" w:rsidRDefault="006171BB" w:rsidP="006171BB">
            <w:pPr>
              <w:jc w:val="right"/>
            </w:pPr>
            <w:r>
              <w:t>34.9</w:t>
            </w:r>
          </w:p>
        </w:tc>
      </w:tr>
      <w:tr w:rsidR="004C2888" w:rsidRPr="006F2008" w:rsidTr="006D190C">
        <w:trPr>
          <w:trHeight w:val="339"/>
        </w:trPr>
        <w:tc>
          <w:tcPr>
            <w:tcW w:w="1575" w:type="pct"/>
            <w:tcBorders>
              <w:right w:val="single" w:sz="4" w:space="0" w:color="auto"/>
            </w:tcBorders>
            <w:shd w:val="clear" w:color="auto" w:fill="auto"/>
            <w:hideMark/>
          </w:tcPr>
          <w:p w:rsidR="006171BB" w:rsidRPr="00B02927" w:rsidRDefault="006171BB" w:rsidP="006171BB">
            <w:pPr>
              <w:widowControl/>
              <w:spacing w:line="240" w:lineRule="exact"/>
              <w:ind w:leftChars="50" w:left="120" w:rightChars="-50" w:right="-120"/>
              <w:rPr>
                <w:rFonts w:ascii="標楷體" w:eastAsia="標楷體" w:hAnsi="標楷體" w:cs="新細明體"/>
                <w:kern w:val="0"/>
                <w:szCs w:val="24"/>
              </w:rPr>
            </w:pPr>
            <w:r w:rsidRPr="00B02927">
              <w:rPr>
                <w:rFonts w:ascii="標楷體" w:eastAsia="標楷體" w:hAnsi="標楷體" w:cs="新細明體" w:hint="eastAsia"/>
                <w:kern w:val="0"/>
                <w:szCs w:val="24"/>
              </w:rPr>
              <w:t>基金、投資及長期應收款</w:t>
            </w:r>
          </w:p>
        </w:tc>
        <w:tc>
          <w:tcPr>
            <w:tcW w:w="675" w:type="pct"/>
            <w:tcBorders>
              <w:top w:val="nil"/>
              <w:left w:val="single" w:sz="4" w:space="0" w:color="auto"/>
              <w:bottom w:val="nil"/>
              <w:right w:val="single" w:sz="4" w:space="0" w:color="auto"/>
            </w:tcBorders>
            <w:shd w:val="clear" w:color="auto" w:fill="auto"/>
            <w:noWrap/>
            <w:hideMark/>
          </w:tcPr>
          <w:p w:rsidR="006171BB" w:rsidRDefault="006171BB" w:rsidP="006171BB">
            <w:pPr>
              <w:jc w:val="right"/>
            </w:pPr>
            <w:r>
              <w:t>211,297.52</w:t>
            </w:r>
          </w:p>
        </w:tc>
        <w:tc>
          <w:tcPr>
            <w:tcW w:w="343" w:type="pct"/>
            <w:tcBorders>
              <w:top w:val="nil"/>
              <w:left w:val="single" w:sz="4" w:space="0" w:color="auto"/>
              <w:bottom w:val="nil"/>
              <w:right w:val="single" w:sz="4" w:space="0" w:color="auto"/>
            </w:tcBorders>
            <w:shd w:val="clear" w:color="auto" w:fill="auto"/>
          </w:tcPr>
          <w:p w:rsidR="006171BB" w:rsidRDefault="006171BB" w:rsidP="006171BB">
            <w:pPr>
              <w:jc w:val="right"/>
            </w:pPr>
            <w:r>
              <w:t>48.9</w:t>
            </w:r>
          </w:p>
        </w:tc>
        <w:tc>
          <w:tcPr>
            <w:tcW w:w="1429" w:type="pct"/>
            <w:tcBorders>
              <w:left w:val="single" w:sz="4" w:space="0" w:color="auto"/>
              <w:right w:val="single" w:sz="4" w:space="0" w:color="auto"/>
            </w:tcBorders>
            <w:shd w:val="clear" w:color="auto" w:fill="auto"/>
            <w:hideMark/>
          </w:tcPr>
          <w:p w:rsidR="006171BB" w:rsidRDefault="006171BB" w:rsidP="004C2888">
            <w:pPr>
              <w:widowControl/>
              <w:spacing w:line="240" w:lineRule="exact"/>
              <w:ind w:firstLineChars="50" w:firstLine="120"/>
              <w:rPr>
                <w:rFonts w:ascii="標楷體" w:eastAsia="標楷體" w:hAnsi="標楷體"/>
              </w:rPr>
            </w:pPr>
            <w:r>
              <w:rPr>
                <w:rFonts w:ascii="標楷體" w:eastAsia="標楷體" w:hAnsi="標楷體" w:hint="eastAsia"/>
              </w:rPr>
              <w:t>央行及同業融資</w:t>
            </w:r>
          </w:p>
        </w:tc>
        <w:tc>
          <w:tcPr>
            <w:tcW w:w="628" w:type="pct"/>
            <w:tcBorders>
              <w:top w:val="nil"/>
              <w:left w:val="single" w:sz="4" w:space="0" w:color="auto"/>
              <w:bottom w:val="nil"/>
              <w:right w:val="single" w:sz="4" w:space="0" w:color="auto"/>
            </w:tcBorders>
            <w:shd w:val="clear" w:color="auto" w:fill="auto"/>
            <w:noWrap/>
            <w:hideMark/>
          </w:tcPr>
          <w:p w:rsidR="006171BB" w:rsidRDefault="006171BB" w:rsidP="006171BB">
            <w:pPr>
              <w:jc w:val="right"/>
              <w:rPr>
                <w:rFonts w:eastAsia="新細明體"/>
              </w:rPr>
            </w:pPr>
            <w:r>
              <w:t>2,914.99</w:t>
            </w:r>
          </w:p>
        </w:tc>
        <w:tc>
          <w:tcPr>
            <w:tcW w:w="349" w:type="pct"/>
            <w:tcBorders>
              <w:top w:val="nil"/>
              <w:left w:val="single" w:sz="4" w:space="0" w:color="auto"/>
              <w:bottom w:val="nil"/>
              <w:right w:val="single" w:sz="4" w:space="0" w:color="auto"/>
            </w:tcBorders>
            <w:shd w:val="clear" w:color="auto" w:fill="auto"/>
          </w:tcPr>
          <w:p w:rsidR="006171BB" w:rsidRDefault="006171BB" w:rsidP="006171BB">
            <w:pPr>
              <w:jc w:val="right"/>
            </w:pPr>
            <w:r>
              <w:t>0.7</w:t>
            </w:r>
          </w:p>
        </w:tc>
      </w:tr>
      <w:tr w:rsidR="004C2888" w:rsidRPr="006F2008" w:rsidTr="006D190C">
        <w:trPr>
          <w:trHeight w:val="339"/>
        </w:trPr>
        <w:tc>
          <w:tcPr>
            <w:tcW w:w="1575" w:type="pct"/>
            <w:tcBorders>
              <w:right w:val="single" w:sz="4" w:space="0" w:color="auto"/>
            </w:tcBorders>
            <w:shd w:val="clear" w:color="auto" w:fill="auto"/>
            <w:hideMark/>
          </w:tcPr>
          <w:p w:rsidR="006171BB" w:rsidRPr="00B02927" w:rsidRDefault="006171BB" w:rsidP="006171BB">
            <w:pPr>
              <w:widowControl/>
              <w:spacing w:line="240" w:lineRule="exact"/>
              <w:ind w:rightChars="-50" w:right="-120" w:firstLineChars="50" w:firstLine="120"/>
              <w:rPr>
                <w:rFonts w:ascii="標楷體" w:eastAsia="標楷體" w:hAnsi="標楷體" w:cs="新細明體"/>
                <w:kern w:val="0"/>
                <w:szCs w:val="24"/>
              </w:rPr>
            </w:pPr>
            <w:r w:rsidRPr="00B02927">
              <w:rPr>
                <w:rFonts w:ascii="標楷體" w:eastAsia="標楷體" w:hAnsi="標楷體" w:cs="新細明體" w:hint="eastAsia"/>
                <w:kern w:val="0"/>
                <w:szCs w:val="24"/>
              </w:rPr>
              <w:t>不動產、廠房及設備</w:t>
            </w:r>
          </w:p>
        </w:tc>
        <w:tc>
          <w:tcPr>
            <w:tcW w:w="675" w:type="pct"/>
            <w:tcBorders>
              <w:top w:val="nil"/>
              <w:left w:val="single" w:sz="4" w:space="0" w:color="auto"/>
              <w:bottom w:val="nil"/>
              <w:right w:val="single" w:sz="4" w:space="0" w:color="auto"/>
            </w:tcBorders>
            <w:shd w:val="clear" w:color="auto" w:fill="auto"/>
            <w:noWrap/>
          </w:tcPr>
          <w:p w:rsidR="006171BB" w:rsidRDefault="006171BB" w:rsidP="006171BB">
            <w:pPr>
              <w:jc w:val="right"/>
            </w:pPr>
            <w:r>
              <w:t>39,398.75</w:t>
            </w:r>
          </w:p>
        </w:tc>
        <w:tc>
          <w:tcPr>
            <w:tcW w:w="343" w:type="pct"/>
            <w:tcBorders>
              <w:top w:val="nil"/>
              <w:left w:val="single" w:sz="4" w:space="0" w:color="auto"/>
              <w:bottom w:val="nil"/>
              <w:right w:val="single" w:sz="4" w:space="0" w:color="auto"/>
            </w:tcBorders>
            <w:shd w:val="clear" w:color="auto" w:fill="auto"/>
          </w:tcPr>
          <w:p w:rsidR="006171BB" w:rsidRDefault="006171BB" w:rsidP="006171BB">
            <w:pPr>
              <w:jc w:val="right"/>
            </w:pPr>
            <w:r>
              <w:t>9.1</w:t>
            </w:r>
          </w:p>
        </w:tc>
        <w:tc>
          <w:tcPr>
            <w:tcW w:w="1429" w:type="pct"/>
            <w:tcBorders>
              <w:left w:val="single" w:sz="4" w:space="0" w:color="auto"/>
              <w:right w:val="single" w:sz="4" w:space="0" w:color="auto"/>
            </w:tcBorders>
            <w:shd w:val="clear" w:color="auto" w:fill="auto"/>
          </w:tcPr>
          <w:p w:rsidR="006171BB" w:rsidRDefault="006171BB" w:rsidP="004C2888">
            <w:pPr>
              <w:widowControl/>
              <w:spacing w:line="240" w:lineRule="exact"/>
              <w:ind w:firstLineChars="50" w:firstLine="120"/>
              <w:rPr>
                <w:rFonts w:ascii="標楷體" w:eastAsia="標楷體" w:hAnsi="標楷體" w:cs="新細明體"/>
              </w:rPr>
            </w:pPr>
            <w:r>
              <w:rPr>
                <w:rFonts w:ascii="標楷體" w:eastAsia="標楷體" w:hAnsi="標楷體" w:hint="eastAsia"/>
              </w:rPr>
              <w:t>長期負債</w:t>
            </w:r>
          </w:p>
        </w:tc>
        <w:tc>
          <w:tcPr>
            <w:tcW w:w="628" w:type="pct"/>
            <w:tcBorders>
              <w:top w:val="nil"/>
              <w:left w:val="single" w:sz="4" w:space="0" w:color="auto"/>
              <w:bottom w:val="nil"/>
              <w:right w:val="single" w:sz="4" w:space="0" w:color="auto"/>
            </w:tcBorders>
            <w:shd w:val="clear" w:color="auto" w:fill="auto"/>
            <w:noWrap/>
          </w:tcPr>
          <w:p w:rsidR="006171BB" w:rsidRDefault="006171BB" w:rsidP="006171BB">
            <w:pPr>
              <w:jc w:val="right"/>
              <w:rPr>
                <w:rFonts w:eastAsia="新細明體"/>
              </w:rPr>
            </w:pPr>
            <w:r>
              <w:t>12,330.39</w:t>
            </w:r>
          </w:p>
        </w:tc>
        <w:tc>
          <w:tcPr>
            <w:tcW w:w="349" w:type="pct"/>
            <w:tcBorders>
              <w:top w:val="nil"/>
              <w:left w:val="single" w:sz="4" w:space="0" w:color="auto"/>
              <w:bottom w:val="nil"/>
              <w:right w:val="single" w:sz="4" w:space="0" w:color="auto"/>
            </w:tcBorders>
            <w:shd w:val="clear" w:color="auto" w:fill="auto"/>
          </w:tcPr>
          <w:p w:rsidR="006171BB" w:rsidRDefault="006171BB" w:rsidP="006171BB">
            <w:pPr>
              <w:jc w:val="right"/>
            </w:pPr>
            <w:r>
              <w:t>2.9</w:t>
            </w:r>
          </w:p>
        </w:tc>
      </w:tr>
      <w:tr w:rsidR="004C2888" w:rsidRPr="006F2008" w:rsidTr="006D190C">
        <w:trPr>
          <w:trHeight w:val="339"/>
        </w:trPr>
        <w:tc>
          <w:tcPr>
            <w:tcW w:w="1575" w:type="pct"/>
            <w:tcBorders>
              <w:right w:val="single" w:sz="4" w:space="0" w:color="auto"/>
            </w:tcBorders>
            <w:shd w:val="clear" w:color="auto" w:fill="auto"/>
          </w:tcPr>
          <w:p w:rsidR="006171BB" w:rsidRPr="00B02927" w:rsidRDefault="006171BB" w:rsidP="006171BB">
            <w:pPr>
              <w:widowControl/>
              <w:spacing w:line="240" w:lineRule="exact"/>
              <w:ind w:firstLineChars="50" w:firstLine="120"/>
              <w:rPr>
                <w:rFonts w:ascii="標楷體" w:eastAsia="標楷體" w:hAnsi="標楷體" w:cs="新細明體"/>
                <w:kern w:val="0"/>
                <w:szCs w:val="24"/>
              </w:rPr>
            </w:pPr>
            <w:r w:rsidRPr="00B02927">
              <w:rPr>
                <w:rFonts w:ascii="標楷體" w:eastAsia="標楷體" w:hAnsi="標楷體" w:cs="新細明體" w:hint="eastAsia"/>
                <w:kern w:val="0"/>
                <w:szCs w:val="24"/>
              </w:rPr>
              <w:t>使用權資產</w:t>
            </w:r>
          </w:p>
        </w:tc>
        <w:tc>
          <w:tcPr>
            <w:tcW w:w="675" w:type="pct"/>
            <w:tcBorders>
              <w:top w:val="nil"/>
              <w:left w:val="single" w:sz="4" w:space="0" w:color="auto"/>
              <w:bottom w:val="nil"/>
              <w:right w:val="single" w:sz="4" w:space="0" w:color="auto"/>
            </w:tcBorders>
            <w:shd w:val="clear" w:color="auto" w:fill="auto"/>
            <w:noWrap/>
          </w:tcPr>
          <w:p w:rsidR="006171BB" w:rsidRDefault="006171BB" w:rsidP="006171BB">
            <w:pPr>
              <w:jc w:val="right"/>
            </w:pPr>
            <w:r>
              <w:t>571.23</w:t>
            </w:r>
          </w:p>
        </w:tc>
        <w:tc>
          <w:tcPr>
            <w:tcW w:w="343" w:type="pct"/>
            <w:tcBorders>
              <w:top w:val="nil"/>
              <w:left w:val="single" w:sz="4" w:space="0" w:color="auto"/>
              <w:bottom w:val="nil"/>
              <w:right w:val="single" w:sz="4" w:space="0" w:color="auto"/>
            </w:tcBorders>
            <w:shd w:val="clear" w:color="auto" w:fill="auto"/>
          </w:tcPr>
          <w:p w:rsidR="006171BB" w:rsidRDefault="006171BB" w:rsidP="006171BB">
            <w:pPr>
              <w:jc w:val="right"/>
            </w:pPr>
            <w:r>
              <w:t>0.1</w:t>
            </w:r>
          </w:p>
        </w:tc>
        <w:tc>
          <w:tcPr>
            <w:tcW w:w="1429" w:type="pct"/>
            <w:tcBorders>
              <w:left w:val="single" w:sz="4" w:space="0" w:color="auto"/>
              <w:right w:val="single" w:sz="4" w:space="0" w:color="auto"/>
            </w:tcBorders>
            <w:shd w:val="clear" w:color="auto" w:fill="auto"/>
          </w:tcPr>
          <w:p w:rsidR="006171BB" w:rsidRDefault="006171BB" w:rsidP="004C2888">
            <w:pPr>
              <w:widowControl/>
              <w:spacing w:line="240" w:lineRule="exact"/>
              <w:ind w:firstLineChars="50" w:firstLine="120"/>
              <w:rPr>
                <w:rFonts w:ascii="標楷體" w:eastAsia="標楷體" w:hAnsi="標楷體" w:cs="新細明體"/>
              </w:rPr>
            </w:pPr>
            <w:r>
              <w:rPr>
                <w:rFonts w:ascii="標楷體" w:eastAsia="標楷體" w:hAnsi="標楷體" w:hint="eastAsia"/>
              </w:rPr>
              <w:t>其他負債</w:t>
            </w:r>
          </w:p>
        </w:tc>
        <w:tc>
          <w:tcPr>
            <w:tcW w:w="628" w:type="pct"/>
            <w:tcBorders>
              <w:top w:val="nil"/>
              <w:left w:val="single" w:sz="4" w:space="0" w:color="auto"/>
              <w:bottom w:val="nil"/>
              <w:right w:val="single" w:sz="4" w:space="0" w:color="auto"/>
            </w:tcBorders>
            <w:shd w:val="clear" w:color="auto" w:fill="auto"/>
            <w:noWrap/>
          </w:tcPr>
          <w:p w:rsidR="006171BB" w:rsidRDefault="006171BB" w:rsidP="006171BB">
            <w:pPr>
              <w:jc w:val="right"/>
              <w:rPr>
                <w:rFonts w:eastAsia="新細明體"/>
              </w:rPr>
            </w:pPr>
            <w:r>
              <w:t>36,945.71</w:t>
            </w:r>
          </w:p>
        </w:tc>
        <w:tc>
          <w:tcPr>
            <w:tcW w:w="349" w:type="pct"/>
            <w:tcBorders>
              <w:top w:val="nil"/>
              <w:left w:val="single" w:sz="4" w:space="0" w:color="auto"/>
              <w:bottom w:val="nil"/>
              <w:right w:val="single" w:sz="4" w:space="0" w:color="auto"/>
            </w:tcBorders>
            <w:shd w:val="clear" w:color="auto" w:fill="auto"/>
          </w:tcPr>
          <w:p w:rsidR="006171BB" w:rsidRDefault="006171BB" w:rsidP="006171BB">
            <w:pPr>
              <w:jc w:val="right"/>
            </w:pPr>
            <w:r>
              <w:t>8.5</w:t>
            </w:r>
          </w:p>
        </w:tc>
      </w:tr>
      <w:tr w:rsidR="004C2888" w:rsidRPr="006F2008" w:rsidTr="006D190C">
        <w:trPr>
          <w:trHeight w:val="339"/>
        </w:trPr>
        <w:tc>
          <w:tcPr>
            <w:tcW w:w="1575" w:type="pct"/>
            <w:tcBorders>
              <w:right w:val="single" w:sz="4" w:space="0" w:color="auto"/>
            </w:tcBorders>
            <w:shd w:val="clear" w:color="auto" w:fill="auto"/>
            <w:hideMark/>
          </w:tcPr>
          <w:p w:rsidR="006171BB" w:rsidRPr="00B02927" w:rsidRDefault="006171BB" w:rsidP="006171BB">
            <w:pPr>
              <w:widowControl/>
              <w:spacing w:line="240" w:lineRule="exact"/>
              <w:ind w:firstLineChars="50" w:firstLine="120"/>
              <w:rPr>
                <w:rFonts w:ascii="標楷體" w:eastAsia="標楷體" w:hAnsi="標楷體" w:cs="新細明體"/>
                <w:kern w:val="0"/>
                <w:szCs w:val="24"/>
              </w:rPr>
            </w:pPr>
            <w:r w:rsidRPr="00B02927">
              <w:rPr>
                <w:rFonts w:ascii="標楷體" w:eastAsia="標楷體" w:hAnsi="標楷體" w:cs="新細明體" w:hint="eastAsia"/>
                <w:kern w:val="0"/>
                <w:szCs w:val="24"/>
              </w:rPr>
              <w:t>投資性不動產</w:t>
            </w:r>
          </w:p>
        </w:tc>
        <w:tc>
          <w:tcPr>
            <w:tcW w:w="675" w:type="pct"/>
            <w:tcBorders>
              <w:top w:val="nil"/>
              <w:left w:val="single" w:sz="4" w:space="0" w:color="auto"/>
              <w:bottom w:val="nil"/>
              <w:right w:val="single" w:sz="4" w:space="0" w:color="auto"/>
            </w:tcBorders>
            <w:shd w:val="clear" w:color="auto" w:fill="auto"/>
            <w:noWrap/>
          </w:tcPr>
          <w:p w:rsidR="006171BB" w:rsidRDefault="006171BB" w:rsidP="006171BB">
            <w:pPr>
              <w:jc w:val="right"/>
            </w:pPr>
            <w:r>
              <w:t>4,776.21</w:t>
            </w:r>
          </w:p>
        </w:tc>
        <w:tc>
          <w:tcPr>
            <w:tcW w:w="343" w:type="pct"/>
            <w:tcBorders>
              <w:top w:val="nil"/>
              <w:left w:val="single" w:sz="4" w:space="0" w:color="auto"/>
              <w:bottom w:val="nil"/>
              <w:right w:val="single" w:sz="4" w:space="0" w:color="auto"/>
            </w:tcBorders>
            <w:shd w:val="clear" w:color="auto" w:fill="auto"/>
          </w:tcPr>
          <w:p w:rsidR="006171BB" w:rsidRDefault="006171BB" w:rsidP="006171BB">
            <w:pPr>
              <w:jc w:val="right"/>
            </w:pPr>
            <w:r>
              <w:t>1.1</w:t>
            </w:r>
          </w:p>
        </w:tc>
        <w:tc>
          <w:tcPr>
            <w:tcW w:w="1429" w:type="pct"/>
            <w:tcBorders>
              <w:left w:val="single" w:sz="4" w:space="0" w:color="auto"/>
              <w:right w:val="single" w:sz="4" w:space="0" w:color="auto"/>
            </w:tcBorders>
            <w:shd w:val="clear" w:color="auto" w:fill="auto"/>
          </w:tcPr>
          <w:p w:rsidR="006171BB" w:rsidRDefault="006171BB" w:rsidP="006171BB">
            <w:pPr>
              <w:rPr>
                <w:rFonts w:ascii="標楷體" w:eastAsia="標楷體" w:hAnsi="標楷體" w:cs="新細明體"/>
                <w:b/>
                <w:bCs/>
              </w:rPr>
            </w:pPr>
            <w:r>
              <w:rPr>
                <w:rFonts w:ascii="標楷體" w:eastAsia="標楷體" w:hAnsi="標楷體" w:hint="eastAsia"/>
                <w:b/>
                <w:bCs/>
              </w:rPr>
              <w:t>權益</w:t>
            </w:r>
          </w:p>
        </w:tc>
        <w:tc>
          <w:tcPr>
            <w:tcW w:w="628" w:type="pct"/>
            <w:tcBorders>
              <w:top w:val="nil"/>
              <w:left w:val="single" w:sz="4" w:space="0" w:color="auto"/>
              <w:bottom w:val="nil"/>
              <w:right w:val="single" w:sz="4" w:space="0" w:color="auto"/>
            </w:tcBorders>
            <w:shd w:val="clear" w:color="auto" w:fill="auto"/>
            <w:noWrap/>
          </w:tcPr>
          <w:p w:rsidR="006171BB" w:rsidRDefault="006171BB" w:rsidP="006171BB">
            <w:pPr>
              <w:jc w:val="right"/>
              <w:rPr>
                <w:rFonts w:eastAsia="新細明體"/>
                <w:b/>
                <w:bCs/>
              </w:rPr>
            </w:pPr>
            <w:r>
              <w:rPr>
                <w:b/>
                <w:bCs/>
              </w:rPr>
              <w:t>35,690.39</w:t>
            </w:r>
          </w:p>
        </w:tc>
        <w:tc>
          <w:tcPr>
            <w:tcW w:w="349" w:type="pct"/>
            <w:tcBorders>
              <w:top w:val="nil"/>
              <w:left w:val="single" w:sz="4" w:space="0" w:color="auto"/>
              <w:bottom w:val="nil"/>
              <w:right w:val="single" w:sz="4" w:space="0" w:color="auto"/>
            </w:tcBorders>
            <w:shd w:val="clear" w:color="auto" w:fill="auto"/>
          </w:tcPr>
          <w:p w:rsidR="006171BB" w:rsidRDefault="006171BB" w:rsidP="006171BB">
            <w:pPr>
              <w:jc w:val="right"/>
              <w:rPr>
                <w:b/>
                <w:bCs/>
              </w:rPr>
            </w:pPr>
            <w:r>
              <w:rPr>
                <w:b/>
                <w:bCs/>
              </w:rPr>
              <w:t>8.3</w:t>
            </w:r>
          </w:p>
        </w:tc>
      </w:tr>
      <w:tr w:rsidR="004C2888" w:rsidRPr="006F2008" w:rsidTr="006D190C">
        <w:trPr>
          <w:trHeight w:val="339"/>
        </w:trPr>
        <w:tc>
          <w:tcPr>
            <w:tcW w:w="1575" w:type="pct"/>
            <w:tcBorders>
              <w:right w:val="single" w:sz="4" w:space="0" w:color="auto"/>
            </w:tcBorders>
            <w:shd w:val="clear" w:color="auto" w:fill="auto"/>
            <w:hideMark/>
          </w:tcPr>
          <w:p w:rsidR="006171BB" w:rsidRPr="00B02927" w:rsidRDefault="006171BB" w:rsidP="006171BB">
            <w:pPr>
              <w:widowControl/>
              <w:spacing w:line="240" w:lineRule="exact"/>
              <w:ind w:firstLineChars="50" w:firstLine="120"/>
              <w:rPr>
                <w:rFonts w:ascii="標楷體" w:eastAsia="標楷體" w:hAnsi="標楷體" w:cs="新細明體"/>
                <w:kern w:val="0"/>
                <w:szCs w:val="24"/>
              </w:rPr>
            </w:pPr>
            <w:r w:rsidRPr="00B02927">
              <w:rPr>
                <w:rFonts w:ascii="標楷體" w:eastAsia="標楷體" w:hAnsi="標楷體" w:cs="新細明體" w:hint="eastAsia"/>
                <w:kern w:val="0"/>
                <w:szCs w:val="24"/>
              </w:rPr>
              <w:t>無形資產</w:t>
            </w:r>
          </w:p>
        </w:tc>
        <w:tc>
          <w:tcPr>
            <w:tcW w:w="675" w:type="pct"/>
            <w:tcBorders>
              <w:top w:val="nil"/>
              <w:left w:val="single" w:sz="4" w:space="0" w:color="auto"/>
              <w:bottom w:val="nil"/>
              <w:right w:val="single" w:sz="4" w:space="0" w:color="auto"/>
            </w:tcBorders>
            <w:shd w:val="clear" w:color="auto" w:fill="auto"/>
            <w:noWrap/>
          </w:tcPr>
          <w:p w:rsidR="006171BB" w:rsidRDefault="006171BB" w:rsidP="006171BB">
            <w:pPr>
              <w:jc w:val="right"/>
            </w:pPr>
            <w:r>
              <w:t>54.11</w:t>
            </w:r>
          </w:p>
        </w:tc>
        <w:tc>
          <w:tcPr>
            <w:tcW w:w="343" w:type="pct"/>
            <w:tcBorders>
              <w:top w:val="nil"/>
              <w:left w:val="single" w:sz="4" w:space="0" w:color="auto"/>
              <w:bottom w:val="nil"/>
              <w:right w:val="single" w:sz="4" w:space="0" w:color="auto"/>
            </w:tcBorders>
            <w:shd w:val="clear" w:color="auto" w:fill="auto"/>
          </w:tcPr>
          <w:p w:rsidR="006171BB" w:rsidRDefault="006171BB" w:rsidP="006171BB">
            <w:pPr>
              <w:jc w:val="right"/>
            </w:pPr>
            <w:r>
              <w:t>-</w:t>
            </w:r>
          </w:p>
        </w:tc>
        <w:tc>
          <w:tcPr>
            <w:tcW w:w="1429" w:type="pct"/>
            <w:tcBorders>
              <w:left w:val="single" w:sz="4" w:space="0" w:color="auto"/>
              <w:right w:val="single" w:sz="4" w:space="0" w:color="auto"/>
            </w:tcBorders>
            <w:shd w:val="clear" w:color="auto" w:fill="auto"/>
          </w:tcPr>
          <w:p w:rsidR="006171BB" w:rsidRDefault="006171BB" w:rsidP="004C2888">
            <w:pPr>
              <w:widowControl/>
              <w:spacing w:line="240" w:lineRule="exact"/>
              <w:ind w:firstLineChars="50" w:firstLine="120"/>
              <w:rPr>
                <w:rFonts w:ascii="標楷體" w:eastAsia="標楷體" w:hAnsi="標楷體" w:cs="新細明體"/>
              </w:rPr>
            </w:pPr>
            <w:r>
              <w:rPr>
                <w:rFonts w:ascii="標楷體" w:eastAsia="標楷體" w:hAnsi="標楷體" w:hint="eastAsia"/>
              </w:rPr>
              <w:t>資本</w:t>
            </w:r>
          </w:p>
        </w:tc>
        <w:tc>
          <w:tcPr>
            <w:tcW w:w="628" w:type="pct"/>
            <w:tcBorders>
              <w:top w:val="nil"/>
              <w:left w:val="single" w:sz="4" w:space="0" w:color="auto"/>
              <w:bottom w:val="nil"/>
              <w:right w:val="single" w:sz="4" w:space="0" w:color="auto"/>
            </w:tcBorders>
            <w:shd w:val="clear" w:color="auto" w:fill="auto"/>
            <w:noWrap/>
          </w:tcPr>
          <w:p w:rsidR="006171BB" w:rsidRDefault="006171BB" w:rsidP="006171BB">
            <w:pPr>
              <w:jc w:val="right"/>
              <w:rPr>
                <w:rFonts w:eastAsia="新細明體"/>
              </w:rPr>
            </w:pPr>
            <w:r>
              <w:t>14,597.49</w:t>
            </w:r>
          </w:p>
        </w:tc>
        <w:tc>
          <w:tcPr>
            <w:tcW w:w="349" w:type="pct"/>
            <w:tcBorders>
              <w:top w:val="nil"/>
              <w:left w:val="single" w:sz="4" w:space="0" w:color="auto"/>
              <w:bottom w:val="nil"/>
              <w:right w:val="single" w:sz="4" w:space="0" w:color="auto"/>
            </w:tcBorders>
            <w:shd w:val="clear" w:color="auto" w:fill="auto"/>
          </w:tcPr>
          <w:p w:rsidR="006171BB" w:rsidRDefault="006171BB" w:rsidP="006171BB">
            <w:pPr>
              <w:jc w:val="right"/>
            </w:pPr>
            <w:r>
              <w:t>3.4</w:t>
            </w:r>
          </w:p>
        </w:tc>
      </w:tr>
      <w:tr w:rsidR="004C2888" w:rsidRPr="006F2008" w:rsidTr="006D190C">
        <w:trPr>
          <w:trHeight w:val="339"/>
        </w:trPr>
        <w:tc>
          <w:tcPr>
            <w:tcW w:w="1575" w:type="pct"/>
            <w:tcBorders>
              <w:right w:val="single" w:sz="4" w:space="0" w:color="auto"/>
            </w:tcBorders>
            <w:shd w:val="clear" w:color="auto" w:fill="auto"/>
            <w:hideMark/>
          </w:tcPr>
          <w:p w:rsidR="006171BB" w:rsidRPr="00B02927" w:rsidRDefault="006171BB" w:rsidP="006171BB">
            <w:pPr>
              <w:widowControl/>
              <w:spacing w:line="240" w:lineRule="exact"/>
              <w:ind w:firstLineChars="50" w:firstLine="120"/>
              <w:rPr>
                <w:rFonts w:ascii="標楷體" w:eastAsia="標楷體" w:hAnsi="標楷體" w:cs="新細明體"/>
                <w:kern w:val="0"/>
                <w:szCs w:val="24"/>
              </w:rPr>
            </w:pPr>
            <w:r w:rsidRPr="00B02927">
              <w:rPr>
                <w:rFonts w:ascii="標楷體" w:eastAsia="標楷體" w:hAnsi="標楷體" w:cs="新細明體" w:hint="eastAsia"/>
                <w:kern w:val="0"/>
                <w:szCs w:val="24"/>
              </w:rPr>
              <w:t>生物資產</w:t>
            </w:r>
          </w:p>
        </w:tc>
        <w:tc>
          <w:tcPr>
            <w:tcW w:w="675" w:type="pct"/>
            <w:tcBorders>
              <w:top w:val="nil"/>
              <w:left w:val="single" w:sz="4" w:space="0" w:color="auto"/>
              <w:bottom w:val="nil"/>
              <w:right w:val="single" w:sz="4" w:space="0" w:color="auto"/>
            </w:tcBorders>
            <w:shd w:val="clear" w:color="auto" w:fill="auto"/>
            <w:noWrap/>
          </w:tcPr>
          <w:p w:rsidR="006171BB" w:rsidRDefault="006171BB" w:rsidP="006171BB">
            <w:pPr>
              <w:jc w:val="right"/>
            </w:pPr>
            <w:r>
              <w:t>2.68</w:t>
            </w:r>
          </w:p>
        </w:tc>
        <w:tc>
          <w:tcPr>
            <w:tcW w:w="343" w:type="pct"/>
            <w:tcBorders>
              <w:top w:val="nil"/>
              <w:left w:val="single" w:sz="4" w:space="0" w:color="auto"/>
              <w:bottom w:val="nil"/>
              <w:right w:val="single" w:sz="4" w:space="0" w:color="auto"/>
            </w:tcBorders>
            <w:shd w:val="clear" w:color="auto" w:fill="auto"/>
          </w:tcPr>
          <w:p w:rsidR="006171BB" w:rsidRDefault="006171BB" w:rsidP="006171BB">
            <w:pPr>
              <w:jc w:val="right"/>
            </w:pPr>
            <w:r>
              <w:t>-</w:t>
            </w:r>
          </w:p>
        </w:tc>
        <w:tc>
          <w:tcPr>
            <w:tcW w:w="1429" w:type="pct"/>
            <w:tcBorders>
              <w:left w:val="single" w:sz="4" w:space="0" w:color="auto"/>
              <w:right w:val="single" w:sz="4" w:space="0" w:color="auto"/>
            </w:tcBorders>
            <w:shd w:val="clear" w:color="auto" w:fill="auto"/>
          </w:tcPr>
          <w:p w:rsidR="006171BB" w:rsidRDefault="006171BB" w:rsidP="004C2888">
            <w:pPr>
              <w:widowControl/>
              <w:spacing w:line="240" w:lineRule="exact"/>
              <w:ind w:firstLineChars="50" w:firstLine="120"/>
              <w:rPr>
                <w:rFonts w:ascii="標楷體" w:eastAsia="標楷體" w:hAnsi="標楷體" w:cs="新細明體"/>
              </w:rPr>
            </w:pPr>
            <w:r>
              <w:rPr>
                <w:rFonts w:ascii="標楷體" w:eastAsia="標楷體" w:hAnsi="標楷體" w:hint="eastAsia"/>
              </w:rPr>
              <w:t>資本公積</w:t>
            </w:r>
          </w:p>
        </w:tc>
        <w:tc>
          <w:tcPr>
            <w:tcW w:w="628" w:type="pct"/>
            <w:tcBorders>
              <w:top w:val="nil"/>
              <w:left w:val="single" w:sz="4" w:space="0" w:color="auto"/>
              <w:bottom w:val="nil"/>
              <w:right w:val="single" w:sz="4" w:space="0" w:color="auto"/>
            </w:tcBorders>
            <w:shd w:val="clear" w:color="auto" w:fill="auto"/>
            <w:noWrap/>
          </w:tcPr>
          <w:p w:rsidR="006171BB" w:rsidRDefault="006171BB" w:rsidP="006171BB">
            <w:pPr>
              <w:jc w:val="right"/>
              <w:rPr>
                <w:rFonts w:eastAsia="新細明體"/>
              </w:rPr>
            </w:pPr>
            <w:r>
              <w:t>2,488.89</w:t>
            </w:r>
          </w:p>
        </w:tc>
        <w:tc>
          <w:tcPr>
            <w:tcW w:w="349" w:type="pct"/>
            <w:tcBorders>
              <w:top w:val="nil"/>
              <w:left w:val="single" w:sz="4" w:space="0" w:color="auto"/>
              <w:bottom w:val="nil"/>
              <w:right w:val="single" w:sz="4" w:space="0" w:color="auto"/>
            </w:tcBorders>
            <w:shd w:val="clear" w:color="auto" w:fill="auto"/>
          </w:tcPr>
          <w:p w:rsidR="006171BB" w:rsidRDefault="006171BB" w:rsidP="006171BB">
            <w:pPr>
              <w:jc w:val="right"/>
            </w:pPr>
            <w:r>
              <w:t>0.6</w:t>
            </w:r>
          </w:p>
        </w:tc>
      </w:tr>
      <w:tr w:rsidR="004C2888" w:rsidRPr="006F2008" w:rsidTr="006D190C">
        <w:trPr>
          <w:trHeight w:val="339"/>
        </w:trPr>
        <w:tc>
          <w:tcPr>
            <w:tcW w:w="1575" w:type="pct"/>
            <w:tcBorders>
              <w:right w:val="single" w:sz="4" w:space="0" w:color="auto"/>
            </w:tcBorders>
            <w:shd w:val="clear" w:color="auto" w:fill="auto"/>
            <w:hideMark/>
          </w:tcPr>
          <w:p w:rsidR="006171BB" w:rsidRPr="00B02927" w:rsidRDefault="006171BB" w:rsidP="006171BB">
            <w:pPr>
              <w:widowControl/>
              <w:spacing w:line="240" w:lineRule="exact"/>
              <w:ind w:firstLineChars="50" w:firstLine="120"/>
              <w:rPr>
                <w:rFonts w:ascii="標楷體" w:eastAsia="標楷體" w:hAnsi="標楷體" w:cs="新細明體"/>
                <w:kern w:val="0"/>
                <w:szCs w:val="24"/>
              </w:rPr>
            </w:pPr>
            <w:r w:rsidRPr="00B02927">
              <w:rPr>
                <w:rFonts w:ascii="標楷體" w:eastAsia="標楷體" w:hAnsi="標楷體" w:cs="新細明體" w:hint="eastAsia"/>
                <w:kern w:val="0"/>
                <w:szCs w:val="24"/>
              </w:rPr>
              <w:t>其他資產</w:t>
            </w:r>
          </w:p>
        </w:tc>
        <w:tc>
          <w:tcPr>
            <w:tcW w:w="675" w:type="pct"/>
            <w:tcBorders>
              <w:top w:val="nil"/>
              <w:left w:val="single" w:sz="4" w:space="0" w:color="auto"/>
              <w:bottom w:val="nil"/>
              <w:right w:val="single" w:sz="4" w:space="0" w:color="auto"/>
            </w:tcBorders>
            <w:shd w:val="clear" w:color="auto" w:fill="auto"/>
            <w:noWrap/>
          </w:tcPr>
          <w:p w:rsidR="006171BB" w:rsidRDefault="006171BB" w:rsidP="006171BB">
            <w:pPr>
              <w:widowControl/>
              <w:jc w:val="right"/>
              <w:rPr>
                <w:rFonts w:eastAsia="新細明體"/>
              </w:rPr>
            </w:pPr>
            <w:r>
              <w:t>5,870.19</w:t>
            </w:r>
          </w:p>
        </w:tc>
        <w:tc>
          <w:tcPr>
            <w:tcW w:w="343" w:type="pct"/>
            <w:tcBorders>
              <w:top w:val="nil"/>
              <w:left w:val="single" w:sz="4" w:space="0" w:color="auto"/>
              <w:bottom w:val="nil"/>
              <w:right w:val="single" w:sz="4" w:space="0" w:color="auto"/>
            </w:tcBorders>
            <w:shd w:val="clear" w:color="auto" w:fill="auto"/>
          </w:tcPr>
          <w:p w:rsidR="006171BB" w:rsidRDefault="006171BB" w:rsidP="006171BB">
            <w:pPr>
              <w:jc w:val="right"/>
            </w:pPr>
            <w:r>
              <w:t>1.4</w:t>
            </w:r>
          </w:p>
        </w:tc>
        <w:tc>
          <w:tcPr>
            <w:tcW w:w="1429" w:type="pct"/>
            <w:tcBorders>
              <w:left w:val="single" w:sz="4" w:space="0" w:color="auto"/>
              <w:right w:val="single" w:sz="4" w:space="0" w:color="auto"/>
            </w:tcBorders>
            <w:shd w:val="clear" w:color="auto" w:fill="auto"/>
          </w:tcPr>
          <w:p w:rsidR="006171BB" w:rsidRDefault="006171BB" w:rsidP="004C2888">
            <w:pPr>
              <w:widowControl/>
              <w:spacing w:line="240" w:lineRule="exact"/>
              <w:ind w:firstLineChars="50" w:firstLine="120"/>
              <w:rPr>
                <w:rFonts w:ascii="標楷體" w:eastAsia="標楷體" w:hAnsi="標楷體" w:cs="新細明體"/>
              </w:rPr>
            </w:pPr>
            <w:r>
              <w:rPr>
                <w:rFonts w:ascii="標楷體" w:eastAsia="標楷體" w:hAnsi="標楷體" w:hint="eastAsia"/>
              </w:rPr>
              <w:t>保留盈餘</w:t>
            </w:r>
          </w:p>
        </w:tc>
        <w:tc>
          <w:tcPr>
            <w:tcW w:w="628" w:type="pct"/>
            <w:tcBorders>
              <w:top w:val="nil"/>
              <w:left w:val="single" w:sz="4" w:space="0" w:color="auto"/>
              <w:bottom w:val="nil"/>
              <w:right w:val="single" w:sz="4" w:space="0" w:color="auto"/>
            </w:tcBorders>
            <w:shd w:val="clear" w:color="auto" w:fill="auto"/>
            <w:noWrap/>
          </w:tcPr>
          <w:p w:rsidR="006171BB" w:rsidRDefault="006171BB" w:rsidP="006171BB">
            <w:pPr>
              <w:jc w:val="right"/>
              <w:rPr>
                <w:rFonts w:eastAsia="新細明體"/>
              </w:rPr>
            </w:pPr>
            <w:r>
              <w:t>17,435.02</w:t>
            </w:r>
          </w:p>
        </w:tc>
        <w:tc>
          <w:tcPr>
            <w:tcW w:w="349" w:type="pct"/>
            <w:tcBorders>
              <w:top w:val="nil"/>
              <w:left w:val="single" w:sz="4" w:space="0" w:color="auto"/>
              <w:bottom w:val="nil"/>
              <w:right w:val="single" w:sz="4" w:space="0" w:color="auto"/>
            </w:tcBorders>
            <w:shd w:val="clear" w:color="auto" w:fill="auto"/>
          </w:tcPr>
          <w:p w:rsidR="006171BB" w:rsidRDefault="006171BB" w:rsidP="006171BB">
            <w:pPr>
              <w:jc w:val="right"/>
            </w:pPr>
            <w:r>
              <w:t>4.0</w:t>
            </w:r>
          </w:p>
        </w:tc>
      </w:tr>
      <w:tr w:rsidR="004C2888" w:rsidRPr="006F2008" w:rsidTr="006D190C">
        <w:trPr>
          <w:trHeight w:val="339"/>
        </w:trPr>
        <w:tc>
          <w:tcPr>
            <w:tcW w:w="1575" w:type="pct"/>
            <w:tcBorders>
              <w:right w:val="single" w:sz="4" w:space="0" w:color="auto"/>
            </w:tcBorders>
            <w:shd w:val="clear" w:color="auto" w:fill="auto"/>
            <w:hideMark/>
          </w:tcPr>
          <w:p w:rsidR="006171BB" w:rsidRPr="00B02927" w:rsidRDefault="006171BB" w:rsidP="006171BB">
            <w:pPr>
              <w:widowControl/>
              <w:spacing w:line="240" w:lineRule="exact"/>
              <w:ind w:firstLineChars="100" w:firstLine="240"/>
              <w:rPr>
                <w:rFonts w:ascii="標楷體" w:eastAsia="標楷體" w:hAnsi="標楷體" w:cs="新細明體"/>
                <w:kern w:val="0"/>
                <w:szCs w:val="24"/>
              </w:rPr>
            </w:pPr>
            <w:r w:rsidRPr="00B02927">
              <w:rPr>
                <w:rFonts w:ascii="標楷體" w:eastAsia="標楷體" w:hAnsi="標楷體" w:cs="新細明體" w:hint="eastAsia"/>
                <w:kern w:val="0"/>
                <w:szCs w:val="24"/>
              </w:rPr>
              <w:t xml:space="preserve">　</w:t>
            </w:r>
          </w:p>
        </w:tc>
        <w:tc>
          <w:tcPr>
            <w:tcW w:w="675" w:type="pct"/>
            <w:tcBorders>
              <w:left w:val="single" w:sz="4" w:space="0" w:color="auto"/>
              <w:right w:val="single" w:sz="4" w:space="0" w:color="auto"/>
            </w:tcBorders>
            <w:shd w:val="clear" w:color="auto" w:fill="auto"/>
            <w:noWrap/>
            <w:hideMark/>
          </w:tcPr>
          <w:p w:rsidR="006171BB" w:rsidRPr="00B02927" w:rsidRDefault="006171BB" w:rsidP="006171BB">
            <w:pPr>
              <w:widowControl/>
              <w:spacing w:line="240" w:lineRule="exact"/>
              <w:ind w:rightChars="20" w:right="48"/>
              <w:jc w:val="right"/>
              <w:rPr>
                <w:rFonts w:eastAsia="標楷體"/>
                <w:kern w:val="0"/>
                <w:szCs w:val="24"/>
              </w:rPr>
            </w:pPr>
            <w:r w:rsidRPr="00B02927">
              <w:rPr>
                <w:rFonts w:eastAsia="標楷體"/>
                <w:kern w:val="0"/>
                <w:szCs w:val="24"/>
              </w:rPr>
              <w:t xml:space="preserve">　</w:t>
            </w:r>
          </w:p>
        </w:tc>
        <w:tc>
          <w:tcPr>
            <w:tcW w:w="343" w:type="pct"/>
            <w:tcBorders>
              <w:left w:val="single" w:sz="4" w:space="0" w:color="auto"/>
              <w:right w:val="single" w:sz="4" w:space="0" w:color="auto"/>
            </w:tcBorders>
          </w:tcPr>
          <w:p w:rsidR="006171BB" w:rsidRPr="00B02927" w:rsidRDefault="006171BB" w:rsidP="006171BB">
            <w:pPr>
              <w:widowControl/>
              <w:spacing w:line="240" w:lineRule="exact"/>
              <w:ind w:firstLineChars="50" w:firstLine="120"/>
              <w:rPr>
                <w:rFonts w:eastAsia="標楷體"/>
                <w:bCs/>
                <w:kern w:val="0"/>
                <w:szCs w:val="24"/>
              </w:rPr>
            </w:pPr>
          </w:p>
        </w:tc>
        <w:tc>
          <w:tcPr>
            <w:tcW w:w="1429" w:type="pct"/>
            <w:tcBorders>
              <w:left w:val="single" w:sz="4" w:space="0" w:color="auto"/>
              <w:right w:val="single" w:sz="4" w:space="0" w:color="auto"/>
            </w:tcBorders>
            <w:shd w:val="clear" w:color="auto" w:fill="auto"/>
          </w:tcPr>
          <w:p w:rsidR="006171BB" w:rsidRDefault="006171BB" w:rsidP="004C2888">
            <w:pPr>
              <w:widowControl/>
              <w:spacing w:line="240" w:lineRule="exact"/>
              <w:ind w:firstLineChars="50" w:firstLine="120"/>
              <w:rPr>
                <w:rFonts w:ascii="標楷體" w:eastAsia="標楷體" w:hAnsi="標楷體" w:cs="新細明體"/>
              </w:rPr>
            </w:pPr>
            <w:r>
              <w:rPr>
                <w:rFonts w:ascii="標楷體" w:eastAsia="標楷體" w:hAnsi="標楷體" w:hint="eastAsia"/>
              </w:rPr>
              <w:t>累積其他綜合利益</w:t>
            </w:r>
          </w:p>
        </w:tc>
        <w:tc>
          <w:tcPr>
            <w:tcW w:w="628" w:type="pct"/>
            <w:tcBorders>
              <w:top w:val="nil"/>
              <w:left w:val="single" w:sz="4" w:space="0" w:color="auto"/>
              <w:bottom w:val="nil"/>
              <w:right w:val="single" w:sz="4" w:space="0" w:color="auto"/>
            </w:tcBorders>
            <w:shd w:val="clear" w:color="auto" w:fill="auto"/>
            <w:noWrap/>
          </w:tcPr>
          <w:p w:rsidR="006171BB" w:rsidRDefault="006171BB" w:rsidP="006171BB">
            <w:pPr>
              <w:jc w:val="right"/>
              <w:rPr>
                <w:rFonts w:eastAsia="新細明體"/>
              </w:rPr>
            </w:pPr>
            <w:r>
              <w:t>1,168.48</w:t>
            </w:r>
          </w:p>
        </w:tc>
        <w:tc>
          <w:tcPr>
            <w:tcW w:w="349" w:type="pct"/>
            <w:tcBorders>
              <w:top w:val="nil"/>
              <w:left w:val="single" w:sz="4" w:space="0" w:color="auto"/>
              <w:bottom w:val="nil"/>
              <w:right w:val="single" w:sz="4" w:space="0" w:color="auto"/>
            </w:tcBorders>
            <w:shd w:val="clear" w:color="auto" w:fill="auto"/>
          </w:tcPr>
          <w:p w:rsidR="006171BB" w:rsidRDefault="006171BB" w:rsidP="006171BB">
            <w:pPr>
              <w:jc w:val="right"/>
            </w:pPr>
            <w:r>
              <w:t>0.3</w:t>
            </w:r>
          </w:p>
        </w:tc>
      </w:tr>
      <w:tr w:rsidR="004C2888" w:rsidRPr="006F2008" w:rsidTr="006D190C">
        <w:trPr>
          <w:trHeight w:val="339"/>
        </w:trPr>
        <w:tc>
          <w:tcPr>
            <w:tcW w:w="1575" w:type="pct"/>
            <w:tcBorders>
              <w:right w:val="single" w:sz="4" w:space="0" w:color="auto"/>
            </w:tcBorders>
            <w:shd w:val="clear" w:color="auto" w:fill="auto"/>
            <w:hideMark/>
          </w:tcPr>
          <w:p w:rsidR="006171BB" w:rsidRPr="00B02927" w:rsidRDefault="006171BB" w:rsidP="006171BB">
            <w:pPr>
              <w:widowControl/>
              <w:spacing w:line="240" w:lineRule="exact"/>
              <w:rPr>
                <w:rFonts w:ascii="標楷體" w:eastAsia="標楷體" w:hAnsi="標楷體" w:cs="新細明體"/>
                <w:kern w:val="0"/>
                <w:szCs w:val="24"/>
              </w:rPr>
            </w:pPr>
          </w:p>
        </w:tc>
        <w:tc>
          <w:tcPr>
            <w:tcW w:w="675" w:type="pct"/>
            <w:tcBorders>
              <w:left w:val="single" w:sz="4" w:space="0" w:color="auto"/>
              <w:right w:val="single" w:sz="4" w:space="0" w:color="auto"/>
            </w:tcBorders>
            <w:shd w:val="clear" w:color="auto" w:fill="auto"/>
            <w:noWrap/>
            <w:hideMark/>
          </w:tcPr>
          <w:p w:rsidR="006171BB" w:rsidRPr="00B02927" w:rsidRDefault="006171BB" w:rsidP="006171BB">
            <w:pPr>
              <w:widowControl/>
              <w:spacing w:line="240" w:lineRule="exact"/>
              <w:ind w:rightChars="20" w:right="48"/>
              <w:jc w:val="right"/>
              <w:rPr>
                <w:rFonts w:eastAsia="標楷體"/>
                <w:kern w:val="0"/>
                <w:szCs w:val="24"/>
              </w:rPr>
            </w:pPr>
            <w:r w:rsidRPr="00B02927">
              <w:rPr>
                <w:rFonts w:eastAsia="標楷體"/>
                <w:kern w:val="0"/>
                <w:szCs w:val="24"/>
              </w:rPr>
              <w:t xml:space="preserve">　</w:t>
            </w:r>
          </w:p>
        </w:tc>
        <w:tc>
          <w:tcPr>
            <w:tcW w:w="343" w:type="pct"/>
            <w:tcBorders>
              <w:left w:val="single" w:sz="4" w:space="0" w:color="auto"/>
              <w:right w:val="single" w:sz="4" w:space="0" w:color="auto"/>
            </w:tcBorders>
          </w:tcPr>
          <w:p w:rsidR="006171BB" w:rsidRPr="00B02927" w:rsidRDefault="006171BB" w:rsidP="006171BB">
            <w:pPr>
              <w:widowControl/>
              <w:spacing w:line="240" w:lineRule="exact"/>
              <w:ind w:firstLineChars="50" w:firstLine="120"/>
              <w:rPr>
                <w:rFonts w:eastAsia="標楷體"/>
                <w:bCs/>
                <w:kern w:val="0"/>
                <w:szCs w:val="24"/>
              </w:rPr>
            </w:pPr>
          </w:p>
        </w:tc>
        <w:tc>
          <w:tcPr>
            <w:tcW w:w="1429" w:type="pct"/>
            <w:tcBorders>
              <w:left w:val="single" w:sz="4" w:space="0" w:color="auto"/>
              <w:right w:val="single" w:sz="4" w:space="0" w:color="auto"/>
            </w:tcBorders>
            <w:shd w:val="clear" w:color="auto" w:fill="auto"/>
          </w:tcPr>
          <w:p w:rsidR="006171BB" w:rsidRDefault="006171BB" w:rsidP="004C2888">
            <w:pPr>
              <w:widowControl/>
              <w:spacing w:line="240" w:lineRule="exact"/>
              <w:ind w:firstLineChars="50" w:firstLine="120"/>
              <w:rPr>
                <w:rFonts w:ascii="標楷體" w:eastAsia="標楷體" w:hAnsi="標楷體" w:cs="新細明體"/>
              </w:rPr>
            </w:pPr>
            <w:r>
              <w:rPr>
                <w:rFonts w:ascii="標楷體" w:eastAsia="標楷體" w:hAnsi="標楷體" w:hint="eastAsia"/>
              </w:rPr>
              <w:t>非控制權益</w:t>
            </w:r>
          </w:p>
        </w:tc>
        <w:tc>
          <w:tcPr>
            <w:tcW w:w="628" w:type="pct"/>
            <w:tcBorders>
              <w:top w:val="nil"/>
              <w:left w:val="single" w:sz="4" w:space="0" w:color="auto"/>
              <w:bottom w:val="nil"/>
              <w:right w:val="single" w:sz="4" w:space="0" w:color="auto"/>
            </w:tcBorders>
            <w:shd w:val="clear" w:color="auto" w:fill="auto"/>
            <w:noWrap/>
          </w:tcPr>
          <w:p w:rsidR="006171BB" w:rsidRDefault="006171BB" w:rsidP="006171BB">
            <w:pPr>
              <w:jc w:val="right"/>
              <w:rPr>
                <w:rFonts w:eastAsia="新細明體"/>
              </w:rPr>
            </w:pPr>
            <w:r>
              <w:t>0.51</w:t>
            </w:r>
          </w:p>
        </w:tc>
        <w:tc>
          <w:tcPr>
            <w:tcW w:w="349" w:type="pct"/>
            <w:tcBorders>
              <w:top w:val="nil"/>
              <w:left w:val="single" w:sz="4" w:space="0" w:color="auto"/>
              <w:bottom w:val="nil"/>
              <w:right w:val="single" w:sz="4" w:space="0" w:color="auto"/>
            </w:tcBorders>
            <w:shd w:val="clear" w:color="auto" w:fill="auto"/>
          </w:tcPr>
          <w:p w:rsidR="006171BB" w:rsidRDefault="006171BB" w:rsidP="006171BB">
            <w:pPr>
              <w:jc w:val="right"/>
            </w:pPr>
            <w:r>
              <w:t>-</w:t>
            </w:r>
          </w:p>
        </w:tc>
      </w:tr>
      <w:tr w:rsidR="004C2888" w:rsidRPr="006F2008" w:rsidTr="006D190C">
        <w:trPr>
          <w:trHeight w:val="339"/>
        </w:trPr>
        <w:tc>
          <w:tcPr>
            <w:tcW w:w="1575" w:type="pct"/>
            <w:tcBorders>
              <w:top w:val="single" w:sz="4" w:space="0" w:color="auto"/>
              <w:bottom w:val="single" w:sz="4" w:space="0" w:color="auto"/>
              <w:right w:val="single" w:sz="4" w:space="0" w:color="auto"/>
            </w:tcBorders>
            <w:shd w:val="clear" w:color="auto" w:fill="auto"/>
            <w:vAlign w:val="center"/>
            <w:hideMark/>
          </w:tcPr>
          <w:p w:rsidR="006171BB" w:rsidRPr="00B02927" w:rsidRDefault="006171BB" w:rsidP="006171BB">
            <w:pPr>
              <w:widowControl/>
              <w:spacing w:line="240" w:lineRule="exact"/>
              <w:jc w:val="center"/>
              <w:rPr>
                <w:rFonts w:ascii="標楷體" w:eastAsia="標楷體" w:hAnsi="標楷體" w:cs="新細明體"/>
                <w:b/>
                <w:bCs/>
                <w:kern w:val="0"/>
                <w:szCs w:val="24"/>
              </w:rPr>
            </w:pPr>
            <w:r w:rsidRPr="00B02927">
              <w:rPr>
                <w:rFonts w:ascii="標楷體" w:eastAsia="標楷體" w:hAnsi="標楷體" w:cs="新細明體" w:hint="eastAsia"/>
                <w:b/>
                <w:bCs/>
                <w:kern w:val="0"/>
                <w:szCs w:val="24"/>
              </w:rPr>
              <w:t>合　計</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BB" w:rsidRDefault="006171BB" w:rsidP="006171BB">
            <w:pPr>
              <w:widowControl/>
              <w:jc w:val="right"/>
              <w:rPr>
                <w:rFonts w:eastAsia="新細明體"/>
                <w:b/>
                <w:bCs/>
              </w:rPr>
            </w:pPr>
            <w:r>
              <w:rPr>
                <w:b/>
                <w:bCs/>
              </w:rPr>
              <w:t>431,918.19</w:t>
            </w:r>
          </w:p>
        </w:tc>
        <w:tc>
          <w:tcPr>
            <w:tcW w:w="343" w:type="pct"/>
            <w:tcBorders>
              <w:top w:val="single" w:sz="4" w:space="0" w:color="auto"/>
              <w:left w:val="single" w:sz="4" w:space="0" w:color="auto"/>
              <w:bottom w:val="single" w:sz="4" w:space="0" w:color="auto"/>
              <w:right w:val="single" w:sz="4" w:space="0" w:color="auto"/>
            </w:tcBorders>
            <w:vAlign w:val="center"/>
          </w:tcPr>
          <w:p w:rsidR="006171BB" w:rsidRDefault="006171BB" w:rsidP="006171BB">
            <w:pPr>
              <w:jc w:val="right"/>
              <w:rPr>
                <w:b/>
                <w:bCs/>
              </w:rPr>
            </w:pPr>
            <w:r>
              <w:rPr>
                <w:b/>
                <w:bCs/>
              </w:rPr>
              <w:t>100.0</w:t>
            </w:r>
          </w:p>
        </w:tc>
        <w:tc>
          <w:tcPr>
            <w:tcW w:w="1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1BB" w:rsidRDefault="006171BB" w:rsidP="006171BB">
            <w:pPr>
              <w:jc w:val="center"/>
              <w:rPr>
                <w:rFonts w:ascii="標楷體" w:eastAsia="標楷體" w:hAnsi="標楷體" w:cs="新細明體"/>
                <w:b/>
                <w:bCs/>
              </w:rPr>
            </w:pPr>
            <w:r>
              <w:rPr>
                <w:rFonts w:ascii="標楷體" w:eastAsia="標楷體" w:hAnsi="標楷體" w:hint="eastAsia"/>
                <w:b/>
                <w:bCs/>
              </w:rPr>
              <w:t>合　計</w:t>
            </w:r>
          </w:p>
        </w:tc>
        <w:tc>
          <w:tcPr>
            <w:tcW w:w="6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BB" w:rsidRDefault="006171BB" w:rsidP="006171BB">
            <w:pPr>
              <w:jc w:val="right"/>
              <w:rPr>
                <w:rFonts w:eastAsia="新細明體"/>
                <w:b/>
                <w:bCs/>
              </w:rPr>
            </w:pPr>
            <w:r>
              <w:rPr>
                <w:b/>
                <w:bCs/>
              </w:rPr>
              <w:t>431,918.19</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6171BB" w:rsidRDefault="006171BB" w:rsidP="006171BB">
            <w:pPr>
              <w:jc w:val="right"/>
              <w:rPr>
                <w:b/>
                <w:bCs/>
              </w:rPr>
            </w:pPr>
            <w:r>
              <w:rPr>
                <w:b/>
                <w:bCs/>
              </w:rPr>
              <w:t>100.0</w:t>
            </w:r>
          </w:p>
        </w:tc>
      </w:tr>
    </w:tbl>
    <w:p w:rsidR="007636AA" w:rsidRDefault="007636AA" w:rsidP="00F76081">
      <w:pPr>
        <w:adjustRightInd w:val="0"/>
        <w:spacing w:line="360" w:lineRule="auto"/>
        <w:ind w:left="397" w:firstLineChars="119" w:firstLine="286"/>
        <w:jc w:val="center"/>
        <w:rPr>
          <w:noProof/>
        </w:rPr>
      </w:pPr>
    </w:p>
    <w:tbl>
      <w:tblPr>
        <w:tblStyle w:val="af3"/>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125"/>
      </w:tblGrid>
      <w:tr w:rsidR="007636AA" w:rsidTr="007636AA">
        <w:tc>
          <w:tcPr>
            <w:tcW w:w="4570" w:type="dxa"/>
          </w:tcPr>
          <w:p w:rsidR="007636AA" w:rsidRDefault="00302C76" w:rsidP="00F76081">
            <w:pPr>
              <w:adjustRightInd w:val="0"/>
              <w:spacing w:line="360" w:lineRule="auto"/>
              <w:jc w:val="center"/>
              <w:rPr>
                <w:noProof/>
              </w:rPr>
            </w:pPr>
            <w:r>
              <w:rPr>
                <w:noProof/>
              </w:rPr>
              <w:lastRenderedPageBreak/>
              <w:drawing>
                <wp:inline distT="0" distB="0" distL="0" distR="0" wp14:anchorId="74FEDC38">
                  <wp:extent cx="2987040" cy="2853055"/>
                  <wp:effectExtent l="0" t="0" r="3810" b="4445"/>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7040" cy="2853055"/>
                          </a:xfrm>
                          <a:prstGeom prst="rect">
                            <a:avLst/>
                          </a:prstGeom>
                          <a:noFill/>
                        </pic:spPr>
                      </pic:pic>
                    </a:graphicData>
                  </a:graphic>
                </wp:inline>
              </w:drawing>
            </w:r>
          </w:p>
        </w:tc>
        <w:tc>
          <w:tcPr>
            <w:tcW w:w="5125" w:type="dxa"/>
          </w:tcPr>
          <w:p w:rsidR="007636AA" w:rsidRDefault="00302C76" w:rsidP="00F76081">
            <w:pPr>
              <w:adjustRightInd w:val="0"/>
              <w:spacing w:line="360" w:lineRule="auto"/>
              <w:jc w:val="center"/>
              <w:rPr>
                <w:noProof/>
              </w:rPr>
            </w:pPr>
            <w:r>
              <w:rPr>
                <w:noProof/>
              </w:rPr>
              <w:drawing>
                <wp:inline distT="0" distB="0" distL="0" distR="0" wp14:anchorId="778198F7">
                  <wp:extent cx="3371215" cy="2767965"/>
                  <wp:effectExtent l="0" t="0" r="635"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1215" cy="2767965"/>
                          </a:xfrm>
                          <a:prstGeom prst="rect">
                            <a:avLst/>
                          </a:prstGeom>
                          <a:noFill/>
                        </pic:spPr>
                      </pic:pic>
                    </a:graphicData>
                  </a:graphic>
                </wp:inline>
              </w:drawing>
            </w:r>
          </w:p>
        </w:tc>
      </w:tr>
    </w:tbl>
    <w:p w:rsidR="00E20F42" w:rsidRDefault="00E20F42" w:rsidP="00F76081">
      <w:pPr>
        <w:adjustRightInd w:val="0"/>
        <w:spacing w:line="360" w:lineRule="auto"/>
        <w:ind w:left="397" w:firstLineChars="119" w:firstLine="381"/>
        <w:jc w:val="center"/>
        <w:rPr>
          <w:rFonts w:eastAsia="標楷體"/>
          <w:b/>
          <w:spacing w:val="20"/>
          <w:sz w:val="28"/>
          <w:szCs w:val="28"/>
        </w:rPr>
      </w:pPr>
    </w:p>
    <w:p w:rsidR="007636AA" w:rsidRDefault="007636AA" w:rsidP="00F76081">
      <w:pPr>
        <w:adjustRightInd w:val="0"/>
        <w:spacing w:line="360" w:lineRule="auto"/>
        <w:ind w:left="397" w:firstLineChars="119" w:firstLine="381"/>
        <w:jc w:val="center"/>
        <w:rPr>
          <w:noProof/>
        </w:rPr>
      </w:pPr>
      <w:r w:rsidRPr="00963D26">
        <w:rPr>
          <w:rFonts w:eastAsia="標楷體" w:hint="eastAsia"/>
          <w:b/>
          <w:spacing w:val="20"/>
          <w:sz w:val="28"/>
          <w:szCs w:val="28"/>
        </w:rPr>
        <w:t>圖</w:t>
      </w:r>
      <w:r w:rsidRPr="00963D26">
        <w:rPr>
          <w:rFonts w:eastAsia="標楷體" w:hint="eastAsia"/>
          <w:b/>
          <w:spacing w:val="20"/>
          <w:sz w:val="28"/>
          <w:szCs w:val="28"/>
        </w:rPr>
        <w:t>4-</w:t>
      </w:r>
      <w:r>
        <w:rPr>
          <w:rFonts w:eastAsia="標楷體"/>
          <w:b/>
          <w:spacing w:val="20"/>
          <w:sz w:val="28"/>
          <w:szCs w:val="28"/>
        </w:rPr>
        <w:t>1</w:t>
      </w:r>
      <w:r w:rsidRPr="00963D26">
        <w:rPr>
          <w:rFonts w:eastAsia="標楷體"/>
          <w:b/>
          <w:spacing w:val="20"/>
          <w:sz w:val="28"/>
          <w:szCs w:val="28"/>
        </w:rPr>
        <w:t xml:space="preserve"> </w:t>
      </w:r>
      <w:r w:rsidRPr="00963D26">
        <w:rPr>
          <w:rFonts w:eastAsia="標楷體" w:hint="eastAsia"/>
          <w:b/>
          <w:spacing w:val="20"/>
          <w:sz w:val="28"/>
          <w:szCs w:val="28"/>
        </w:rPr>
        <w:t>國營事業</w:t>
      </w:r>
      <w:r>
        <w:rPr>
          <w:rFonts w:eastAsia="標楷體" w:hint="eastAsia"/>
          <w:b/>
          <w:spacing w:val="20"/>
          <w:sz w:val="28"/>
          <w:szCs w:val="28"/>
        </w:rPr>
        <w:t>111</w:t>
      </w:r>
      <w:r>
        <w:rPr>
          <w:rFonts w:eastAsia="標楷體" w:hint="eastAsia"/>
          <w:b/>
          <w:spacing w:val="20"/>
          <w:sz w:val="28"/>
          <w:szCs w:val="28"/>
        </w:rPr>
        <w:t>年度</w:t>
      </w:r>
      <w:r w:rsidRPr="00963D26">
        <w:rPr>
          <w:rFonts w:eastAsia="標楷體" w:hint="eastAsia"/>
          <w:b/>
          <w:spacing w:val="20"/>
          <w:sz w:val="28"/>
          <w:szCs w:val="28"/>
        </w:rPr>
        <w:t>資產、負債及權益之組成</w:t>
      </w:r>
    </w:p>
    <w:p w:rsidR="00C96E90" w:rsidRDefault="00C96E90" w:rsidP="00F76081">
      <w:pPr>
        <w:adjustRightInd w:val="0"/>
        <w:spacing w:line="360" w:lineRule="auto"/>
        <w:ind w:left="397" w:firstLineChars="119" w:firstLine="286"/>
        <w:jc w:val="center"/>
        <w:rPr>
          <w:noProof/>
        </w:rPr>
      </w:pPr>
    </w:p>
    <w:p w:rsidR="00E20F42" w:rsidRPr="00E20F42" w:rsidRDefault="00133109" w:rsidP="00F76081">
      <w:pPr>
        <w:adjustRightInd w:val="0"/>
        <w:spacing w:line="360" w:lineRule="auto"/>
        <w:ind w:left="397" w:firstLineChars="119" w:firstLine="286"/>
        <w:jc w:val="center"/>
        <w:rPr>
          <w:noProof/>
        </w:rPr>
      </w:pPr>
      <w:r>
        <w:rPr>
          <w:noProof/>
        </w:rPr>
        <mc:AlternateContent>
          <mc:Choice Requires="wps">
            <w:drawing>
              <wp:anchor distT="45720" distB="45720" distL="114300" distR="114300" simplePos="0" relativeHeight="251852800" behindDoc="0" locked="0" layoutInCell="1" allowOverlap="1">
                <wp:simplePos x="0" y="0"/>
                <wp:positionH relativeFrom="column">
                  <wp:posOffset>1892935</wp:posOffset>
                </wp:positionH>
                <wp:positionV relativeFrom="paragraph">
                  <wp:posOffset>209550</wp:posOffset>
                </wp:positionV>
                <wp:extent cx="739140" cy="430530"/>
                <wp:effectExtent l="0" t="0" r="0" b="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430530"/>
                        </a:xfrm>
                        <a:prstGeom prst="rect">
                          <a:avLst/>
                        </a:prstGeom>
                        <a:noFill/>
                        <a:ln w="9525">
                          <a:noFill/>
                          <a:miter lim="800000"/>
                          <a:headEnd/>
                          <a:tailEnd/>
                        </a:ln>
                      </wps:spPr>
                      <wps:txbx>
                        <w:txbxContent>
                          <w:p w:rsidR="00133109" w:rsidRPr="00C96E90" w:rsidRDefault="00133109" w:rsidP="00133109">
                            <w:pPr>
                              <w:jc w:val="center"/>
                              <w:rPr>
                                <w:rFonts w:eastAsia="標楷體"/>
                                <w:sz w:val="20"/>
                              </w:rPr>
                            </w:pPr>
                            <w:r>
                              <w:rPr>
                                <w:rFonts w:eastAsia="標楷體" w:hint="eastAsia"/>
                                <w:sz w:val="20"/>
                              </w:rPr>
                              <w:t>權</w:t>
                            </w:r>
                            <w:r>
                              <w:rPr>
                                <w:rFonts w:eastAsia="標楷體"/>
                                <w:sz w:val="20"/>
                              </w:rPr>
                              <w:t>益減</w:t>
                            </w:r>
                            <w:r>
                              <w:rPr>
                                <w:rFonts w:eastAsia="標楷體" w:hint="eastAsia"/>
                                <w:sz w:val="20"/>
                              </w:rPr>
                              <w:t>少</w:t>
                            </w:r>
                            <w:r w:rsidRPr="00C96E90">
                              <w:rPr>
                                <w:rFonts w:eastAsia="標楷體"/>
                                <w:sz w:val="20"/>
                              </w:rPr>
                              <w:t>4,503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49.05pt;margin-top:16.5pt;width:58.2pt;height:33.9pt;z-index:25185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" filled="f" stroked="f">
                <v:textbox>
                  <w:txbxContent>
                    <w:p w:rsidR="00133109" w:rsidRPr="00C96E90" w:rsidRDefault="00133109" w:rsidP="00133109">
                      <w:pPr>
                        <w:jc w:val="center"/>
                        <w:rPr>
                          <w:rFonts w:eastAsia="標楷體"/>
                          <w:sz w:val="20"/>
                        </w:rPr>
                      </w:pPr>
                      <w:r>
                        <w:rPr>
                          <w:rFonts w:eastAsia="標楷體" w:hint="eastAsia"/>
                          <w:sz w:val="20"/>
                        </w:rPr>
                        <w:t>權</w:t>
                      </w:r>
                      <w:r>
                        <w:rPr>
                          <w:rFonts w:eastAsia="標楷體"/>
                          <w:sz w:val="20"/>
                        </w:rPr>
                        <w:t>益減</w:t>
                      </w:r>
                      <w:r>
                        <w:rPr>
                          <w:rFonts w:eastAsia="標楷體" w:hint="eastAsia"/>
                          <w:sz w:val="20"/>
                        </w:rPr>
                        <w:t>少</w:t>
                      </w:r>
                      <w:r w:rsidRPr="00C96E90">
                        <w:rPr>
                          <w:rFonts w:eastAsia="標楷體"/>
                          <w:sz w:val="20"/>
                        </w:rPr>
                        <w:t>4,503</w:t>
                      </w:r>
                    </w:p>
                  </w:txbxContent>
                </v:textbox>
              </v:shape>
            </w:pict>
          </mc:Fallback>
        </mc:AlternateContent>
      </w:r>
    </w:p>
    <w:p w:rsidR="00D512E8" w:rsidRDefault="00D512E8" w:rsidP="00F76081">
      <w:pPr>
        <w:adjustRightInd w:val="0"/>
        <w:spacing w:line="360" w:lineRule="auto"/>
        <w:ind w:left="397" w:firstLineChars="119" w:firstLine="596"/>
        <w:jc w:val="center"/>
        <w:rPr>
          <w:noProof/>
        </w:rPr>
      </w:pPr>
      <w:r w:rsidRPr="005C5E31">
        <w:rPr>
          <w:rFonts w:eastAsia="標楷體"/>
          <w:b/>
          <w:noProof/>
          <w:spacing w:val="20"/>
          <w:sz w:val="50"/>
          <w:szCs w:val="50"/>
        </w:rPr>
        <mc:AlternateContent>
          <mc:Choice Requires="wps">
            <w:drawing>
              <wp:anchor distT="45720" distB="45720" distL="114300" distR="114300" simplePos="0" relativeHeight="251665408" behindDoc="1" locked="0" layoutInCell="1" allowOverlap="1" wp14:anchorId="3FC17763" wp14:editId="7C0DEFAC">
                <wp:simplePos x="0" y="0"/>
                <wp:positionH relativeFrom="margin">
                  <wp:posOffset>4436745</wp:posOffset>
                </wp:positionH>
                <wp:positionV relativeFrom="paragraph">
                  <wp:posOffset>-55245</wp:posOffset>
                </wp:positionV>
                <wp:extent cx="1330325" cy="429895"/>
                <wp:effectExtent l="0" t="0" r="3175" b="825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429895"/>
                        </a:xfrm>
                        <a:prstGeom prst="rect">
                          <a:avLst/>
                        </a:prstGeom>
                        <a:solidFill>
                          <a:srgbClr val="FFFFFF"/>
                        </a:solidFill>
                        <a:ln w="9525">
                          <a:noFill/>
                          <a:miter lim="800000"/>
                          <a:headEnd/>
                          <a:tailEnd/>
                        </a:ln>
                      </wps:spPr>
                      <wps:txbx>
                        <w:txbxContent>
                          <w:p w:rsidR="00133109" w:rsidRPr="000A39B3" w:rsidRDefault="00133109" w:rsidP="003D72ED">
                            <w:pPr>
                              <w:spacing w:line="400" w:lineRule="exact"/>
                              <w:jc w:val="right"/>
                              <w:rPr>
                                <w:rFonts w:ascii="標楷體" w:eastAsia="標楷體" w:hAnsi="標楷體"/>
                                <w:sz w:val="22"/>
                              </w:rPr>
                            </w:pPr>
                            <w:r w:rsidRPr="000A39B3">
                              <w:rPr>
                                <w:rFonts w:ascii="標楷體" w:eastAsia="標楷體" w:hAnsi="標楷體" w:hint="eastAsia"/>
                                <w:sz w:val="22"/>
                              </w:rPr>
                              <w:t>單位：</w:t>
                            </w:r>
                            <w:r>
                              <w:rPr>
                                <w:rFonts w:ascii="標楷體" w:eastAsia="標楷體" w:hAnsi="標楷體" w:hint="eastAsia"/>
                                <w:sz w:val="22"/>
                              </w:rPr>
                              <w:t>新</w:t>
                            </w:r>
                            <w:r>
                              <w:rPr>
                                <w:rFonts w:ascii="標楷體" w:eastAsia="標楷體" w:hAnsi="標楷體"/>
                                <w:sz w:val="22"/>
                              </w:rPr>
                              <w:t>臺幣</w:t>
                            </w:r>
                            <w:r w:rsidRPr="000A39B3">
                              <w:rPr>
                                <w:rFonts w:ascii="標楷體" w:eastAsia="標楷體" w:hAnsi="標楷體" w:hint="eastAsia"/>
                                <w:sz w:val="22"/>
                              </w:rPr>
                              <w:t>億元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17763" id="_x0000_s1033" type="#_x0000_t202" style="position:absolute;left:0;text-align:left;margin-left:349.35pt;margin-top:-4.35pt;width:104.75pt;height:33.8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" stroked="f">
                <v:textbox>
                  <w:txbxContent>
                    <w:p w:rsidR="00133109" w:rsidRPr="000A39B3" w:rsidRDefault="00133109" w:rsidP="003D72ED">
                      <w:pPr>
                        <w:spacing w:line="400" w:lineRule="exact"/>
                        <w:jc w:val="right"/>
                        <w:rPr>
                          <w:rFonts w:ascii="標楷體" w:eastAsia="標楷體" w:hAnsi="標楷體"/>
                          <w:sz w:val="22"/>
                        </w:rPr>
                      </w:pPr>
                      <w:r w:rsidRPr="000A39B3">
                        <w:rPr>
                          <w:rFonts w:ascii="標楷體" w:eastAsia="標楷體" w:hAnsi="標楷體" w:hint="eastAsia"/>
                          <w:sz w:val="22"/>
                        </w:rPr>
                        <w:t>單位：</w:t>
                      </w:r>
                      <w:r>
                        <w:rPr>
                          <w:rFonts w:ascii="標楷體" w:eastAsia="標楷體" w:hAnsi="標楷體" w:hint="eastAsia"/>
                          <w:sz w:val="22"/>
                        </w:rPr>
                        <w:t>新</w:t>
                      </w:r>
                      <w:r>
                        <w:rPr>
                          <w:rFonts w:ascii="標楷體" w:eastAsia="標楷體" w:hAnsi="標楷體"/>
                          <w:sz w:val="22"/>
                        </w:rPr>
                        <w:t>臺幣</w:t>
                      </w:r>
                      <w:r w:rsidRPr="000A39B3">
                        <w:rPr>
                          <w:rFonts w:ascii="標楷體" w:eastAsia="標楷體" w:hAnsi="標楷體" w:hint="eastAsia"/>
                          <w:sz w:val="22"/>
                        </w:rPr>
                        <w:t>億元</w:t>
                      </w:r>
                    </w:p>
                  </w:txbxContent>
                </v:textbox>
                <w10:wrap anchorx="margin"/>
              </v:shape>
            </w:pict>
          </mc:Fallback>
        </mc:AlternateContent>
      </w:r>
    </w:p>
    <w:p w:rsidR="00D512E8" w:rsidRDefault="00F84BF0" w:rsidP="00F76081">
      <w:pPr>
        <w:adjustRightInd w:val="0"/>
        <w:spacing w:line="360" w:lineRule="auto"/>
        <w:ind w:left="397" w:firstLineChars="119" w:firstLine="286"/>
        <w:jc w:val="center"/>
        <w:rPr>
          <w:noProof/>
        </w:rPr>
      </w:pPr>
      <w:r>
        <w:rPr>
          <w:noProof/>
        </w:rPr>
        <mc:AlternateContent>
          <mc:Choice Requires="wps">
            <w:drawing>
              <wp:anchor distT="45720" distB="45720" distL="114300" distR="114300" simplePos="0" relativeHeight="251854848" behindDoc="0" locked="0" layoutInCell="1" allowOverlap="1" wp14:anchorId="2C4E498B" wp14:editId="526836C8">
                <wp:simplePos x="0" y="0"/>
                <wp:positionH relativeFrom="column">
                  <wp:posOffset>4270375</wp:posOffset>
                </wp:positionH>
                <wp:positionV relativeFrom="paragraph">
                  <wp:posOffset>110490</wp:posOffset>
                </wp:positionV>
                <wp:extent cx="864870" cy="419100"/>
                <wp:effectExtent l="0" t="0" r="0" b="0"/>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419100"/>
                        </a:xfrm>
                        <a:prstGeom prst="rect">
                          <a:avLst/>
                        </a:prstGeom>
                        <a:noFill/>
                        <a:ln w="9525">
                          <a:noFill/>
                          <a:miter lim="800000"/>
                          <a:headEnd/>
                          <a:tailEnd/>
                        </a:ln>
                      </wps:spPr>
                      <wps:txbx>
                        <w:txbxContent>
                          <w:p w:rsidR="00133109" w:rsidRPr="00C96E90" w:rsidRDefault="00133109" w:rsidP="00133109">
                            <w:pPr>
                              <w:jc w:val="center"/>
                              <w:rPr>
                                <w:rFonts w:eastAsia="標楷體"/>
                                <w:sz w:val="20"/>
                              </w:rPr>
                            </w:pPr>
                            <w:r>
                              <w:rPr>
                                <w:rFonts w:eastAsia="標楷體" w:hint="eastAsia"/>
                                <w:sz w:val="20"/>
                              </w:rPr>
                              <w:t>資產增加</w:t>
                            </w:r>
                            <w:r>
                              <w:rPr>
                                <w:rFonts w:eastAsia="標楷體" w:hint="eastAsia"/>
                                <w:sz w:val="20"/>
                              </w:rPr>
                              <w:t>17</w:t>
                            </w:r>
                            <w:r w:rsidRPr="00C96E90">
                              <w:rPr>
                                <w:rFonts w:eastAsia="標楷體"/>
                                <w:sz w:val="20"/>
                              </w:rPr>
                              <w:t>,</w:t>
                            </w:r>
                            <w:r>
                              <w:rPr>
                                <w:rFonts w:eastAsia="標楷體"/>
                                <w:sz w:val="20"/>
                              </w:rPr>
                              <w:t>608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E498B" id="_x0000_s1034" type="#_x0000_t202" style="position:absolute;left:0;text-align:left;margin-left:336.25pt;margin-top:8.7pt;width:68.1pt;height:33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" filled="f" stroked="f">
                <v:textbox>
                  <w:txbxContent>
                    <w:p w:rsidR="00133109" w:rsidRPr="00C96E90" w:rsidRDefault="00133109" w:rsidP="00133109">
                      <w:pPr>
                        <w:jc w:val="center"/>
                        <w:rPr>
                          <w:rFonts w:eastAsia="標楷體"/>
                          <w:sz w:val="20"/>
                        </w:rPr>
                      </w:pPr>
                      <w:r>
                        <w:rPr>
                          <w:rFonts w:eastAsia="標楷體" w:hint="eastAsia"/>
                          <w:sz w:val="20"/>
                        </w:rPr>
                        <w:t>資產增加</w:t>
                      </w:r>
                      <w:r>
                        <w:rPr>
                          <w:rFonts w:eastAsia="標楷體" w:hint="eastAsia"/>
                          <w:sz w:val="20"/>
                        </w:rPr>
                        <w:t>17</w:t>
                      </w:r>
                      <w:r w:rsidRPr="00C96E90">
                        <w:rPr>
                          <w:rFonts w:eastAsia="標楷體"/>
                          <w:sz w:val="20"/>
                        </w:rPr>
                        <w:t>,</w:t>
                      </w:r>
                      <w:r>
                        <w:rPr>
                          <w:rFonts w:eastAsia="標楷體"/>
                          <w:sz w:val="20"/>
                        </w:rPr>
                        <w:t>608</w:t>
                      </w:r>
                    </w:p>
                  </w:txbxContent>
                </v:textbox>
              </v:shape>
            </w:pict>
          </mc:Fallback>
        </mc:AlternateContent>
      </w:r>
      <w:r w:rsidR="00133109">
        <w:rPr>
          <w:noProof/>
        </w:rPr>
        <mc:AlternateContent>
          <mc:Choice Requires="wps">
            <w:drawing>
              <wp:anchor distT="45720" distB="45720" distL="114300" distR="114300" simplePos="0" relativeHeight="251856896" behindDoc="0" locked="0" layoutInCell="1" allowOverlap="1" wp14:anchorId="2C4E498B" wp14:editId="526836C8">
                <wp:simplePos x="0" y="0"/>
                <wp:positionH relativeFrom="column">
                  <wp:posOffset>3529330</wp:posOffset>
                </wp:positionH>
                <wp:positionV relativeFrom="paragraph">
                  <wp:posOffset>217170</wp:posOffset>
                </wp:positionV>
                <wp:extent cx="908685" cy="415290"/>
                <wp:effectExtent l="0" t="0" r="0" b="381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415290"/>
                        </a:xfrm>
                        <a:prstGeom prst="rect">
                          <a:avLst/>
                        </a:prstGeom>
                        <a:noFill/>
                        <a:ln w="9525">
                          <a:noFill/>
                          <a:miter lim="800000"/>
                          <a:headEnd/>
                          <a:tailEnd/>
                        </a:ln>
                      </wps:spPr>
                      <wps:txbx>
                        <w:txbxContent>
                          <w:p w:rsidR="00133109" w:rsidRPr="00C96E90" w:rsidRDefault="00133109" w:rsidP="00133109">
                            <w:pPr>
                              <w:jc w:val="center"/>
                              <w:rPr>
                                <w:rFonts w:eastAsia="標楷體"/>
                                <w:sz w:val="20"/>
                              </w:rPr>
                            </w:pPr>
                            <w:r>
                              <w:rPr>
                                <w:rFonts w:eastAsia="標楷體" w:hint="eastAsia"/>
                                <w:sz w:val="20"/>
                              </w:rPr>
                              <w:t>負</w:t>
                            </w:r>
                            <w:r>
                              <w:rPr>
                                <w:rFonts w:eastAsia="標楷體"/>
                                <w:sz w:val="20"/>
                              </w:rPr>
                              <w:t>債增加</w:t>
                            </w:r>
                            <w:r>
                              <w:rPr>
                                <w:rFonts w:eastAsia="標楷體" w:hint="eastAsia"/>
                                <w:sz w:val="20"/>
                              </w:rPr>
                              <w:t>22</w:t>
                            </w:r>
                            <w:r>
                              <w:rPr>
                                <w:rFonts w:eastAsia="標楷體"/>
                                <w:sz w:val="20"/>
                              </w:rPr>
                              <w:t>,111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E498B" id="_x0000_s1035" type="#_x0000_t202" style="position:absolute;left:0;text-align:left;margin-left:277.9pt;margin-top:17.1pt;width:71.55pt;height:32.7pt;z-index:25185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" filled="f" stroked="f">
                <v:textbox>
                  <w:txbxContent>
                    <w:p w:rsidR="00133109" w:rsidRPr="00C96E90" w:rsidRDefault="00133109" w:rsidP="00133109">
                      <w:pPr>
                        <w:jc w:val="center"/>
                        <w:rPr>
                          <w:rFonts w:eastAsia="標楷體"/>
                          <w:sz w:val="20"/>
                        </w:rPr>
                      </w:pPr>
                      <w:r>
                        <w:rPr>
                          <w:rFonts w:eastAsia="標楷體" w:hint="eastAsia"/>
                          <w:sz w:val="20"/>
                        </w:rPr>
                        <w:t>負</w:t>
                      </w:r>
                      <w:r>
                        <w:rPr>
                          <w:rFonts w:eastAsia="標楷體"/>
                          <w:sz w:val="20"/>
                        </w:rPr>
                        <w:t>債增加</w:t>
                      </w:r>
                      <w:r>
                        <w:rPr>
                          <w:rFonts w:eastAsia="標楷體" w:hint="eastAsia"/>
                          <w:sz w:val="20"/>
                        </w:rPr>
                        <w:t>22</w:t>
                      </w:r>
                      <w:r>
                        <w:rPr>
                          <w:rFonts w:eastAsia="標楷體"/>
                          <w:sz w:val="20"/>
                        </w:rPr>
                        <w:t>,111</w:t>
                      </w:r>
                    </w:p>
                  </w:txbxContent>
                </v:textbox>
              </v:shape>
            </w:pict>
          </mc:Fallback>
        </mc:AlternateContent>
      </w:r>
      <w:r w:rsidR="001B4E52">
        <w:rPr>
          <w:noProof/>
        </w:rPr>
        <mc:AlternateContent>
          <mc:Choice Requires="wps">
            <w:drawing>
              <wp:anchor distT="0" distB="0" distL="114300" distR="114300" simplePos="0" relativeHeight="251850752" behindDoc="0" locked="0" layoutInCell="1" allowOverlap="1">
                <wp:simplePos x="0" y="0"/>
                <wp:positionH relativeFrom="column">
                  <wp:posOffset>2268855</wp:posOffset>
                </wp:positionH>
                <wp:positionV relativeFrom="paragraph">
                  <wp:posOffset>112394</wp:posOffset>
                </wp:positionV>
                <wp:extent cx="6350" cy="1290955"/>
                <wp:effectExtent l="0" t="0" r="31750" b="23495"/>
                <wp:wrapNone/>
                <wp:docPr id="22" name="直線接點 22"/>
                <wp:cNvGraphicFramePr/>
                <a:graphic xmlns:a="http://schemas.openxmlformats.org/drawingml/2006/main">
                  <a:graphicData uri="http://schemas.microsoft.com/office/word/2010/wordprocessingShape">
                    <wps:wsp>
                      <wps:cNvCnPr/>
                      <wps:spPr>
                        <a:xfrm>
                          <a:off x="0" y="0"/>
                          <a:ext cx="6350" cy="1290955"/>
                        </a:xfrm>
                        <a:prstGeom prst="line">
                          <a:avLst/>
                        </a:prstGeom>
                        <a:ln w="19050">
                          <a:solidFill>
                            <a:srgbClr val="0070C0"/>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99B98" id="直線接點 22"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65pt,8.85pt" to="179.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" strokecolor="#0070c0" strokeweight="1.5pt">
                <v:stroke dashstyle="1 1" joinstyle="miter"/>
              </v:line>
            </w:pict>
          </mc:Fallback>
        </mc:AlternateContent>
      </w:r>
      <w:r w:rsidR="000662A5">
        <w:rPr>
          <w:noProof/>
        </w:rPr>
        <w:drawing>
          <wp:inline distT="0" distB="0" distL="0" distR="0" wp14:anchorId="7D7FE1E9">
            <wp:extent cx="4572635" cy="2743200"/>
            <wp:effectExtent l="0" t="0" r="0"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tbl>
      <w:tblPr>
        <w:tblStyle w:val="af3"/>
        <w:tblW w:w="0" w:type="auto"/>
        <w:tblInd w:w="139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60"/>
        <w:gridCol w:w="1987"/>
        <w:gridCol w:w="1845"/>
        <w:gridCol w:w="1889"/>
      </w:tblGrid>
      <w:tr w:rsidR="00AF3100" w:rsidRPr="000F219C" w:rsidTr="00D512E8">
        <w:trPr>
          <w:trHeight w:val="276"/>
        </w:trPr>
        <w:tc>
          <w:tcPr>
            <w:tcW w:w="1560" w:type="dxa"/>
            <w:vAlign w:val="center"/>
          </w:tcPr>
          <w:p w:rsidR="002C7384" w:rsidRPr="000F219C" w:rsidRDefault="002C7384" w:rsidP="00AF3100">
            <w:pPr>
              <w:adjustRightInd w:val="0"/>
              <w:spacing w:line="240" w:lineRule="exact"/>
              <w:jc w:val="center"/>
              <w:rPr>
                <w:rFonts w:eastAsia="標楷體"/>
                <w:noProof/>
              </w:rPr>
            </w:pPr>
          </w:p>
        </w:tc>
        <w:tc>
          <w:tcPr>
            <w:tcW w:w="1987" w:type="dxa"/>
            <w:vAlign w:val="center"/>
          </w:tcPr>
          <w:p w:rsidR="002C7384" w:rsidRPr="000F219C" w:rsidRDefault="002C7384" w:rsidP="00AF3100">
            <w:pPr>
              <w:widowControl/>
              <w:spacing w:line="240" w:lineRule="exact"/>
              <w:jc w:val="center"/>
              <w:rPr>
                <w:rFonts w:eastAsia="標楷體"/>
                <w:bCs/>
                <w:color w:val="000000"/>
              </w:rPr>
            </w:pPr>
            <w:r w:rsidRPr="000F219C">
              <w:rPr>
                <w:rFonts w:eastAsia="標楷體"/>
                <w:bCs/>
                <w:color w:val="000000"/>
              </w:rPr>
              <w:t>資產</w:t>
            </w:r>
          </w:p>
        </w:tc>
        <w:tc>
          <w:tcPr>
            <w:tcW w:w="1845" w:type="dxa"/>
            <w:vAlign w:val="center"/>
          </w:tcPr>
          <w:p w:rsidR="002C7384" w:rsidRPr="000F219C" w:rsidRDefault="002C7384" w:rsidP="00AF3100">
            <w:pPr>
              <w:spacing w:line="240" w:lineRule="exact"/>
              <w:jc w:val="center"/>
              <w:rPr>
                <w:rFonts w:eastAsia="標楷體"/>
                <w:bCs/>
                <w:color w:val="000000"/>
              </w:rPr>
            </w:pPr>
            <w:r w:rsidRPr="000F219C">
              <w:rPr>
                <w:rFonts w:eastAsia="標楷體"/>
                <w:bCs/>
                <w:color w:val="000000"/>
              </w:rPr>
              <w:t>負債</w:t>
            </w:r>
          </w:p>
        </w:tc>
        <w:tc>
          <w:tcPr>
            <w:tcW w:w="1889" w:type="dxa"/>
            <w:vAlign w:val="center"/>
          </w:tcPr>
          <w:p w:rsidR="002C7384" w:rsidRPr="000F219C" w:rsidRDefault="002C7384" w:rsidP="00AF3100">
            <w:pPr>
              <w:spacing w:line="240" w:lineRule="exact"/>
              <w:jc w:val="center"/>
              <w:rPr>
                <w:rFonts w:eastAsia="標楷體"/>
                <w:bCs/>
                <w:color w:val="000000"/>
              </w:rPr>
            </w:pPr>
            <w:r w:rsidRPr="000F219C">
              <w:rPr>
                <w:rFonts w:eastAsia="標楷體"/>
                <w:bCs/>
                <w:color w:val="000000"/>
              </w:rPr>
              <w:t>權益</w:t>
            </w:r>
          </w:p>
        </w:tc>
      </w:tr>
      <w:tr w:rsidR="00AF3100" w:rsidRPr="000F219C" w:rsidTr="00D512E8">
        <w:trPr>
          <w:trHeight w:val="320"/>
        </w:trPr>
        <w:tc>
          <w:tcPr>
            <w:tcW w:w="1560" w:type="dxa"/>
            <w:vAlign w:val="center"/>
          </w:tcPr>
          <w:p w:rsidR="002C7384" w:rsidRPr="000F219C" w:rsidRDefault="00E17694" w:rsidP="00AF3100">
            <w:pPr>
              <w:widowControl/>
              <w:spacing w:line="240" w:lineRule="exact"/>
              <w:jc w:val="center"/>
              <w:rPr>
                <w:rFonts w:eastAsia="標楷體"/>
                <w:bCs/>
                <w:color w:val="000000"/>
              </w:rPr>
            </w:pPr>
            <w:r>
              <w:rPr>
                <w:rFonts w:eastAsia="標楷體"/>
                <w:bCs/>
                <w:color w:val="000000"/>
              </w:rPr>
              <w:t>111</w:t>
            </w:r>
            <w:r>
              <w:rPr>
                <w:rFonts w:eastAsia="標楷體"/>
                <w:bCs/>
                <w:color w:val="000000"/>
              </w:rPr>
              <w:t>年度</w:t>
            </w:r>
          </w:p>
        </w:tc>
        <w:tc>
          <w:tcPr>
            <w:tcW w:w="1987" w:type="dxa"/>
            <w:vAlign w:val="center"/>
          </w:tcPr>
          <w:p w:rsidR="002C7384" w:rsidRPr="000F219C" w:rsidRDefault="002C7384" w:rsidP="00D512E8">
            <w:pPr>
              <w:widowControl/>
              <w:spacing w:line="240" w:lineRule="exact"/>
              <w:jc w:val="center"/>
              <w:rPr>
                <w:rFonts w:eastAsia="標楷體"/>
                <w:bCs/>
                <w:color w:val="000000"/>
              </w:rPr>
            </w:pPr>
            <w:r w:rsidRPr="000F219C">
              <w:rPr>
                <w:rFonts w:eastAsia="標楷體"/>
                <w:bCs/>
                <w:color w:val="000000"/>
              </w:rPr>
              <w:t>43</w:t>
            </w:r>
            <w:r w:rsidR="00D512E8">
              <w:rPr>
                <w:rFonts w:eastAsia="標楷體"/>
                <w:bCs/>
                <w:color w:val="000000"/>
              </w:rPr>
              <w:t>1,918</w:t>
            </w:r>
          </w:p>
        </w:tc>
        <w:tc>
          <w:tcPr>
            <w:tcW w:w="1845" w:type="dxa"/>
            <w:vAlign w:val="center"/>
          </w:tcPr>
          <w:p w:rsidR="002C7384" w:rsidRPr="000F219C" w:rsidRDefault="002C7384" w:rsidP="00D512E8">
            <w:pPr>
              <w:widowControl/>
              <w:spacing w:line="240" w:lineRule="exact"/>
              <w:jc w:val="center"/>
              <w:rPr>
                <w:rFonts w:eastAsia="標楷體"/>
                <w:bCs/>
                <w:color w:val="000000"/>
              </w:rPr>
            </w:pPr>
            <w:r w:rsidRPr="000F219C">
              <w:rPr>
                <w:rFonts w:eastAsia="標楷體"/>
                <w:bCs/>
                <w:color w:val="000000"/>
              </w:rPr>
              <w:t>3</w:t>
            </w:r>
            <w:r w:rsidR="00D512E8">
              <w:rPr>
                <w:rFonts w:eastAsia="標楷體"/>
                <w:bCs/>
                <w:color w:val="000000"/>
              </w:rPr>
              <w:t>96</w:t>
            </w:r>
            <w:r w:rsidRPr="000F219C">
              <w:rPr>
                <w:rFonts w:eastAsia="標楷體"/>
                <w:bCs/>
                <w:color w:val="000000"/>
              </w:rPr>
              <w:t>,</w:t>
            </w:r>
            <w:r w:rsidR="00D512E8">
              <w:rPr>
                <w:rFonts w:eastAsia="標楷體"/>
                <w:bCs/>
                <w:color w:val="000000"/>
              </w:rPr>
              <w:t>228</w:t>
            </w:r>
          </w:p>
        </w:tc>
        <w:tc>
          <w:tcPr>
            <w:tcW w:w="1889" w:type="dxa"/>
            <w:vAlign w:val="center"/>
          </w:tcPr>
          <w:p w:rsidR="002C7384" w:rsidRPr="000F219C" w:rsidRDefault="00A368FF" w:rsidP="00AF3100">
            <w:pPr>
              <w:widowControl/>
              <w:spacing w:line="240" w:lineRule="exact"/>
              <w:jc w:val="center"/>
              <w:rPr>
                <w:rFonts w:eastAsia="標楷體"/>
                <w:noProof/>
              </w:rPr>
            </w:pPr>
            <w:r w:rsidRPr="00A368FF">
              <w:rPr>
                <w:rFonts w:eastAsia="標楷體"/>
                <w:bCs/>
                <w:color w:val="000000"/>
              </w:rPr>
              <w:t>35,690</w:t>
            </w:r>
          </w:p>
        </w:tc>
      </w:tr>
      <w:tr w:rsidR="00AF3100" w:rsidRPr="000F219C" w:rsidTr="00D512E8">
        <w:trPr>
          <w:trHeight w:val="304"/>
        </w:trPr>
        <w:tc>
          <w:tcPr>
            <w:tcW w:w="1560" w:type="dxa"/>
            <w:vAlign w:val="center"/>
          </w:tcPr>
          <w:p w:rsidR="002C7384" w:rsidRPr="000F219C" w:rsidRDefault="002C7384" w:rsidP="00D512E8">
            <w:pPr>
              <w:widowControl/>
              <w:spacing w:line="240" w:lineRule="exact"/>
              <w:jc w:val="center"/>
              <w:rPr>
                <w:rFonts w:eastAsia="標楷體"/>
                <w:bCs/>
                <w:color w:val="000000"/>
              </w:rPr>
            </w:pPr>
            <w:r w:rsidRPr="000F219C">
              <w:rPr>
                <w:rFonts w:eastAsia="標楷體"/>
                <w:bCs/>
                <w:color w:val="000000"/>
              </w:rPr>
              <w:t>1</w:t>
            </w:r>
            <w:r w:rsidR="00D512E8">
              <w:rPr>
                <w:rFonts w:eastAsia="標楷體"/>
                <w:bCs/>
                <w:color w:val="000000"/>
              </w:rPr>
              <w:t>10</w:t>
            </w:r>
            <w:r w:rsidRPr="000F219C">
              <w:rPr>
                <w:rFonts w:eastAsia="標楷體"/>
                <w:bCs/>
                <w:color w:val="000000"/>
              </w:rPr>
              <w:t>年度</w:t>
            </w:r>
          </w:p>
        </w:tc>
        <w:tc>
          <w:tcPr>
            <w:tcW w:w="1987" w:type="dxa"/>
            <w:vAlign w:val="center"/>
          </w:tcPr>
          <w:p w:rsidR="002C7384" w:rsidRPr="000F219C" w:rsidRDefault="00D512E8" w:rsidP="00AF3100">
            <w:pPr>
              <w:widowControl/>
              <w:spacing w:line="240" w:lineRule="exact"/>
              <w:jc w:val="center"/>
              <w:rPr>
                <w:rFonts w:eastAsia="標楷體"/>
                <w:bCs/>
                <w:color w:val="000000"/>
              </w:rPr>
            </w:pPr>
            <w:r w:rsidRPr="000F219C">
              <w:rPr>
                <w:rFonts w:eastAsia="標楷體"/>
                <w:bCs/>
                <w:color w:val="000000"/>
              </w:rPr>
              <w:t>414,3</w:t>
            </w:r>
            <w:r>
              <w:rPr>
                <w:rFonts w:eastAsia="標楷體"/>
                <w:bCs/>
                <w:color w:val="000000"/>
              </w:rPr>
              <w:t>10</w:t>
            </w:r>
          </w:p>
        </w:tc>
        <w:tc>
          <w:tcPr>
            <w:tcW w:w="1845" w:type="dxa"/>
            <w:vAlign w:val="center"/>
          </w:tcPr>
          <w:p w:rsidR="002C7384" w:rsidRPr="000F219C" w:rsidRDefault="00D512E8" w:rsidP="00690826">
            <w:pPr>
              <w:widowControl/>
              <w:spacing w:line="240" w:lineRule="exact"/>
              <w:jc w:val="center"/>
              <w:rPr>
                <w:rFonts w:eastAsia="標楷體"/>
                <w:bCs/>
                <w:color w:val="000000"/>
              </w:rPr>
            </w:pPr>
            <w:r w:rsidRPr="000F219C">
              <w:rPr>
                <w:rFonts w:eastAsia="標楷體"/>
                <w:bCs/>
                <w:color w:val="000000"/>
              </w:rPr>
              <w:t>374,1</w:t>
            </w:r>
            <w:r w:rsidR="00690826">
              <w:rPr>
                <w:rFonts w:eastAsia="標楷體"/>
                <w:bCs/>
                <w:color w:val="000000"/>
              </w:rPr>
              <w:t>17</w:t>
            </w:r>
          </w:p>
        </w:tc>
        <w:tc>
          <w:tcPr>
            <w:tcW w:w="1889" w:type="dxa"/>
            <w:vAlign w:val="center"/>
          </w:tcPr>
          <w:p w:rsidR="002C7384" w:rsidRPr="000F219C" w:rsidRDefault="00A368FF" w:rsidP="00AF3100">
            <w:pPr>
              <w:widowControl/>
              <w:spacing w:line="240" w:lineRule="exact"/>
              <w:jc w:val="center"/>
              <w:rPr>
                <w:rFonts w:eastAsia="標楷體"/>
                <w:noProof/>
              </w:rPr>
            </w:pPr>
            <w:r w:rsidRPr="00A368FF">
              <w:rPr>
                <w:rFonts w:eastAsia="標楷體"/>
                <w:bCs/>
                <w:color w:val="000000"/>
              </w:rPr>
              <w:t>40,193</w:t>
            </w:r>
          </w:p>
        </w:tc>
      </w:tr>
      <w:tr w:rsidR="00AF3100" w:rsidRPr="000F219C" w:rsidTr="00D512E8">
        <w:trPr>
          <w:trHeight w:val="304"/>
        </w:trPr>
        <w:tc>
          <w:tcPr>
            <w:tcW w:w="1560" w:type="dxa"/>
            <w:vAlign w:val="center"/>
          </w:tcPr>
          <w:p w:rsidR="002C7384" w:rsidRPr="000F219C" w:rsidRDefault="00D512E8" w:rsidP="00AF3100">
            <w:pPr>
              <w:widowControl/>
              <w:spacing w:line="240" w:lineRule="exact"/>
              <w:jc w:val="center"/>
              <w:rPr>
                <w:rFonts w:eastAsia="標楷體"/>
                <w:bCs/>
                <w:color w:val="000000"/>
              </w:rPr>
            </w:pPr>
            <w:r>
              <w:rPr>
                <w:rFonts w:eastAsia="標楷體"/>
                <w:bCs/>
                <w:color w:val="000000"/>
              </w:rPr>
              <w:t>增</w:t>
            </w:r>
            <w:r>
              <w:rPr>
                <w:rFonts w:eastAsia="標楷體" w:hint="eastAsia"/>
                <w:bCs/>
                <w:color w:val="000000"/>
              </w:rPr>
              <w:t>（減）</w:t>
            </w:r>
            <w:r w:rsidR="002C7384" w:rsidRPr="000F219C">
              <w:rPr>
                <w:rFonts w:eastAsia="標楷體"/>
                <w:bCs/>
                <w:color w:val="000000"/>
              </w:rPr>
              <w:t>數</w:t>
            </w:r>
          </w:p>
        </w:tc>
        <w:tc>
          <w:tcPr>
            <w:tcW w:w="1987" w:type="dxa"/>
            <w:vAlign w:val="center"/>
          </w:tcPr>
          <w:p w:rsidR="002C7384" w:rsidRPr="000F219C" w:rsidRDefault="00A368FF" w:rsidP="00A368FF">
            <w:pPr>
              <w:widowControl/>
              <w:spacing w:line="240" w:lineRule="exact"/>
              <w:ind w:rightChars="235" w:right="564"/>
              <w:jc w:val="right"/>
              <w:rPr>
                <w:rFonts w:eastAsia="標楷體"/>
                <w:bCs/>
                <w:color w:val="000000"/>
              </w:rPr>
            </w:pPr>
            <w:r w:rsidRPr="00A368FF">
              <w:rPr>
                <w:rFonts w:eastAsia="標楷體"/>
                <w:bCs/>
                <w:color w:val="000000"/>
              </w:rPr>
              <w:t>17,608</w:t>
            </w:r>
          </w:p>
        </w:tc>
        <w:tc>
          <w:tcPr>
            <w:tcW w:w="1845" w:type="dxa"/>
            <w:vAlign w:val="center"/>
          </w:tcPr>
          <w:p w:rsidR="002C7384" w:rsidRPr="000F219C" w:rsidRDefault="00A368FF" w:rsidP="00A368FF">
            <w:pPr>
              <w:widowControl/>
              <w:spacing w:line="240" w:lineRule="exact"/>
              <w:ind w:rightChars="200" w:right="480"/>
              <w:jc w:val="right"/>
              <w:rPr>
                <w:rFonts w:eastAsia="標楷體"/>
                <w:bCs/>
                <w:color w:val="000000"/>
              </w:rPr>
            </w:pPr>
            <w:r w:rsidRPr="00A368FF">
              <w:rPr>
                <w:rFonts w:eastAsia="標楷體"/>
                <w:bCs/>
                <w:color w:val="000000"/>
              </w:rPr>
              <w:t>22,111</w:t>
            </w:r>
          </w:p>
        </w:tc>
        <w:tc>
          <w:tcPr>
            <w:tcW w:w="1889" w:type="dxa"/>
            <w:vAlign w:val="center"/>
          </w:tcPr>
          <w:p w:rsidR="002C7384" w:rsidRPr="000F219C" w:rsidRDefault="00A368FF" w:rsidP="00A368FF">
            <w:pPr>
              <w:widowControl/>
              <w:spacing w:line="240" w:lineRule="exact"/>
              <w:ind w:rightChars="235" w:right="564"/>
              <w:jc w:val="right"/>
              <w:rPr>
                <w:rFonts w:eastAsia="標楷體"/>
                <w:noProof/>
              </w:rPr>
            </w:pPr>
            <w:r w:rsidRPr="00A368FF">
              <w:rPr>
                <w:rFonts w:eastAsia="標楷體"/>
                <w:bCs/>
                <w:color w:val="000000"/>
              </w:rPr>
              <w:t>-4,503</w:t>
            </w:r>
          </w:p>
        </w:tc>
      </w:tr>
    </w:tbl>
    <w:p w:rsidR="002A68F9" w:rsidRDefault="00F95E28" w:rsidP="00B260FC">
      <w:pPr>
        <w:adjustRightInd w:val="0"/>
        <w:spacing w:beforeLines="100" w:before="240" w:afterLines="50" w:after="120" w:line="360" w:lineRule="auto"/>
        <w:ind w:left="397"/>
        <w:jc w:val="center"/>
        <w:rPr>
          <w:rFonts w:eastAsia="標楷體"/>
          <w:b/>
          <w:spacing w:val="20"/>
          <w:sz w:val="28"/>
          <w:szCs w:val="28"/>
        </w:rPr>
      </w:pPr>
      <w:r w:rsidRPr="00963D26">
        <w:rPr>
          <w:rFonts w:eastAsia="標楷體" w:hint="eastAsia"/>
          <w:b/>
          <w:spacing w:val="20"/>
          <w:sz w:val="28"/>
          <w:szCs w:val="28"/>
        </w:rPr>
        <w:t>圖</w:t>
      </w:r>
      <w:r w:rsidRPr="00963D26">
        <w:rPr>
          <w:rFonts w:eastAsia="標楷體" w:hint="eastAsia"/>
          <w:b/>
          <w:spacing w:val="20"/>
          <w:sz w:val="28"/>
          <w:szCs w:val="28"/>
        </w:rPr>
        <w:t>4-</w:t>
      </w:r>
      <w:r w:rsidR="007636AA">
        <w:rPr>
          <w:rFonts w:eastAsia="標楷體"/>
          <w:b/>
          <w:spacing w:val="20"/>
          <w:sz w:val="28"/>
          <w:szCs w:val="28"/>
        </w:rPr>
        <w:t>2</w:t>
      </w:r>
      <w:r w:rsidRPr="00963D26">
        <w:rPr>
          <w:rFonts w:eastAsia="標楷體"/>
          <w:b/>
          <w:spacing w:val="20"/>
          <w:sz w:val="28"/>
          <w:szCs w:val="28"/>
        </w:rPr>
        <w:t xml:space="preserve"> </w:t>
      </w:r>
      <w:r w:rsidRPr="00963D26">
        <w:rPr>
          <w:rFonts w:eastAsia="標楷體" w:hint="eastAsia"/>
          <w:b/>
          <w:spacing w:val="20"/>
          <w:sz w:val="28"/>
          <w:szCs w:val="28"/>
        </w:rPr>
        <w:t>國營事業</w:t>
      </w:r>
      <w:r w:rsidR="00E17694">
        <w:rPr>
          <w:rFonts w:eastAsia="標楷體" w:hint="eastAsia"/>
          <w:b/>
          <w:spacing w:val="20"/>
          <w:sz w:val="28"/>
          <w:szCs w:val="28"/>
        </w:rPr>
        <w:t>111</w:t>
      </w:r>
      <w:r w:rsidR="00E17694">
        <w:rPr>
          <w:rFonts w:eastAsia="標楷體" w:hint="eastAsia"/>
          <w:b/>
          <w:spacing w:val="20"/>
          <w:sz w:val="28"/>
          <w:szCs w:val="28"/>
        </w:rPr>
        <w:t>年度</w:t>
      </w:r>
      <w:r w:rsidRPr="00963D26">
        <w:rPr>
          <w:rFonts w:eastAsia="標楷體" w:hint="eastAsia"/>
          <w:b/>
          <w:spacing w:val="20"/>
          <w:sz w:val="28"/>
          <w:szCs w:val="28"/>
        </w:rPr>
        <w:t>資產、負債及權益</w:t>
      </w:r>
    </w:p>
    <w:p w:rsidR="00E20F42" w:rsidRDefault="00E20F42" w:rsidP="00BF063C">
      <w:pPr>
        <w:tabs>
          <w:tab w:val="left" w:pos="3402"/>
        </w:tabs>
        <w:spacing w:beforeLines="50" w:before="120" w:line="360" w:lineRule="auto"/>
        <w:jc w:val="center"/>
        <w:outlineLvl w:val="0"/>
        <w:rPr>
          <w:rFonts w:eastAsia="標楷體"/>
          <w:b/>
          <w:spacing w:val="20"/>
          <w:sz w:val="28"/>
          <w:szCs w:val="28"/>
        </w:rPr>
      </w:pPr>
    </w:p>
    <w:p w:rsidR="00177136" w:rsidRPr="005C5E31" w:rsidRDefault="00177136" w:rsidP="009C7D60">
      <w:pPr>
        <w:tabs>
          <w:tab w:val="left" w:pos="3402"/>
        </w:tabs>
        <w:spacing w:line="360" w:lineRule="auto"/>
        <w:jc w:val="center"/>
        <w:outlineLvl w:val="0"/>
        <w:rPr>
          <w:rFonts w:eastAsia="標楷體"/>
          <w:b/>
          <w:spacing w:val="20"/>
          <w:sz w:val="50"/>
          <w:szCs w:val="50"/>
        </w:rPr>
      </w:pPr>
      <w:r w:rsidRPr="005C5E31">
        <w:rPr>
          <w:rFonts w:eastAsia="標楷體" w:hint="eastAsia"/>
          <w:b/>
          <w:spacing w:val="20"/>
          <w:sz w:val="50"/>
          <w:szCs w:val="50"/>
        </w:rPr>
        <w:lastRenderedPageBreak/>
        <w:t>貳、決算綜合分析</w:t>
      </w:r>
    </w:p>
    <w:p w:rsidR="00177136" w:rsidRPr="005C5E31" w:rsidRDefault="00177136" w:rsidP="00017346">
      <w:pPr>
        <w:spacing w:line="560" w:lineRule="exact"/>
        <w:ind w:firstLine="709"/>
        <w:jc w:val="both"/>
        <w:rPr>
          <w:rFonts w:eastAsia="標楷體"/>
          <w:spacing w:val="20"/>
          <w:sz w:val="30"/>
        </w:rPr>
      </w:pPr>
      <w:r w:rsidRPr="005C5E31">
        <w:rPr>
          <w:rFonts w:eastAsia="標楷體" w:hint="eastAsia"/>
          <w:spacing w:val="20"/>
          <w:sz w:val="30"/>
        </w:rPr>
        <w:t>為進一步表達</w:t>
      </w:r>
      <w:r w:rsidR="00DF3AA4" w:rsidRPr="005C5E31">
        <w:rPr>
          <w:rFonts w:eastAsia="標楷體" w:hint="eastAsia"/>
          <w:spacing w:val="20"/>
          <w:sz w:val="30"/>
        </w:rPr>
        <w:t>本年度</w:t>
      </w:r>
      <w:r w:rsidR="007D4078" w:rsidRPr="005C5E31">
        <w:rPr>
          <w:rFonts w:eastAsia="標楷體" w:hint="eastAsia"/>
          <w:spacing w:val="20"/>
          <w:sz w:val="30"/>
        </w:rPr>
        <w:t>決算</w:t>
      </w:r>
      <w:r w:rsidRPr="005C5E31">
        <w:rPr>
          <w:rFonts w:eastAsia="標楷體" w:hint="eastAsia"/>
          <w:spacing w:val="20"/>
          <w:sz w:val="30"/>
        </w:rPr>
        <w:t>國營事業概況，特就</w:t>
      </w:r>
      <w:r w:rsidR="007D4078">
        <w:rPr>
          <w:rFonts w:eastAsia="標楷體" w:hint="eastAsia"/>
          <w:spacing w:val="20"/>
          <w:sz w:val="30"/>
        </w:rPr>
        <w:t>其</w:t>
      </w:r>
      <w:r w:rsidRPr="005C5E31">
        <w:rPr>
          <w:rFonts w:eastAsia="標楷體" w:hint="eastAsia"/>
          <w:spacing w:val="20"/>
          <w:sz w:val="30"/>
        </w:rPr>
        <w:t>經營績效、對財政及經濟貢獻、研究發展、環境保護等，逐項分析如下：</w:t>
      </w:r>
    </w:p>
    <w:p w:rsidR="00177136" w:rsidRDefault="00177136" w:rsidP="00177136">
      <w:pPr>
        <w:spacing w:beforeLines="100" w:before="240" w:line="360" w:lineRule="auto"/>
        <w:outlineLvl w:val="0"/>
        <w:rPr>
          <w:rFonts w:eastAsia="標楷體"/>
          <w:b/>
          <w:spacing w:val="20"/>
          <w:sz w:val="40"/>
        </w:rPr>
      </w:pPr>
      <w:r w:rsidRPr="005C5E31">
        <w:rPr>
          <w:rFonts w:eastAsia="標楷體" w:hint="eastAsia"/>
          <w:b/>
          <w:spacing w:val="20"/>
          <w:sz w:val="40"/>
        </w:rPr>
        <w:t>一、經營績效</w:t>
      </w:r>
    </w:p>
    <w:p w:rsidR="00D06438" w:rsidRPr="00D06438" w:rsidRDefault="00D06438" w:rsidP="00D06438">
      <w:pPr>
        <w:tabs>
          <w:tab w:val="left" w:pos="3402"/>
        </w:tabs>
        <w:spacing w:afterLines="50" w:after="120" w:line="600" w:lineRule="exact"/>
        <w:ind w:left="425" w:firstLineChars="200" w:firstLine="688"/>
        <w:jc w:val="both"/>
        <w:outlineLvl w:val="0"/>
        <w:rPr>
          <w:rFonts w:eastAsia="標楷體"/>
          <w:spacing w:val="22"/>
          <w:sz w:val="30"/>
        </w:rPr>
      </w:pPr>
      <w:r>
        <w:rPr>
          <w:rFonts w:eastAsia="標楷體" w:hint="eastAsia"/>
          <w:spacing w:val="22"/>
          <w:sz w:val="30"/>
        </w:rPr>
        <w:t>為瞭解</w:t>
      </w:r>
      <w:r w:rsidRPr="00D06438">
        <w:rPr>
          <w:rFonts w:eastAsia="標楷體" w:hint="eastAsia"/>
          <w:spacing w:val="22"/>
          <w:sz w:val="30"/>
        </w:rPr>
        <w:t>國營事業之經營績效，</w:t>
      </w:r>
      <w:r>
        <w:rPr>
          <w:rFonts w:eastAsia="標楷體" w:hint="eastAsia"/>
          <w:spacing w:val="22"/>
          <w:sz w:val="30"/>
        </w:rPr>
        <w:t>茲就</w:t>
      </w:r>
      <w:r w:rsidRPr="00D06438">
        <w:rPr>
          <w:rFonts w:eastAsia="標楷體" w:hint="eastAsia"/>
          <w:spacing w:val="22"/>
          <w:sz w:val="30"/>
        </w:rPr>
        <w:t>盈虧增減金額</w:t>
      </w:r>
      <w:r>
        <w:rPr>
          <w:rFonts w:eastAsia="標楷體" w:hint="eastAsia"/>
          <w:spacing w:val="22"/>
          <w:sz w:val="30"/>
        </w:rPr>
        <w:t>與</w:t>
      </w:r>
      <w:r w:rsidRPr="00D06438">
        <w:rPr>
          <w:rFonts w:eastAsia="標楷體" w:hint="eastAsia"/>
          <w:spacing w:val="22"/>
          <w:sz w:val="30"/>
        </w:rPr>
        <w:t>經營比率</w:t>
      </w:r>
      <w:r>
        <w:rPr>
          <w:rFonts w:eastAsia="標楷體" w:hint="eastAsia"/>
          <w:spacing w:val="22"/>
          <w:sz w:val="30"/>
        </w:rPr>
        <w:t>加以</w:t>
      </w:r>
      <w:r w:rsidRPr="00D06438">
        <w:rPr>
          <w:rFonts w:eastAsia="標楷體" w:hint="eastAsia"/>
          <w:spacing w:val="22"/>
          <w:sz w:val="30"/>
        </w:rPr>
        <w:t>分析</w:t>
      </w:r>
      <w:r w:rsidR="0076365D" w:rsidRPr="005C5E31">
        <w:rPr>
          <w:rFonts w:eastAsia="標楷體" w:hint="eastAsia"/>
          <w:spacing w:val="18"/>
          <w:sz w:val="30"/>
        </w:rPr>
        <w:t>：</w:t>
      </w:r>
    </w:p>
    <w:p w:rsidR="00177136" w:rsidRPr="005C5E31" w:rsidRDefault="00177136" w:rsidP="00177136">
      <w:pPr>
        <w:spacing w:line="560" w:lineRule="exact"/>
        <w:ind w:left="480"/>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一</w:t>
      </w:r>
      <w:r w:rsidRPr="005C5E31">
        <w:rPr>
          <w:rFonts w:eastAsia="標楷體" w:hint="eastAsia"/>
          <w:b/>
          <w:spacing w:val="20"/>
          <w:sz w:val="30"/>
          <w:szCs w:val="30"/>
        </w:rPr>
        <w:t>)</w:t>
      </w:r>
      <w:r w:rsidR="006A11F3" w:rsidRPr="005C5E31">
        <w:rPr>
          <w:rFonts w:eastAsia="標楷體" w:hint="eastAsia"/>
          <w:b/>
          <w:spacing w:val="20"/>
          <w:sz w:val="30"/>
          <w:szCs w:val="30"/>
        </w:rPr>
        <w:t>盈虧原因分析</w:t>
      </w:r>
    </w:p>
    <w:p w:rsidR="009C0D5C" w:rsidRPr="005C5E31" w:rsidRDefault="00177136" w:rsidP="00F8779D">
      <w:pPr>
        <w:overflowPunct w:val="0"/>
        <w:spacing w:line="560" w:lineRule="exact"/>
        <w:ind w:left="1021"/>
        <w:jc w:val="both"/>
        <w:rPr>
          <w:rFonts w:eastAsia="標楷體"/>
          <w:spacing w:val="20"/>
          <w:sz w:val="30"/>
        </w:rPr>
      </w:pPr>
      <w:r w:rsidRPr="005C5E31">
        <w:rPr>
          <w:rFonts w:eastAsia="標楷體" w:hint="eastAsia"/>
          <w:spacing w:val="20"/>
          <w:sz w:val="30"/>
        </w:rPr>
        <w:t>本年度</w:t>
      </w:r>
      <w:r w:rsidR="009912EC">
        <w:rPr>
          <w:rFonts w:eastAsia="標楷體" w:hint="eastAsia"/>
          <w:spacing w:val="20"/>
          <w:sz w:val="30"/>
        </w:rPr>
        <w:t>決算</w:t>
      </w:r>
      <w:r w:rsidRPr="005C5E31">
        <w:rPr>
          <w:rFonts w:eastAsia="標楷體" w:hint="eastAsia"/>
          <w:spacing w:val="20"/>
          <w:sz w:val="30"/>
        </w:rPr>
        <w:t>國營事業經營結果，共</w:t>
      </w:r>
      <w:r w:rsidR="00133109">
        <w:rPr>
          <w:rFonts w:eastAsia="標楷體" w:hint="eastAsia"/>
          <w:spacing w:val="20"/>
          <w:sz w:val="30"/>
        </w:rPr>
        <w:t>產生</w:t>
      </w:r>
      <w:r w:rsidRPr="005C5E31">
        <w:rPr>
          <w:rFonts w:eastAsia="標楷體" w:hint="eastAsia"/>
          <w:spacing w:val="20"/>
          <w:sz w:val="30"/>
        </w:rPr>
        <w:t>淨</w:t>
      </w:r>
      <w:r w:rsidR="00382F13">
        <w:rPr>
          <w:rFonts w:eastAsia="標楷體" w:hint="eastAsia"/>
          <w:spacing w:val="20"/>
          <w:sz w:val="30"/>
        </w:rPr>
        <w:t>損</w:t>
      </w:r>
      <w:r w:rsidR="00382F13">
        <w:rPr>
          <w:rFonts w:eastAsia="標楷體" w:hint="eastAsia"/>
          <w:spacing w:val="20"/>
          <w:sz w:val="30"/>
        </w:rPr>
        <w:t>1</w:t>
      </w:r>
      <w:r w:rsidR="00382F13">
        <w:rPr>
          <w:rFonts w:eastAsia="標楷體"/>
          <w:spacing w:val="20"/>
          <w:sz w:val="30"/>
        </w:rPr>
        <w:t>,</w:t>
      </w:r>
      <w:r w:rsidR="00382F13">
        <w:rPr>
          <w:rFonts w:eastAsia="標楷體" w:hint="eastAsia"/>
          <w:spacing w:val="20"/>
          <w:sz w:val="30"/>
        </w:rPr>
        <w:t>416</w:t>
      </w:r>
      <w:r w:rsidR="00FF5548" w:rsidRPr="00FF5548">
        <w:rPr>
          <w:rFonts w:eastAsia="標楷體" w:hint="eastAsia"/>
          <w:spacing w:val="20"/>
          <w:sz w:val="30"/>
        </w:rPr>
        <w:t>億</w:t>
      </w:r>
      <w:r w:rsidRPr="005C5E31">
        <w:rPr>
          <w:rFonts w:eastAsia="標楷體" w:hint="eastAsia"/>
          <w:spacing w:val="20"/>
          <w:sz w:val="30"/>
        </w:rPr>
        <w:t>餘元，較</w:t>
      </w:r>
      <w:r w:rsidR="00581061">
        <w:rPr>
          <w:rFonts w:eastAsia="標楷體" w:hint="eastAsia"/>
          <w:spacing w:val="20"/>
          <w:sz w:val="30"/>
        </w:rPr>
        <w:t>淨利</w:t>
      </w:r>
      <w:r w:rsidRPr="005C5E31">
        <w:rPr>
          <w:rFonts w:eastAsia="標楷體" w:hint="eastAsia"/>
          <w:spacing w:val="20"/>
          <w:sz w:val="30"/>
        </w:rPr>
        <w:t>預算數</w:t>
      </w:r>
      <w:r w:rsidR="00581061">
        <w:rPr>
          <w:rFonts w:eastAsia="標楷體" w:hint="eastAsia"/>
          <w:spacing w:val="20"/>
          <w:sz w:val="30"/>
        </w:rPr>
        <w:t>2</w:t>
      </w:r>
      <w:r w:rsidR="00581061">
        <w:rPr>
          <w:rFonts w:eastAsia="標楷體"/>
          <w:spacing w:val="20"/>
          <w:sz w:val="30"/>
        </w:rPr>
        <w:t>,</w:t>
      </w:r>
      <w:r w:rsidR="00581061">
        <w:rPr>
          <w:rFonts w:eastAsia="標楷體" w:hint="eastAsia"/>
          <w:spacing w:val="20"/>
          <w:sz w:val="30"/>
        </w:rPr>
        <w:t>002</w:t>
      </w:r>
      <w:r w:rsidR="00581061" w:rsidRPr="005C5E31">
        <w:rPr>
          <w:rFonts w:eastAsia="標楷體" w:hint="eastAsia"/>
          <w:spacing w:val="20"/>
          <w:sz w:val="30"/>
        </w:rPr>
        <w:t>億餘元</w:t>
      </w:r>
      <w:r w:rsidR="00581061">
        <w:rPr>
          <w:rFonts w:eastAsia="標楷體" w:hint="eastAsia"/>
          <w:spacing w:val="20"/>
          <w:sz w:val="30"/>
        </w:rPr>
        <w:t>反盈為虧，相差</w:t>
      </w:r>
      <w:r w:rsidR="00FF5548" w:rsidRPr="00FF5548">
        <w:rPr>
          <w:rFonts w:eastAsia="標楷體" w:hint="eastAsia"/>
          <w:spacing w:val="20"/>
          <w:sz w:val="30"/>
        </w:rPr>
        <w:t>3</w:t>
      </w:r>
      <w:r w:rsidR="00133109">
        <w:rPr>
          <w:rFonts w:eastAsia="標楷體"/>
          <w:spacing w:val="20"/>
          <w:sz w:val="30"/>
        </w:rPr>
        <w:t>,</w:t>
      </w:r>
      <w:r w:rsidR="00581061">
        <w:rPr>
          <w:rFonts w:eastAsia="標楷體"/>
          <w:spacing w:val="20"/>
          <w:sz w:val="30"/>
        </w:rPr>
        <w:t>41</w:t>
      </w:r>
      <w:r w:rsidR="00133109">
        <w:rPr>
          <w:rFonts w:eastAsia="標楷體"/>
          <w:spacing w:val="20"/>
          <w:sz w:val="30"/>
        </w:rPr>
        <w:t>8</w:t>
      </w:r>
      <w:r w:rsidRPr="005C5E31">
        <w:rPr>
          <w:rFonts w:eastAsia="標楷體" w:hint="eastAsia"/>
          <w:spacing w:val="20"/>
          <w:sz w:val="30"/>
        </w:rPr>
        <w:t>億餘元，</w:t>
      </w:r>
      <w:r w:rsidR="00D04FD5">
        <w:rPr>
          <w:rFonts w:eastAsia="標楷體" w:hint="eastAsia"/>
          <w:spacing w:val="20"/>
          <w:sz w:val="30"/>
        </w:rPr>
        <w:t>主要係</w:t>
      </w:r>
      <w:r w:rsidR="00581061" w:rsidRPr="00581061">
        <w:rPr>
          <w:rFonts w:eastAsia="標楷體" w:hint="eastAsia"/>
          <w:spacing w:val="20"/>
          <w:sz w:val="30"/>
        </w:rPr>
        <w:t>台灣電力股份有限公司化石燃料價格較預算高，支出增加致虧損擴大，產生淨損達</w:t>
      </w:r>
      <w:r w:rsidR="00581061" w:rsidRPr="00581061">
        <w:rPr>
          <w:rFonts w:eastAsia="標楷體" w:hint="eastAsia"/>
          <w:spacing w:val="20"/>
          <w:sz w:val="30"/>
        </w:rPr>
        <w:t>2,26</w:t>
      </w:r>
      <w:r w:rsidR="00581061">
        <w:rPr>
          <w:rFonts w:eastAsia="標楷體"/>
          <w:spacing w:val="20"/>
          <w:sz w:val="30"/>
        </w:rPr>
        <w:t>5</w:t>
      </w:r>
      <w:r w:rsidR="00581061" w:rsidRPr="00581061">
        <w:rPr>
          <w:rFonts w:eastAsia="標楷體" w:hint="eastAsia"/>
          <w:spacing w:val="20"/>
          <w:sz w:val="30"/>
        </w:rPr>
        <w:t>億</w:t>
      </w:r>
      <w:r w:rsidR="00581061" w:rsidRPr="005C5E31">
        <w:rPr>
          <w:rFonts w:eastAsia="標楷體" w:hint="eastAsia"/>
          <w:spacing w:val="20"/>
          <w:sz w:val="30"/>
        </w:rPr>
        <w:t>餘</w:t>
      </w:r>
      <w:r w:rsidR="00581061" w:rsidRPr="00581061">
        <w:rPr>
          <w:rFonts w:eastAsia="標楷體" w:hint="eastAsia"/>
          <w:spacing w:val="20"/>
          <w:sz w:val="30"/>
        </w:rPr>
        <w:t>元；及台灣中油股份有限公司因國際油氣價格上漲進口成本攀升，但為配合穩定物價政策，售價未配合氣價公式足額調整，產生淨損達</w:t>
      </w:r>
      <w:r w:rsidR="00581061" w:rsidRPr="00581061">
        <w:rPr>
          <w:rFonts w:eastAsia="標楷體" w:hint="eastAsia"/>
          <w:spacing w:val="20"/>
          <w:sz w:val="30"/>
        </w:rPr>
        <w:t>1,876</w:t>
      </w:r>
      <w:r w:rsidR="00581061" w:rsidRPr="00581061">
        <w:rPr>
          <w:rFonts w:eastAsia="標楷體" w:hint="eastAsia"/>
          <w:spacing w:val="20"/>
          <w:sz w:val="30"/>
        </w:rPr>
        <w:t>億</w:t>
      </w:r>
      <w:r w:rsidR="00581061" w:rsidRPr="005C5E31">
        <w:rPr>
          <w:rFonts w:eastAsia="標楷體" w:hint="eastAsia"/>
          <w:spacing w:val="20"/>
          <w:sz w:val="30"/>
        </w:rPr>
        <w:t>餘</w:t>
      </w:r>
      <w:r w:rsidR="00581061" w:rsidRPr="00581061">
        <w:rPr>
          <w:rFonts w:eastAsia="標楷體" w:hint="eastAsia"/>
          <w:spacing w:val="20"/>
          <w:sz w:val="30"/>
        </w:rPr>
        <w:t>元等所致</w:t>
      </w:r>
      <w:r w:rsidRPr="005C5E31">
        <w:rPr>
          <w:rFonts w:eastAsia="標楷體" w:hint="eastAsia"/>
          <w:spacing w:val="20"/>
          <w:sz w:val="30"/>
        </w:rPr>
        <w:t>。</w:t>
      </w:r>
    </w:p>
    <w:p w:rsidR="00177136" w:rsidRPr="005C5E31" w:rsidRDefault="00177136" w:rsidP="00177136">
      <w:pPr>
        <w:spacing w:line="560" w:lineRule="exact"/>
        <w:ind w:leftChars="-22" w:left="1" w:hangingChars="16" w:hanging="54"/>
        <w:outlineLvl w:val="0"/>
        <w:rPr>
          <w:rFonts w:eastAsia="標楷體"/>
          <w:b/>
          <w:spacing w:val="20"/>
          <w:sz w:val="30"/>
          <w:szCs w:val="30"/>
        </w:rPr>
      </w:pPr>
      <w:r w:rsidRPr="005C5E31">
        <w:rPr>
          <w:rFonts w:eastAsia="標楷體" w:hint="eastAsia"/>
          <w:b/>
          <w:spacing w:val="20"/>
          <w:sz w:val="30"/>
          <w:szCs w:val="30"/>
        </w:rPr>
        <w:t xml:space="preserve"> </w:t>
      </w:r>
      <w:r w:rsidRPr="005C5E31">
        <w:rPr>
          <w:rFonts w:eastAsia="標楷體"/>
          <w:b/>
          <w:spacing w:val="20"/>
          <w:sz w:val="30"/>
          <w:szCs w:val="30"/>
        </w:rPr>
        <w:t xml:space="preserve">  </w:t>
      </w:r>
      <w:r w:rsidRPr="005C5E31">
        <w:rPr>
          <w:rFonts w:eastAsia="標楷體" w:hint="eastAsia"/>
          <w:b/>
          <w:spacing w:val="20"/>
          <w:sz w:val="30"/>
          <w:szCs w:val="30"/>
        </w:rPr>
        <w:t>(</w:t>
      </w:r>
      <w:r w:rsidRPr="005C5E31">
        <w:rPr>
          <w:rFonts w:eastAsia="標楷體" w:hint="eastAsia"/>
          <w:b/>
          <w:spacing w:val="20"/>
          <w:sz w:val="30"/>
          <w:szCs w:val="30"/>
        </w:rPr>
        <w:t>二</w:t>
      </w:r>
      <w:r w:rsidRPr="005C5E31">
        <w:rPr>
          <w:rFonts w:eastAsia="標楷體" w:hint="eastAsia"/>
          <w:b/>
          <w:spacing w:val="20"/>
          <w:sz w:val="30"/>
          <w:szCs w:val="30"/>
        </w:rPr>
        <w:t>)</w:t>
      </w:r>
      <w:r w:rsidR="006A11F3" w:rsidRPr="005C5E31">
        <w:rPr>
          <w:rFonts w:eastAsia="標楷體" w:hint="eastAsia"/>
          <w:b/>
          <w:spacing w:val="20"/>
          <w:sz w:val="30"/>
          <w:szCs w:val="30"/>
        </w:rPr>
        <w:t>經營比率分析</w:t>
      </w:r>
    </w:p>
    <w:p w:rsidR="00177136" w:rsidRPr="005C5E31" w:rsidRDefault="00177136" w:rsidP="00177136">
      <w:pPr>
        <w:spacing w:line="560" w:lineRule="exact"/>
        <w:ind w:left="1021"/>
        <w:jc w:val="both"/>
        <w:rPr>
          <w:rFonts w:eastAsia="標楷體"/>
          <w:spacing w:val="20"/>
          <w:sz w:val="30"/>
        </w:rPr>
      </w:pPr>
      <w:r w:rsidRPr="005C5E31">
        <w:rPr>
          <w:rFonts w:eastAsia="標楷體" w:hint="eastAsia"/>
          <w:spacing w:val="20"/>
          <w:sz w:val="30"/>
        </w:rPr>
        <w:t>國營事業之經營比率分析</w:t>
      </w:r>
      <w:r w:rsidR="009912EC">
        <w:rPr>
          <w:rFonts w:eastAsia="標楷體" w:hint="eastAsia"/>
          <w:spacing w:val="20"/>
          <w:sz w:val="30"/>
        </w:rPr>
        <w:t>，</w:t>
      </w:r>
      <w:r w:rsidRPr="005C5E31">
        <w:rPr>
          <w:rFonts w:eastAsia="標楷體" w:hint="eastAsia"/>
          <w:spacing w:val="20"/>
          <w:sz w:val="30"/>
        </w:rPr>
        <w:t>茲就營業利益率及淨利率等經營績效指標，分述如下：</w:t>
      </w:r>
    </w:p>
    <w:p w:rsidR="007E0EFD" w:rsidRPr="005C5E31" w:rsidRDefault="00177136" w:rsidP="007E0EFD">
      <w:pPr>
        <w:adjustRightInd w:val="0"/>
        <w:spacing w:line="560" w:lineRule="exact"/>
        <w:ind w:left="1305" w:hanging="284"/>
        <w:jc w:val="both"/>
        <w:rPr>
          <w:rFonts w:eastAsia="標楷體"/>
          <w:spacing w:val="20"/>
          <w:sz w:val="30"/>
        </w:rPr>
      </w:pPr>
      <w:r w:rsidRPr="005C5E31">
        <w:rPr>
          <w:rFonts w:eastAsia="標楷體"/>
          <w:spacing w:val="20"/>
          <w:sz w:val="30"/>
        </w:rPr>
        <w:t>1.</w:t>
      </w:r>
      <w:r w:rsidRPr="005C5E31">
        <w:rPr>
          <w:rFonts w:eastAsia="標楷體" w:hint="eastAsia"/>
          <w:spacing w:val="20"/>
          <w:sz w:val="30"/>
        </w:rPr>
        <w:t>營業利益率（營業利益／營業收入）：全部事業本年度決算為</w:t>
      </w:r>
      <w:r w:rsidR="00F47ABF">
        <w:rPr>
          <w:rFonts w:eastAsia="標楷體" w:hint="eastAsia"/>
          <w:spacing w:val="20"/>
          <w:sz w:val="30"/>
        </w:rPr>
        <w:t>負</w:t>
      </w:r>
      <w:r w:rsidR="007C7D03">
        <w:rPr>
          <w:rFonts w:eastAsia="標楷體"/>
          <w:spacing w:val="20"/>
          <w:sz w:val="30"/>
        </w:rPr>
        <w:t>5.8</w:t>
      </w:r>
      <w:r w:rsidRPr="005C5E31">
        <w:rPr>
          <w:rFonts w:eastAsia="標楷體" w:hint="eastAsia"/>
          <w:spacing w:val="20"/>
          <w:sz w:val="30"/>
        </w:rPr>
        <w:t>％，即每百元之營業收入於扣除營業成本及費用後，</w:t>
      </w:r>
      <w:r w:rsidR="00133109">
        <w:rPr>
          <w:rFonts w:eastAsia="標楷體" w:hint="eastAsia"/>
          <w:spacing w:val="20"/>
          <w:sz w:val="30"/>
        </w:rPr>
        <w:t>產生</w:t>
      </w:r>
      <w:r w:rsidRPr="005C5E31">
        <w:rPr>
          <w:rFonts w:eastAsia="標楷體" w:hint="eastAsia"/>
          <w:spacing w:val="20"/>
          <w:sz w:val="30"/>
        </w:rPr>
        <w:t>營業</w:t>
      </w:r>
      <w:r w:rsidR="007C7D03">
        <w:rPr>
          <w:rFonts w:eastAsia="標楷體" w:hint="eastAsia"/>
          <w:spacing w:val="20"/>
          <w:sz w:val="30"/>
        </w:rPr>
        <w:t>損失</w:t>
      </w:r>
      <w:r w:rsidR="007C7D03">
        <w:rPr>
          <w:rFonts w:eastAsia="標楷體" w:hint="eastAsia"/>
          <w:spacing w:val="20"/>
          <w:sz w:val="30"/>
        </w:rPr>
        <w:t>5.8</w:t>
      </w:r>
      <w:r w:rsidRPr="005C5E31">
        <w:rPr>
          <w:rFonts w:eastAsia="標楷體" w:hint="eastAsia"/>
          <w:spacing w:val="20"/>
          <w:sz w:val="30"/>
        </w:rPr>
        <w:t>元，</w:t>
      </w:r>
      <w:r w:rsidR="00993214">
        <w:rPr>
          <w:rFonts w:eastAsia="標楷體" w:hint="eastAsia"/>
          <w:spacing w:val="20"/>
          <w:sz w:val="30"/>
        </w:rPr>
        <w:t>與</w:t>
      </w:r>
      <w:r w:rsidRPr="005C5E31">
        <w:rPr>
          <w:rFonts w:eastAsia="標楷體" w:hint="eastAsia"/>
          <w:spacing w:val="20"/>
          <w:sz w:val="30"/>
        </w:rPr>
        <w:t>預算</w:t>
      </w:r>
      <w:r w:rsidR="007C7D03">
        <w:rPr>
          <w:rFonts w:eastAsia="標楷體"/>
          <w:spacing w:val="20"/>
          <w:sz w:val="30"/>
        </w:rPr>
        <w:t>9.4</w:t>
      </w:r>
      <w:r w:rsidRPr="005C5E31">
        <w:rPr>
          <w:rFonts w:eastAsia="標楷體" w:hint="eastAsia"/>
          <w:spacing w:val="20"/>
          <w:sz w:val="30"/>
        </w:rPr>
        <w:t>％</w:t>
      </w:r>
      <w:r w:rsidR="007B3557" w:rsidRPr="005C5E31">
        <w:rPr>
          <w:rFonts w:eastAsia="標楷體" w:hint="eastAsia"/>
          <w:spacing w:val="16"/>
          <w:sz w:val="30"/>
        </w:rPr>
        <w:t>相較，由</w:t>
      </w:r>
      <w:r w:rsidR="007B3557">
        <w:rPr>
          <w:rFonts w:eastAsia="標楷體" w:hint="eastAsia"/>
          <w:spacing w:val="16"/>
          <w:sz w:val="30"/>
        </w:rPr>
        <w:t>正</w:t>
      </w:r>
      <w:r w:rsidR="007B3557" w:rsidRPr="005C5E31">
        <w:rPr>
          <w:rFonts w:eastAsia="標楷體" w:hint="eastAsia"/>
          <w:spacing w:val="16"/>
          <w:sz w:val="30"/>
        </w:rPr>
        <w:t>轉</w:t>
      </w:r>
      <w:r w:rsidR="007B3557">
        <w:rPr>
          <w:rFonts w:eastAsia="標楷體" w:hint="eastAsia"/>
          <w:spacing w:val="16"/>
          <w:sz w:val="30"/>
        </w:rPr>
        <w:t>負</w:t>
      </w:r>
      <w:r w:rsidRPr="005C5E31">
        <w:rPr>
          <w:rFonts w:eastAsia="標楷體" w:hint="eastAsia"/>
          <w:spacing w:val="20"/>
          <w:sz w:val="30"/>
        </w:rPr>
        <w:t>，</w:t>
      </w:r>
      <w:r w:rsidR="007C7D03">
        <w:rPr>
          <w:rFonts w:eastAsia="標楷體" w:hint="eastAsia"/>
          <w:spacing w:val="20"/>
          <w:sz w:val="30"/>
        </w:rPr>
        <w:t>相差</w:t>
      </w:r>
      <w:r w:rsidR="007C7D03">
        <w:rPr>
          <w:rFonts w:eastAsia="標楷體"/>
          <w:spacing w:val="20"/>
          <w:sz w:val="30"/>
        </w:rPr>
        <w:t>15.2</w:t>
      </w:r>
      <w:r w:rsidRPr="005C5E31">
        <w:rPr>
          <w:rFonts w:eastAsia="標楷體" w:hint="eastAsia"/>
          <w:spacing w:val="20"/>
          <w:sz w:val="30"/>
        </w:rPr>
        <w:t>個百分點。</w:t>
      </w:r>
      <w:r w:rsidR="007E0EFD" w:rsidRPr="005C5E31">
        <w:rPr>
          <w:rFonts w:eastAsia="標楷體" w:hint="eastAsia"/>
          <w:spacing w:val="20"/>
          <w:sz w:val="30"/>
        </w:rPr>
        <w:t>其中：</w:t>
      </w:r>
    </w:p>
    <w:p w:rsidR="007E0EFD" w:rsidRPr="005C5E31" w:rsidRDefault="007E0EFD" w:rsidP="007E0EFD">
      <w:pPr>
        <w:spacing w:line="560" w:lineRule="exact"/>
        <w:ind w:left="1548" w:hanging="425"/>
        <w:jc w:val="both"/>
        <w:rPr>
          <w:rFonts w:eastAsia="標楷體"/>
          <w:spacing w:val="20"/>
          <w:sz w:val="30"/>
        </w:rPr>
      </w:pPr>
      <w:r w:rsidRPr="005C5E31">
        <w:rPr>
          <w:rFonts w:eastAsia="標楷體" w:hint="eastAsia"/>
          <w:spacing w:val="20"/>
          <w:sz w:val="30"/>
        </w:rPr>
        <w:t>(</w:t>
      </w:r>
      <w:r w:rsidRPr="005C5E31">
        <w:rPr>
          <w:rFonts w:eastAsia="標楷體"/>
          <w:spacing w:val="20"/>
          <w:sz w:val="30"/>
        </w:rPr>
        <w:t>1</w:t>
      </w:r>
      <w:r w:rsidRPr="005C5E31">
        <w:rPr>
          <w:rFonts w:eastAsia="標楷體" w:hint="eastAsia"/>
          <w:spacing w:val="20"/>
          <w:sz w:val="30"/>
        </w:rPr>
        <w:t>)</w:t>
      </w:r>
      <w:r w:rsidRPr="005C5E31">
        <w:rPr>
          <w:rFonts w:eastAsia="標楷體" w:hint="eastAsia"/>
          <w:spacing w:val="20"/>
          <w:sz w:val="30"/>
        </w:rPr>
        <w:t>製造業：本年度決算為</w:t>
      </w:r>
      <w:r w:rsidR="007B3557" w:rsidRPr="005C5E31">
        <w:rPr>
          <w:rFonts w:eastAsia="標楷體" w:hint="eastAsia"/>
          <w:spacing w:val="-2"/>
          <w:sz w:val="30"/>
        </w:rPr>
        <w:t>負</w:t>
      </w:r>
      <w:r w:rsidR="00615197">
        <w:rPr>
          <w:rFonts w:eastAsia="標楷體"/>
          <w:spacing w:val="20"/>
          <w:sz w:val="30"/>
        </w:rPr>
        <w:t>15</w:t>
      </w:r>
      <w:r w:rsidRPr="005C5E31">
        <w:rPr>
          <w:rFonts w:eastAsia="標楷體" w:hint="eastAsia"/>
          <w:spacing w:val="20"/>
          <w:sz w:val="30"/>
        </w:rPr>
        <w:t>％，</w:t>
      </w:r>
      <w:r w:rsidR="00993214">
        <w:rPr>
          <w:rFonts w:eastAsia="標楷體" w:hint="eastAsia"/>
          <w:spacing w:val="20"/>
          <w:sz w:val="30"/>
        </w:rPr>
        <w:t>與</w:t>
      </w:r>
      <w:r w:rsidRPr="005C5E31">
        <w:rPr>
          <w:rFonts w:eastAsia="標楷體" w:hint="eastAsia"/>
          <w:spacing w:val="20"/>
          <w:sz w:val="30"/>
        </w:rPr>
        <w:t>預算</w:t>
      </w:r>
      <w:r w:rsidR="00615197">
        <w:rPr>
          <w:rFonts w:eastAsia="標楷體"/>
          <w:spacing w:val="20"/>
          <w:sz w:val="30"/>
        </w:rPr>
        <w:t>2.5</w:t>
      </w:r>
      <w:r w:rsidRPr="005C5E31">
        <w:rPr>
          <w:rFonts w:eastAsia="標楷體" w:hint="eastAsia"/>
          <w:spacing w:val="20"/>
          <w:sz w:val="30"/>
        </w:rPr>
        <w:t>％</w:t>
      </w:r>
      <w:r w:rsidR="007B3557" w:rsidRPr="005C5E31">
        <w:rPr>
          <w:rFonts w:eastAsia="標楷體" w:hint="eastAsia"/>
          <w:spacing w:val="16"/>
          <w:sz w:val="30"/>
        </w:rPr>
        <w:t>相較，由</w:t>
      </w:r>
      <w:r w:rsidR="007B3557">
        <w:rPr>
          <w:rFonts w:eastAsia="標楷體" w:hint="eastAsia"/>
          <w:spacing w:val="16"/>
          <w:sz w:val="30"/>
        </w:rPr>
        <w:t>正</w:t>
      </w:r>
      <w:r w:rsidR="007B3557" w:rsidRPr="005C5E31">
        <w:rPr>
          <w:rFonts w:eastAsia="標楷體" w:hint="eastAsia"/>
          <w:spacing w:val="16"/>
          <w:sz w:val="30"/>
        </w:rPr>
        <w:t>轉</w:t>
      </w:r>
      <w:r w:rsidR="007B3557">
        <w:rPr>
          <w:rFonts w:eastAsia="標楷體" w:hint="eastAsia"/>
          <w:spacing w:val="16"/>
          <w:sz w:val="30"/>
        </w:rPr>
        <w:t>負</w:t>
      </w:r>
      <w:r w:rsidRPr="005C5E31">
        <w:rPr>
          <w:rFonts w:eastAsia="標楷體" w:hint="eastAsia"/>
          <w:spacing w:val="20"/>
          <w:sz w:val="30"/>
        </w:rPr>
        <w:t>，</w:t>
      </w:r>
      <w:r w:rsidR="00615197">
        <w:rPr>
          <w:rFonts w:eastAsia="標楷體" w:hint="eastAsia"/>
          <w:spacing w:val="20"/>
          <w:sz w:val="30"/>
        </w:rPr>
        <w:t>相差</w:t>
      </w:r>
      <w:r w:rsidRPr="005C5E31">
        <w:rPr>
          <w:rFonts w:eastAsia="標楷體" w:hint="eastAsia"/>
          <w:spacing w:val="20"/>
          <w:sz w:val="30"/>
        </w:rPr>
        <w:t>1</w:t>
      </w:r>
      <w:r w:rsidR="00615197">
        <w:rPr>
          <w:rFonts w:eastAsia="標楷體"/>
          <w:spacing w:val="20"/>
          <w:sz w:val="30"/>
        </w:rPr>
        <w:t>7</w:t>
      </w:r>
      <w:r w:rsidRPr="005C5E31">
        <w:rPr>
          <w:rFonts w:eastAsia="標楷體" w:hint="eastAsia"/>
          <w:spacing w:val="20"/>
          <w:sz w:val="30"/>
        </w:rPr>
        <w:t>.</w:t>
      </w:r>
      <w:r w:rsidRPr="005C5E31">
        <w:rPr>
          <w:rFonts w:eastAsia="標楷體"/>
          <w:spacing w:val="20"/>
          <w:sz w:val="30"/>
        </w:rPr>
        <w:t>5</w:t>
      </w:r>
      <w:r w:rsidRPr="005C5E31">
        <w:rPr>
          <w:rFonts w:eastAsia="標楷體" w:hint="eastAsia"/>
          <w:spacing w:val="20"/>
          <w:sz w:val="30"/>
        </w:rPr>
        <w:t>個百分點。</w:t>
      </w:r>
    </w:p>
    <w:p w:rsidR="007E0EFD" w:rsidRPr="005C5E31" w:rsidRDefault="007E0EFD" w:rsidP="007E0EFD">
      <w:pPr>
        <w:spacing w:line="560" w:lineRule="exact"/>
        <w:ind w:left="1548" w:hanging="425"/>
        <w:jc w:val="both"/>
        <w:rPr>
          <w:rFonts w:eastAsia="標楷體"/>
          <w:spacing w:val="20"/>
          <w:sz w:val="30"/>
        </w:rPr>
      </w:pPr>
      <w:r w:rsidRPr="005C5E31">
        <w:rPr>
          <w:rFonts w:eastAsia="標楷體" w:hint="eastAsia"/>
          <w:spacing w:val="20"/>
          <w:sz w:val="30"/>
        </w:rPr>
        <w:lastRenderedPageBreak/>
        <w:t>(</w:t>
      </w:r>
      <w:r w:rsidRPr="005C5E31">
        <w:rPr>
          <w:rFonts w:eastAsia="標楷體"/>
          <w:spacing w:val="20"/>
          <w:sz w:val="30"/>
        </w:rPr>
        <w:t>2</w:t>
      </w:r>
      <w:r w:rsidRPr="005C5E31">
        <w:rPr>
          <w:rFonts w:eastAsia="標楷體" w:hint="eastAsia"/>
          <w:spacing w:val="20"/>
          <w:sz w:val="30"/>
        </w:rPr>
        <w:t>)</w:t>
      </w:r>
      <w:r w:rsidRPr="005C5E31">
        <w:rPr>
          <w:rFonts w:eastAsia="標楷體" w:hint="eastAsia"/>
          <w:spacing w:val="20"/>
          <w:sz w:val="30"/>
        </w:rPr>
        <w:t>電力及燃氣供應業：本年度決算為</w:t>
      </w:r>
      <w:r w:rsidR="007B3557" w:rsidRPr="005C5E31">
        <w:rPr>
          <w:rFonts w:eastAsia="標楷體" w:hint="eastAsia"/>
          <w:spacing w:val="-2"/>
          <w:sz w:val="30"/>
        </w:rPr>
        <w:t>負</w:t>
      </w:r>
      <w:r w:rsidR="00615197">
        <w:rPr>
          <w:rFonts w:eastAsia="標楷體"/>
          <w:spacing w:val="20"/>
          <w:sz w:val="30"/>
        </w:rPr>
        <w:t>39.1</w:t>
      </w:r>
      <w:r w:rsidRPr="005C5E31">
        <w:rPr>
          <w:rFonts w:eastAsia="標楷體" w:hint="eastAsia"/>
          <w:spacing w:val="20"/>
          <w:sz w:val="30"/>
        </w:rPr>
        <w:t>％，</w:t>
      </w:r>
      <w:r w:rsidR="00993214">
        <w:rPr>
          <w:rFonts w:eastAsia="標楷體" w:hint="eastAsia"/>
          <w:spacing w:val="20"/>
          <w:sz w:val="30"/>
        </w:rPr>
        <w:t>與</w:t>
      </w:r>
      <w:r w:rsidRPr="005C5E31">
        <w:rPr>
          <w:rFonts w:eastAsia="標楷體" w:hint="eastAsia"/>
          <w:spacing w:val="20"/>
          <w:sz w:val="30"/>
        </w:rPr>
        <w:t>預算</w:t>
      </w:r>
      <w:r w:rsidRPr="005C5E31">
        <w:rPr>
          <w:rFonts w:eastAsia="標楷體"/>
          <w:spacing w:val="20"/>
          <w:sz w:val="30"/>
        </w:rPr>
        <w:t>3.</w:t>
      </w:r>
      <w:r w:rsidR="00615197">
        <w:rPr>
          <w:rFonts w:eastAsia="標楷體"/>
          <w:spacing w:val="20"/>
          <w:sz w:val="30"/>
        </w:rPr>
        <w:t>3</w:t>
      </w:r>
      <w:r w:rsidRPr="005C5E31">
        <w:rPr>
          <w:rFonts w:eastAsia="標楷體" w:hint="eastAsia"/>
          <w:spacing w:val="20"/>
          <w:sz w:val="30"/>
        </w:rPr>
        <w:t>％</w:t>
      </w:r>
      <w:r w:rsidR="007B3557" w:rsidRPr="005C5E31">
        <w:rPr>
          <w:rFonts w:eastAsia="標楷體" w:hint="eastAsia"/>
          <w:spacing w:val="16"/>
          <w:sz w:val="30"/>
        </w:rPr>
        <w:t>相較，由</w:t>
      </w:r>
      <w:r w:rsidR="007B3557">
        <w:rPr>
          <w:rFonts w:eastAsia="標楷體" w:hint="eastAsia"/>
          <w:spacing w:val="16"/>
          <w:sz w:val="30"/>
        </w:rPr>
        <w:t>正</w:t>
      </w:r>
      <w:r w:rsidR="007B3557" w:rsidRPr="005C5E31">
        <w:rPr>
          <w:rFonts w:eastAsia="標楷體" w:hint="eastAsia"/>
          <w:spacing w:val="16"/>
          <w:sz w:val="30"/>
        </w:rPr>
        <w:t>轉</w:t>
      </w:r>
      <w:r w:rsidR="007B3557">
        <w:rPr>
          <w:rFonts w:eastAsia="標楷體" w:hint="eastAsia"/>
          <w:spacing w:val="16"/>
          <w:sz w:val="30"/>
        </w:rPr>
        <w:t>負</w:t>
      </w:r>
      <w:r w:rsidRPr="005C5E31">
        <w:rPr>
          <w:rFonts w:eastAsia="標楷體" w:hint="eastAsia"/>
          <w:spacing w:val="20"/>
          <w:sz w:val="30"/>
        </w:rPr>
        <w:t>，</w:t>
      </w:r>
      <w:r w:rsidR="00615197">
        <w:rPr>
          <w:rFonts w:eastAsia="標楷體" w:hint="eastAsia"/>
          <w:spacing w:val="20"/>
          <w:sz w:val="30"/>
        </w:rPr>
        <w:t>相差</w:t>
      </w:r>
      <w:r w:rsidR="00F47ABF">
        <w:rPr>
          <w:rFonts w:eastAsia="標楷體"/>
          <w:spacing w:val="20"/>
          <w:sz w:val="30"/>
        </w:rPr>
        <w:t>42.4</w:t>
      </w:r>
      <w:r w:rsidRPr="005C5E31">
        <w:rPr>
          <w:rFonts w:eastAsia="標楷體" w:hint="eastAsia"/>
          <w:spacing w:val="20"/>
          <w:sz w:val="30"/>
        </w:rPr>
        <w:t>個百分點。</w:t>
      </w:r>
    </w:p>
    <w:p w:rsidR="007E0EFD" w:rsidRPr="005C5E31" w:rsidRDefault="007E0EFD" w:rsidP="007E0EFD">
      <w:pPr>
        <w:spacing w:line="560" w:lineRule="exact"/>
        <w:ind w:left="1548" w:hanging="425"/>
        <w:jc w:val="both"/>
        <w:rPr>
          <w:rFonts w:eastAsia="標楷體"/>
          <w:spacing w:val="20"/>
          <w:sz w:val="30"/>
        </w:rPr>
      </w:pPr>
      <w:r w:rsidRPr="005C5E31">
        <w:rPr>
          <w:rFonts w:eastAsia="標楷體" w:hint="eastAsia"/>
          <w:spacing w:val="20"/>
          <w:sz w:val="30"/>
        </w:rPr>
        <w:t>(3)</w:t>
      </w:r>
      <w:r w:rsidRPr="005C5E31">
        <w:rPr>
          <w:rFonts w:eastAsia="標楷體" w:hint="eastAsia"/>
          <w:spacing w:val="14"/>
          <w:sz w:val="30"/>
        </w:rPr>
        <w:t>用水供應及污染整治業：本年度決算為</w:t>
      </w:r>
      <w:r w:rsidR="00615197">
        <w:rPr>
          <w:rFonts w:eastAsia="標楷體"/>
          <w:spacing w:val="14"/>
          <w:sz w:val="30"/>
        </w:rPr>
        <w:t>2.9</w:t>
      </w:r>
      <w:r w:rsidRPr="005C5E31">
        <w:rPr>
          <w:rFonts w:eastAsia="標楷體" w:hint="eastAsia"/>
          <w:spacing w:val="14"/>
          <w:sz w:val="30"/>
        </w:rPr>
        <w:t>％，較預算</w:t>
      </w:r>
      <w:r w:rsidR="00615197">
        <w:rPr>
          <w:rFonts w:eastAsia="標楷體"/>
          <w:spacing w:val="14"/>
          <w:sz w:val="30"/>
        </w:rPr>
        <w:t>3</w:t>
      </w:r>
      <w:r w:rsidRPr="005C5E31">
        <w:rPr>
          <w:rFonts w:eastAsia="標楷體" w:hint="eastAsia"/>
          <w:spacing w:val="14"/>
          <w:sz w:val="30"/>
        </w:rPr>
        <w:t>％</w:t>
      </w:r>
      <w:r w:rsidRPr="005C5E31">
        <w:rPr>
          <w:rFonts w:eastAsia="標楷體" w:hint="eastAsia"/>
          <w:spacing w:val="20"/>
          <w:sz w:val="30"/>
        </w:rPr>
        <w:t>，</w:t>
      </w:r>
      <w:r w:rsidR="00615197">
        <w:rPr>
          <w:rFonts w:eastAsia="標楷體" w:hint="eastAsia"/>
          <w:spacing w:val="20"/>
          <w:sz w:val="30"/>
        </w:rPr>
        <w:t>減少</w:t>
      </w:r>
      <w:r w:rsidRPr="005C5E31">
        <w:rPr>
          <w:rFonts w:eastAsia="標楷體" w:hint="eastAsia"/>
          <w:spacing w:val="20"/>
          <w:sz w:val="30"/>
        </w:rPr>
        <w:t>0.</w:t>
      </w:r>
      <w:r w:rsidR="00615197">
        <w:rPr>
          <w:rFonts w:eastAsia="標楷體"/>
          <w:spacing w:val="20"/>
          <w:sz w:val="30"/>
        </w:rPr>
        <w:t>1</w:t>
      </w:r>
      <w:r w:rsidRPr="005C5E31">
        <w:rPr>
          <w:rFonts w:eastAsia="標楷體" w:hint="eastAsia"/>
          <w:spacing w:val="20"/>
          <w:sz w:val="30"/>
        </w:rPr>
        <w:t>個百分點。</w:t>
      </w:r>
    </w:p>
    <w:p w:rsidR="007E0EFD" w:rsidRPr="005C5E31" w:rsidRDefault="007E0EFD" w:rsidP="007E0EFD">
      <w:pPr>
        <w:spacing w:line="560" w:lineRule="exact"/>
        <w:ind w:left="1548" w:hanging="425"/>
        <w:jc w:val="both"/>
        <w:rPr>
          <w:rFonts w:eastAsia="標楷體"/>
          <w:spacing w:val="20"/>
          <w:sz w:val="30"/>
        </w:rPr>
      </w:pPr>
      <w:r w:rsidRPr="005C5E31">
        <w:rPr>
          <w:rFonts w:eastAsia="標楷體" w:hint="eastAsia"/>
          <w:spacing w:val="20"/>
          <w:sz w:val="30"/>
        </w:rPr>
        <w:t>(4)</w:t>
      </w:r>
      <w:r w:rsidRPr="005C5E31">
        <w:rPr>
          <w:rFonts w:eastAsia="標楷體" w:hint="eastAsia"/>
          <w:spacing w:val="16"/>
          <w:sz w:val="30"/>
        </w:rPr>
        <w:t>運輸及倉儲業：本年度決算為</w:t>
      </w:r>
      <w:r w:rsidR="007B3557" w:rsidRPr="005C5E31">
        <w:rPr>
          <w:rFonts w:eastAsia="標楷體" w:hint="eastAsia"/>
          <w:spacing w:val="-2"/>
          <w:sz w:val="30"/>
        </w:rPr>
        <w:t>負</w:t>
      </w:r>
      <w:r w:rsidR="00615197">
        <w:rPr>
          <w:rFonts w:eastAsia="標楷體"/>
          <w:spacing w:val="14"/>
          <w:sz w:val="30"/>
        </w:rPr>
        <w:t>3.2</w:t>
      </w:r>
      <w:r w:rsidR="00615197" w:rsidRPr="005C5E31">
        <w:rPr>
          <w:rFonts w:eastAsia="標楷體" w:hint="eastAsia"/>
          <w:spacing w:val="14"/>
          <w:sz w:val="30"/>
        </w:rPr>
        <w:t>％，較預算</w:t>
      </w:r>
      <w:r w:rsidR="007B3557" w:rsidRPr="005C5E31">
        <w:rPr>
          <w:rFonts w:eastAsia="標楷體" w:hint="eastAsia"/>
          <w:spacing w:val="-2"/>
          <w:sz w:val="30"/>
        </w:rPr>
        <w:t>負</w:t>
      </w:r>
      <w:r w:rsidR="00615197">
        <w:rPr>
          <w:rFonts w:eastAsia="標楷體" w:hint="eastAsia"/>
          <w:spacing w:val="14"/>
          <w:sz w:val="30"/>
        </w:rPr>
        <w:t>1</w:t>
      </w:r>
      <w:r w:rsidR="00615197" w:rsidRPr="005C5E31">
        <w:rPr>
          <w:rFonts w:eastAsia="標楷體"/>
          <w:spacing w:val="14"/>
          <w:sz w:val="30"/>
        </w:rPr>
        <w:t>.7</w:t>
      </w:r>
      <w:r w:rsidRPr="005C5E31">
        <w:rPr>
          <w:rFonts w:eastAsia="標楷體" w:hint="eastAsia"/>
          <w:spacing w:val="16"/>
          <w:sz w:val="30"/>
        </w:rPr>
        <w:t>％，</w:t>
      </w:r>
      <w:r w:rsidR="007B3557">
        <w:rPr>
          <w:rFonts w:eastAsia="標楷體" w:hint="eastAsia"/>
          <w:spacing w:val="16"/>
          <w:sz w:val="30"/>
        </w:rPr>
        <w:t>增加</w:t>
      </w:r>
      <w:r w:rsidR="00615197">
        <w:rPr>
          <w:rFonts w:eastAsia="標楷體" w:hint="eastAsia"/>
          <w:spacing w:val="16"/>
          <w:sz w:val="30"/>
        </w:rPr>
        <w:t>1.5</w:t>
      </w:r>
      <w:r w:rsidRPr="005C5E31">
        <w:rPr>
          <w:rFonts w:eastAsia="標楷體" w:hint="eastAsia"/>
          <w:spacing w:val="16"/>
          <w:sz w:val="30"/>
        </w:rPr>
        <w:t>個百分點。</w:t>
      </w:r>
    </w:p>
    <w:p w:rsidR="00177136" w:rsidRPr="007E0EFD" w:rsidRDefault="007E0EFD" w:rsidP="007E0EFD">
      <w:pPr>
        <w:spacing w:line="560" w:lineRule="exact"/>
        <w:ind w:left="1548" w:hanging="425"/>
        <w:jc w:val="both"/>
        <w:rPr>
          <w:rFonts w:eastAsia="標楷體"/>
          <w:spacing w:val="16"/>
          <w:sz w:val="30"/>
        </w:rPr>
      </w:pPr>
      <w:r w:rsidRPr="007E0EFD">
        <w:rPr>
          <w:rFonts w:eastAsia="標楷體" w:hint="eastAsia"/>
          <w:spacing w:val="16"/>
          <w:sz w:val="30"/>
        </w:rPr>
        <w:t>(5)</w:t>
      </w:r>
      <w:r w:rsidRPr="007E0EFD">
        <w:rPr>
          <w:rFonts w:eastAsia="標楷體" w:hint="eastAsia"/>
          <w:spacing w:val="16"/>
          <w:sz w:val="30"/>
        </w:rPr>
        <w:t>金融及保險業：本年度決算為</w:t>
      </w:r>
      <w:r w:rsidRPr="007E0EFD">
        <w:rPr>
          <w:rFonts w:eastAsia="標楷體"/>
          <w:spacing w:val="16"/>
          <w:sz w:val="30"/>
        </w:rPr>
        <w:t>2</w:t>
      </w:r>
      <w:r w:rsidR="00615197">
        <w:rPr>
          <w:rFonts w:eastAsia="標楷體"/>
          <w:spacing w:val="16"/>
          <w:sz w:val="30"/>
        </w:rPr>
        <w:t>3.1</w:t>
      </w:r>
      <w:r w:rsidRPr="007E0EFD">
        <w:rPr>
          <w:rFonts w:eastAsia="標楷體" w:hint="eastAsia"/>
          <w:spacing w:val="16"/>
          <w:sz w:val="30"/>
        </w:rPr>
        <w:t>％，較預算</w:t>
      </w:r>
      <w:r w:rsidR="00615197">
        <w:rPr>
          <w:rFonts w:eastAsia="標楷體"/>
          <w:spacing w:val="16"/>
          <w:sz w:val="30"/>
        </w:rPr>
        <w:t>22.1</w:t>
      </w:r>
      <w:r w:rsidRPr="007E0EFD">
        <w:rPr>
          <w:rFonts w:eastAsia="標楷體" w:hint="eastAsia"/>
          <w:spacing w:val="16"/>
          <w:sz w:val="30"/>
        </w:rPr>
        <w:t>％，增加</w:t>
      </w:r>
      <w:r w:rsidR="00615197">
        <w:rPr>
          <w:rFonts w:eastAsia="標楷體"/>
          <w:spacing w:val="16"/>
          <w:sz w:val="30"/>
        </w:rPr>
        <w:t>1</w:t>
      </w:r>
      <w:r w:rsidRPr="007E0EFD">
        <w:rPr>
          <w:rFonts w:eastAsia="標楷體" w:hint="eastAsia"/>
          <w:spacing w:val="16"/>
          <w:sz w:val="30"/>
        </w:rPr>
        <w:t>個百分點。</w:t>
      </w:r>
    </w:p>
    <w:p w:rsidR="007E0EFD" w:rsidRPr="005C5E31" w:rsidRDefault="00177136" w:rsidP="007E0EFD">
      <w:pPr>
        <w:adjustRightInd w:val="0"/>
        <w:spacing w:beforeLines="75" w:before="180" w:line="360" w:lineRule="auto"/>
        <w:ind w:left="1305" w:hanging="284"/>
        <w:jc w:val="both"/>
        <w:rPr>
          <w:rFonts w:eastAsia="標楷體"/>
          <w:spacing w:val="20"/>
          <w:sz w:val="30"/>
        </w:rPr>
      </w:pPr>
      <w:r w:rsidRPr="005C5E31">
        <w:rPr>
          <w:rFonts w:eastAsia="標楷體"/>
          <w:spacing w:val="20"/>
          <w:sz w:val="30"/>
        </w:rPr>
        <w:t>2.</w:t>
      </w:r>
      <w:r w:rsidRPr="005C5E31">
        <w:rPr>
          <w:rFonts w:eastAsia="標楷體" w:hint="eastAsia"/>
          <w:spacing w:val="20"/>
          <w:sz w:val="30"/>
        </w:rPr>
        <w:t>淨利率（淨利／營業收入）：全部事業本年度決算為</w:t>
      </w:r>
      <w:r w:rsidR="007B3557" w:rsidRPr="005C5E31">
        <w:rPr>
          <w:rFonts w:eastAsia="標楷體" w:hint="eastAsia"/>
          <w:spacing w:val="-2"/>
          <w:sz w:val="30"/>
        </w:rPr>
        <w:t>負</w:t>
      </w:r>
      <w:r w:rsidR="007B3557">
        <w:rPr>
          <w:rFonts w:eastAsia="標楷體"/>
          <w:spacing w:val="20"/>
          <w:sz w:val="30"/>
        </w:rPr>
        <w:t>4.4</w:t>
      </w:r>
      <w:r w:rsidRPr="005C5E31">
        <w:rPr>
          <w:rFonts w:eastAsia="標楷體" w:hint="eastAsia"/>
          <w:spacing w:val="20"/>
          <w:sz w:val="30"/>
        </w:rPr>
        <w:t>％，即每百元之營業收入，</w:t>
      </w:r>
      <w:r w:rsidR="00133109">
        <w:rPr>
          <w:rFonts w:eastAsia="標楷體" w:hint="eastAsia"/>
          <w:spacing w:val="20"/>
          <w:sz w:val="30"/>
        </w:rPr>
        <w:t>產生</w:t>
      </w:r>
      <w:r w:rsidRPr="005C5E31">
        <w:rPr>
          <w:rFonts w:eastAsia="標楷體" w:hint="eastAsia"/>
          <w:spacing w:val="20"/>
          <w:sz w:val="30"/>
        </w:rPr>
        <w:t>稅後淨</w:t>
      </w:r>
      <w:r w:rsidR="007B3557">
        <w:rPr>
          <w:rFonts w:eastAsia="標楷體" w:hint="eastAsia"/>
          <w:spacing w:val="20"/>
          <w:sz w:val="30"/>
        </w:rPr>
        <w:t>損</w:t>
      </w:r>
      <w:r w:rsidR="007B3557">
        <w:rPr>
          <w:rFonts w:eastAsia="標楷體" w:hint="eastAsia"/>
          <w:spacing w:val="20"/>
          <w:sz w:val="30"/>
        </w:rPr>
        <w:t>4.4</w:t>
      </w:r>
      <w:r w:rsidRPr="005C5E31">
        <w:rPr>
          <w:rFonts w:eastAsia="標楷體" w:hint="eastAsia"/>
          <w:spacing w:val="20"/>
          <w:sz w:val="30"/>
        </w:rPr>
        <w:t>元，</w:t>
      </w:r>
      <w:r w:rsidR="00993214">
        <w:rPr>
          <w:rFonts w:eastAsia="標楷體" w:hint="eastAsia"/>
          <w:spacing w:val="20"/>
          <w:sz w:val="30"/>
        </w:rPr>
        <w:t>與</w:t>
      </w:r>
      <w:r w:rsidRPr="005C5E31">
        <w:rPr>
          <w:rFonts w:eastAsia="標楷體" w:hint="eastAsia"/>
          <w:spacing w:val="20"/>
          <w:sz w:val="30"/>
        </w:rPr>
        <w:t>預算</w:t>
      </w:r>
      <w:r w:rsidR="007B3557">
        <w:rPr>
          <w:rFonts w:eastAsia="標楷體"/>
          <w:spacing w:val="20"/>
          <w:sz w:val="30"/>
        </w:rPr>
        <w:t>8</w:t>
      </w:r>
      <w:r w:rsidRPr="005C5E31">
        <w:rPr>
          <w:rFonts w:eastAsia="標楷體" w:hint="eastAsia"/>
          <w:spacing w:val="20"/>
          <w:sz w:val="30"/>
        </w:rPr>
        <w:t>％</w:t>
      </w:r>
      <w:r w:rsidR="007B3557" w:rsidRPr="005C5E31">
        <w:rPr>
          <w:rFonts w:eastAsia="標楷體" w:hint="eastAsia"/>
          <w:spacing w:val="16"/>
          <w:sz w:val="30"/>
        </w:rPr>
        <w:t>相較，由</w:t>
      </w:r>
      <w:r w:rsidR="007B3557">
        <w:rPr>
          <w:rFonts w:eastAsia="標楷體" w:hint="eastAsia"/>
          <w:spacing w:val="16"/>
          <w:sz w:val="30"/>
        </w:rPr>
        <w:t>正</w:t>
      </w:r>
      <w:r w:rsidR="007B3557" w:rsidRPr="005C5E31">
        <w:rPr>
          <w:rFonts w:eastAsia="標楷體" w:hint="eastAsia"/>
          <w:spacing w:val="16"/>
          <w:sz w:val="30"/>
        </w:rPr>
        <w:t>轉</w:t>
      </w:r>
      <w:r w:rsidR="007B3557">
        <w:rPr>
          <w:rFonts w:eastAsia="標楷體" w:hint="eastAsia"/>
          <w:spacing w:val="16"/>
          <w:sz w:val="30"/>
        </w:rPr>
        <w:t>負</w:t>
      </w:r>
      <w:r w:rsidRPr="005C5E31">
        <w:rPr>
          <w:rFonts w:eastAsia="標楷體" w:hint="eastAsia"/>
          <w:spacing w:val="20"/>
          <w:sz w:val="30"/>
        </w:rPr>
        <w:t>，</w:t>
      </w:r>
      <w:r w:rsidR="007B3557">
        <w:rPr>
          <w:rFonts w:eastAsia="標楷體" w:hint="eastAsia"/>
          <w:spacing w:val="20"/>
          <w:sz w:val="30"/>
        </w:rPr>
        <w:t>相差</w:t>
      </w:r>
      <w:r w:rsidR="007B3557">
        <w:rPr>
          <w:rFonts w:eastAsia="標楷體" w:hint="eastAsia"/>
          <w:spacing w:val="20"/>
          <w:sz w:val="30"/>
        </w:rPr>
        <w:t>12.</w:t>
      </w:r>
      <w:r w:rsidR="00993214">
        <w:rPr>
          <w:rFonts w:eastAsia="標楷體"/>
          <w:spacing w:val="20"/>
          <w:sz w:val="30"/>
        </w:rPr>
        <w:t>4</w:t>
      </w:r>
      <w:r w:rsidRPr="005C5E31">
        <w:rPr>
          <w:rFonts w:eastAsia="標楷體" w:hint="eastAsia"/>
          <w:spacing w:val="20"/>
          <w:sz w:val="30"/>
        </w:rPr>
        <w:t>個百分點</w:t>
      </w:r>
      <w:r w:rsidR="00A4786D" w:rsidRPr="005C5E31">
        <w:rPr>
          <w:rFonts w:ascii="新細明體" w:eastAsia="新細明體" w:hAnsi="新細明體" w:hint="eastAsia"/>
          <w:spacing w:val="20"/>
          <w:sz w:val="30"/>
        </w:rPr>
        <w:t>。</w:t>
      </w:r>
      <w:r w:rsidR="007E0EFD" w:rsidRPr="005C5E31">
        <w:rPr>
          <w:rFonts w:eastAsia="標楷體" w:hint="eastAsia"/>
          <w:spacing w:val="20"/>
          <w:sz w:val="30"/>
        </w:rPr>
        <w:t>其中</w:t>
      </w:r>
      <w:r w:rsidR="007E0EFD" w:rsidRPr="005C5E31">
        <w:rPr>
          <w:rFonts w:ascii="新細明體" w:eastAsia="新細明體" w:hAnsi="新細明體" w:hint="eastAsia"/>
          <w:spacing w:val="20"/>
          <w:sz w:val="30"/>
        </w:rPr>
        <w:t>：</w:t>
      </w:r>
    </w:p>
    <w:p w:rsidR="007E0EFD" w:rsidRPr="005C5E31" w:rsidRDefault="007E0EFD" w:rsidP="007E0EFD">
      <w:pPr>
        <w:spacing w:line="360" w:lineRule="auto"/>
        <w:ind w:left="1548" w:hanging="425"/>
        <w:jc w:val="both"/>
        <w:rPr>
          <w:rFonts w:eastAsia="標楷體"/>
          <w:spacing w:val="20"/>
          <w:sz w:val="30"/>
        </w:rPr>
      </w:pPr>
      <w:r w:rsidRPr="005C5E31">
        <w:rPr>
          <w:rFonts w:eastAsia="標楷體" w:hint="eastAsia"/>
          <w:spacing w:val="20"/>
          <w:sz w:val="30"/>
        </w:rPr>
        <w:t>(</w:t>
      </w:r>
      <w:r w:rsidRPr="005C5E31">
        <w:rPr>
          <w:rFonts w:eastAsia="標楷體"/>
          <w:spacing w:val="20"/>
          <w:sz w:val="30"/>
        </w:rPr>
        <w:t>1</w:t>
      </w:r>
      <w:r w:rsidRPr="005C5E31">
        <w:rPr>
          <w:rFonts w:eastAsia="標楷體" w:hint="eastAsia"/>
          <w:spacing w:val="20"/>
          <w:sz w:val="30"/>
        </w:rPr>
        <w:t>)</w:t>
      </w:r>
      <w:r w:rsidRPr="005C5E31">
        <w:rPr>
          <w:rFonts w:eastAsia="標楷體" w:hint="eastAsia"/>
          <w:spacing w:val="20"/>
          <w:sz w:val="30"/>
        </w:rPr>
        <w:t>製造業：本年度決算為</w:t>
      </w:r>
      <w:r w:rsidR="007B3557" w:rsidRPr="005C5E31">
        <w:rPr>
          <w:rFonts w:eastAsia="標楷體" w:hint="eastAsia"/>
          <w:spacing w:val="-2"/>
          <w:sz w:val="30"/>
        </w:rPr>
        <w:t>負</w:t>
      </w:r>
      <w:r w:rsidR="007B3557">
        <w:rPr>
          <w:rFonts w:eastAsia="標楷體" w:hint="eastAsia"/>
          <w:spacing w:val="20"/>
          <w:sz w:val="30"/>
        </w:rPr>
        <w:t>13.7</w:t>
      </w:r>
      <w:r w:rsidRPr="005C5E31">
        <w:rPr>
          <w:rFonts w:eastAsia="標楷體" w:hint="eastAsia"/>
          <w:spacing w:val="20"/>
          <w:sz w:val="30"/>
        </w:rPr>
        <w:t>％，</w:t>
      </w:r>
      <w:r w:rsidR="00993214">
        <w:rPr>
          <w:rFonts w:eastAsia="標楷體" w:hint="eastAsia"/>
          <w:spacing w:val="20"/>
          <w:sz w:val="30"/>
        </w:rPr>
        <w:t>與</w:t>
      </w:r>
      <w:r w:rsidRPr="005C5E31">
        <w:rPr>
          <w:rFonts w:eastAsia="標楷體" w:hint="eastAsia"/>
          <w:spacing w:val="20"/>
          <w:sz w:val="30"/>
        </w:rPr>
        <w:t>預算</w:t>
      </w:r>
      <w:r w:rsidRPr="005C5E31">
        <w:rPr>
          <w:rFonts w:eastAsia="標楷體"/>
          <w:spacing w:val="20"/>
          <w:sz w:val="30"/>
        </w:rPr>
        <w:t>2.</w:t>
      </w:r>
      <w:r w:rsidR="007B3557">
        <w:rPr>
          <w:rFonts w:eastAsia="標楷體"/>
          <w:spacing w:val="20"/>
          <w:sz w:val="30"/>
        </w:rPr>
        <w:t>1</w:t>
      </w:r>
      <w:r w:rsidRPr="005C5E31">
        <w:rPr>
          <w:rFonts w:eastAsia="標楷體" w:hint="eastAsia"/>
          <w:spacing w:val="20"/>
          <w:sz w:val="30"/>
        </w:rPr>
        <w:t>％</w:t>
      </w:r>
      <w:r w:rsidR="00993214">
        <w:rPr>
          <w:rFonts w:eastAsia="標楷體" w:hint="eastAsia"/>
          <w:spacing w:val="20"/>
          <w:sz w:val="30"/>
        </w:rPr>
        <w:t>相較，由正轉負</w:t>
      </w:r>
      <w:r w:rsidRPr="005C5E31">
        <w:rPr>
          <w:rFonts w:eastAsia="標楷體" w:hint="eastAsia"/>
          <w:spacing w:val="20"/>
          <w:sz w:val="30"/>
        </w:rPr>
        <w:t>，</w:t>
      </w:r>
      <w:r w:rsidR="007B3557">
        <w:rPr>
          <w:rFonts w:eastAsia="標楷體" w:hint="eastAsia"/>
          <w:spacing w:val="20"/>
          <w:sz w:val="30"/>
        </w:rPr>
        <w:t>相差</w:t>
      </w:r>
      <w:r w:rsidR="007B3557">
        <w:rPr>
          <w:rFonts w:eastAsia="標楷體" w:hint="eastAsia"/>
          <w:spacing w:val="20"/>
          <w:sz w:val="30"/>
        </w:rPr>
        <w:t>15.8</w:t>
      </w:r>
      <w:r w:rsidRPr="005C5E31">
        <w:rPr>
          <w:rFonts w:eastAsia="標楷體" w:hint="eastAsia"/>
          <w:spacing w:val="20"/>
          <w:sz w:val="30"/>
        </w:rPr>
        <w:t>個百分點。</w:t>
      </w:r>
    </w:p>
    <w:p w:rsidR="007E0EFD" w:rsidRPr="005C5E31" w:rsidRDefault="007E0EFD" w:rsidP="007E0EFD">
      <w:pPr>
        <w:spacing w:line="360" w:lineRule="auto"/>
        <w:ind w:left="1548" w:hanging="425"/>
        <w:jc w:val="both"/>
        <w:rPr>
          <w:rFonts w:eastAsia="標楷體"/>
          <w:spacing w:val="20"/>
          <w:sz w:val="30"/>
        </w:rPr>
      </w:pPr>
      <w:r w:rsidRPr="005C5E31">
        <w:rPr>
          <w:rFonts w:eastAsia="標楷體" w:hint="eastAsia"/>
          <w:spacing w:val="20"/>
          <w:sz w:val="30"/>
        </w:rPr>
        <w:t>(</w:t>
      </w:r>
      <w:r w:rsidRPr="005C5E31">
        <w:rPr>
          <w:rFonts w:eastAsia="標楷體"/>
          <w:spacing w:val="20"/>
          <w:sz w:val="30"/>
        </w:rPr>
        <w:t>2</w:t>
      </w:r>
      <w:r w:rsidRPr="005C5E31">
        <w:rPr>
          <w:rFonts w:eastAsia="標楷體" w:hint="eastAsia"/>
          <w:spacing w:val="20"/>
          <w:sz w:val="30"/>
        </w:rPr>
        <w:t>)</w:t>
      </w:r>
      <w:r w:rsidRPr="005C5E31">
        <w:rPr>
          <w:rFonts w:eastAsia="標楷體" w:hint="eastAsia"/>
          <w:spacing w:val="20"/>
          <w:sz w:val="30"/>
        </w:rPr>
        <w:t>電力及燃氣供應業：本年度決算為</w:t>
      </w:r>
      <w:r w:rsidR="007B3557" w:rsidRPr="005C5E31">
        <w:rPr>
          <w:rFonts w:eastAsia="標楷體" w:hint="eastAsia"/>
          <w:spacing w:val="-2"/>
          <w:sz w:val="30"/>
        </w:rPr>
        <w:t>負</w:t>
      </w:r>
      <w:r w:rsidR="007B3557">
        <w:rPr>
          <w:rFonts w:eastAsia="標楷體"/>
          <w:spacing w:val="20"/>
          <w:sz w:val="30"/>
        </w:rPr>
        <w:t>34.2</w:t>
      </w:r>
      <w:r w:rsidRPr="005C5E31">
        <w:rPr>
          <w:rFonts w:eastAsia="標楷體" w:hint="eastAsia"/>
          <w:spacing w:val="20"/>
          <w:sz w:val="30"/>
        </w:rPr>
        <w:t>％，</w:t>
      </w:r>
      <w:r w:rsidR="00993214">
        <w:rPr>
          <w:rFonts w:eastAsia="標楷體" w:hint="eastAsia"/>
          <w:spacing w:val="20"/>
          <w:sz w:val="30"/>
        </w:rPr>
        <w:t>與</w:t>
      </w:r>
      <w:r w:rsidRPr="005C5E31">
        <w:rPr>
          <w:rFonts w:eastAsia="標楷體" w:hint="eastAsia"/>
          <w:spacing w:val="20"/>
          <w:sz w:val="30"/>
        </w:rPr>
        <w:t>預算</w:t>
      </w:r>
      <w:r w:rsidR="007B3557">
        <w:rPr>
          <w:rFonts w:eastAsia="標楷體"/>
          <w:spacing w:val="20"/>
          <w:sz w:val="30"/>
        </w:rPr>
        <w:t>1.1</w:t>
      </w:r>
      <w:r w:rsidRPr="005C5E31">
        <w:rPr>
          <w:rFonts w:eastAsia="標楷體" w:hint="eastAsia"/>
          <w:spacing w:val="20"/>
          <w:sz w:val="30"/>
        </w:rPr>
        <w:t>％</w:t>
      </w:r>
      <w:r w:rsidR="00993214">
        <w:rPr>
          <w:rFonts w:eastAsia="標楷體" w:hint="eastAsia"/>
          <w:spacing w:val="20"/>
          <w:sz w:val="30"/>
        </w:rPr>
        <w:t>相較</w:t>
      </w:r>
      <w:r w:rsidRPr="005C5E31">
        <w:rPr>
          <w:rFonts w:eastAsia="標楷體" w:hint="eastAsia"/>
          <w:spacing w:val="20"/>
          <w:sz w:val="30"/>
        </w:rPr>
        <w:t>，</w:t>
      </w:r>
      <w:r w:rsidR="00993214">
        <w:rPr>
          <w:rFonts w:eastAsia="標楷體" w:hint="eastAsia"/>
          <w:spacing w:val="20"/>
          <w:sz w:val="30"/>
        </w:rPr>
        <w:t>由正轉負</w:t>
      </w:r>
      <w:r w:rsidR="00993214" w:rsidRPr="005C5E31">
        <w:rPr>
          <w:rFonts w:eastAsia="標楷體" w:hint="eastAsia"/>
          <w:spacing w:val="20"/>
          <w:sz w:val="30"/>
        </w:rPr>
        <w:t>，</w:t>
      </w:r>
      <w:r w:rsidR="007B3557">
        <w:rPr>
          <w:rFonts w:eastAsia="標楷體" w:hint="eastAsia"/>
          <w:spacing w:val="20"/>
          <w:sz w:val="30"/>
        </w:rPr>
        <w:t>相差</w:t>
      </w:r>
      <w:r w:rsidR="007B3557">
        <w:rPr>
          <w:rFonts w:eastAsia="標楷體" w:hint="eastAsia"/>
          <w:spacing w:val="20"/>
          <w:sz w:val="30"/>
        </w:rPr>
        <w:t>35.3</w:t>
      </w:r>
      <w:r w:rsidRPr="005C5E31">
        <w:rPr>
          <w:rFonts w:eastAsia="標楷體" w:hint="eastAsia"/>
          <w:spacing w:val="20"/>
          <w:sz w:val="30"/>
        </w:rPr>
        <w:t>個百分點。</w:t>
      </w:r>
    </w:p>
    <w:p w:rsidR="007E0EFD" w:rsidRPr="005C5E31" w:rsidRDefault="007E0EFD" w:rsidP="007E0EFD">
      <w:pPr>
        <w:spacing w:line="360" w:lineRule="auto"/>
        <w:ind w:left="1548" w:hanging="425"/>
        <w:jc w:val="both"/>
        <w:rPr>
          <w:rFonts w:eastAsia="標楷體"/>
          <w:spacing w:val="20"/>
          <w:sz w:val="30"/>
        </w:rPr>
      </w:pPr>
      <w:r w:rsidRPr="005C5E31">
        <w:rPr>
          <w:rFonts w:eastAsia="標楷體" w:hint="eastAsia"/>
          <w:spacing w:val="20"/>
          <w:sz w:val="30"/>
        </w:rPr>
        <w:t>(3)</w:t>
      </w:r>
      <w:r w:rsidRPr="005C5E31">
        <w:rPr>
          <w:rFonts w:eastAsia="標楷體" w:hint="eastAsia"/>
          <w:spacing w:val="-2"/>
          <w:sz w:val="30"/>
        </w:rPr>
        <w:t>用水供應及污染整治業：本年度決算為</w:t>
      </w:r>
      <w:r w:rsidR="007B3557">
        <w:rPr>
          <w:rFonts w:eastAsia="標楷體"/>
          <w:spacing w:val="-2"/>
          <w:sz w:val="30"/>
        </w:rPr>
        <w:t>0.3</w:t>
      </w:r>
      <w:r w:rsidRPr="005C5E31">
        <w:rPr>
          <w:rFonts w:eastAsia="標楷體" w:hint="eastAsia"/>
          <w:spacing w:val="-2"/>
          <w:sz w:val="30"/>
        </w:rPr>
        <w:t>％，與預算負</w:t>
      </w:r>
      <w:r w:rsidR="007B3557">
        <w:rPr>
          <w:rFonts w:eastAsia="標楷體"/>
          <w:spacing w:val="-2"/>
          <w:sz w:val="30"/>
        </w:rPr>
        <w:t>0.5</w:t>
      </w:r>
      <w:r w:rsidRPr="005C5E31">
        <w:rPr>
          <w:rFonts w:eastAsia="標楷體" w:hint="eastAsia"/>
          <w:spacing w:val="-2"/>
          <w:sz w:val="30"/>
        </w:rPr>
        <w:t>％</w:t>
      </w:r>
      <w:r w:rsidRPr="005C5E31">
        <w:rPr>
          <w:rFonts w:eastAsia="標楷體" w:hint="eastAsia"/>
          <w:spacing w:val="16"/>
          <w:sz w:val="30"/>
        </w:rPr>
        <w:t>相較，由負轉正，相差</w:t>
      </w:r>
      <w:r w:rsidRPr="005C5E31">
        <w:rPr>
          <w:rFonts w:eastAsia="標楷體"/>
          <w:spacing w:val="16"/>
          <w:sz w:val="30"/>
        </w:rPr>
        <w:t>0.8</w:t>
      </w:r>
      <w:r w:rsidRPr="005C5E31">
        <w:rPr>
          <w:rFonts w:eastAsia="標楷體" w:hint="eastAsia"/>
          <w:spacing w:val="16"/>
          <w:sz w:val="30"/>
        </w:rPr>
        <w:t>個百分點。</w:t>
      </w:r>
    </w:p>
    <w:p w:rsidR="007E0EFD" w:rsidRPr="005C5E31" w:rsidRDefault="007E0EFD" w:rsidP="007E0EFD">
      <w:pPr>
        <w:spacing w:line="360" w:lineRule="auto"/>
        <w:ind w:left="1548" w:hanging="425"/>
        <w:jc w:val="both"/>
        <w:rPr>
          <w:rFonts w:eastAsia="標楷體"/>
          <w:spacing w:val="20"/>
          <w:sz w:val="30"/>
        </w:rPr>
      </w:pPr>
      <w:r w:rsidRPr="005C5E31">
        <w:rPr>
          <w:rFonts w:eastAsia="標楷體" w:hint="eastAsia"/>
          <w:spacing w:val="20"/>
          <w:sz w:val="30"/>
        </w:rPr>
        <w:t>(4)</w:t>
      </w:r>
      <w:r w:rsidRPr="005C5E31">
        <w:rPr>
          <w:rFonts w:eastAsia="標楷體" w:hint="eastAsia"/>
          <w:spacing w:val="16"/>
          <w:sz w:val="30"/>
        </w:rPr>
        <w:t>運輸及倉儲業：本年度決算為</w:t>
      </w:r>
      <w:r w:rsidR="007B3557">
        <w:rPr>
          <w:rFonts w:eastAsia="標楷體" w:hint="eastAsia"/>
          <w:spacing w:val="16"/>
          <w:sz w:val="30"/>
        </w:rPr>
        <w:t>負</w:t>
      </w:r>
      <w:r w:rsidR="007B3557">
        <w:rPr>
          <w:rFonts w:eastAsia="標楷體" w:hint="eastAsia"/>
          <w:spacing w:val="16"/>
          <w:sz w:val="30"/>
        </w:rPr>
        <w:t>3.5</w:t>
      </w:r>
      <w:r w:rsidRPr="005C5E31">
        <w:rPr>
          <w:rFonts w:eastAsia="標楷體" w:hint="eastAsia"/>
          <w:spacing w:val="16"/>
          <w:sz w:val="30"/>
        </w:rPr>
        <w:t>％，較預算</w:t>
      </w:r>
      <w:r w:rsidR="007B3557">
        <w:rPr>
          <w:rFonts w:eastAsia="標楷體" w:hint="eastAsia"/>
          <w:spacing w:val="16"/>
          <w:sz w:val="30"/>
        </w:rPr>
        <w:t>負</w:t>
      </w:r>
      <w:r w:rsidR="007B3557">
        <w:rPr>
          <w:rFonts w:eastAsia="標楷體" w:hint="eastAsia"/>
          <w:spacing w:val="16"/>
          <w:sz w:val="30"/>
        </w:rPr>
        <w:t>7</w:t>
      </w:r>
      <w:r w:rsidRPr="005C5E31">
        <w:rPr>
          <w:rFonts w:eastAsia="標楷體" w:hint="eastAsia"/>
          <w:spacing w:val="16"/>
          <w:sz w:val="30"/>
        </w:rPr>
        <w:t>％，</w:t>
      </w:r>
      <w:r w:rsidR="007B3557">
        <w:rPr>
          <w:rFonts w:eastAsia="標楷體" w:hint="eastAsia"/>
          <w:spacing w:val="16"/>
          <w:sz w:val="30"/>
        </w:rPr>
        <w:t>減少</w:t>
      </w:r>
      <w:r w:rsidR="007B3557">
        <w:rPr>
          <w:rFonts w:eastAsia="標楷體"/>
          <w:spacing w:val="20"/>
          <w:sz w:val="30"/>
        </w:rPr>
        <w:t>3.5</w:t>
      </w:r>
      <w:r w:rsidRPr="005C5E31">
        <w:rPr>
          <w:rFonts w:eastAsia="標楷體" w:hint="eastAsia"/>
          <w:spacing w:val="16"/>
          <w:sz w:val="30"/>
        </w:rPr>
        <w:t>個百分點。</w:t>
      </w:r>
    </w:p>
    <w:p w:rsidR="00177136" w:rsidRPr="005C5E31" w:rsidRDefault="007E0EFD" w:rsidP="007E0EFD">
      <w:pPr>
        <w:spacing w:line="360" w:lineRule="auto"/>
        <w:ind w:left="1548" w:hanging="425"/>
        <w:jc w:val="both"/>
        <w:rPr>
          <w:rFonts w:eastAsia="標楷體"/>
          <w:spacing w:val="20"/>
          <w:sz w:val="30"/>
        </w:rPr>
      </w:pPr>
      <w:r w:rsidRPr="005C5E31">
        <w:rPr>
          <w:rFonts w:eastAsia="標楷體" w:hint="eastAsia"/>
          <w:spacing w:val="20"/>
          <w:sz w:val="30"/>
        </w:rPr>
        <w:t>(5)</w:t>
      </w:r>
      <w:r w:rsidRPr="005C5E31">
        <w:rPr>
          <w:rFonts w:eastAsia="標楷體" w:hint="eastAsia"/>
          <w:spacing w:val="20"/>
          <w:sz w:val="30"/>
        </w:rPr>
        <w:t>金融及保險業：本年度決算為</w:t>
      </w:r>
      <w:r w:rsidRPr="005C5E31">
        <w:rPr>
          <w:rFonts w:eastAsia="標楷體"/>
          <w:spacing w:val="20"/>
          <w:sz w:val="30"/>
        </w:rPr>
        <w:t>2</w:t>
      </w:r>
      <w:r w:rsidR="007B3557">
        <w:rPr>
          <w:rFonts w:eastAsia="標楷體"/>
          <w:spacing w:val="20"/>
          <w:sz w:val="30"/>
        </w:rPr>
        <w:t>2.9</w:t>
      </w:r>
      <w:r w:rsidRPr="005C5E31">
        <w:rPr>
          <w:rFonts w:eastAsia="標楷體" w:hint="eastAsia"/>
          <w:spacing w:val="20"/>
          <w:sz w:val="30"/>
        </w:rPr>
        <w:t>％，較預算</w:t>
      </w:r>
      <w:r w:rsidR="007B3557">
        <w:rPr>
          <w:rFonts w:eastAsia="標楷體"/>
          <w:spacing w:val="20"/>
          <w:sz w:val="30"/>
        </w:rPr>
        <w:t>20.6</w:t>
      </w:r>
      <w:r w:rsidRPr="005C5E31">
        <w:rPr>
          <w:rFonts w:ascii="標楷體" w:eastAsia="標楷體" w:hAnsi="標楷體" w:hint="eastAsia"/>
          <w:spacing w:val="20"/>
          <w:sz w:val="30"/>
        </w:rPr>
        <w:t>％</w:t>
      </w:r>
      <w:r w:rsidRPr="005C5E31">
        <w:rPr>
          <w:rFonts w:eastAsia="標楷體" w:hint="eastAsia"/>
          <w:spacing w:val="20"/>
          <w:sz w:val="30"/>
        </w:rPr>
        <w:t>，增加</w:t>
      </w:r>
      <w:r w:rsidR="007B3557">
        <w:rPr>
          <w:rFonts w:eastAsia="標楷體"/>
          <w:spacing w:val="16"/>
          <w:sz w:val="30"/>
        </w:rPr>
        <w:t>2.3</w:t>
      </w:r>
      <w:r w:rsidRPr="005C5E31">
        <w:rPr>
          <w:rFonts w:eastAsia="標楷體" w:hint="eastAsia"/>
          <w:spacing w:val="20"/>
          <w:sz w:val="30"/>
        </w:rPr>
        <w:t>個百分點。</w:t>
      </w:r>
    </w:p>
    <w:p w:rsidR="00177136" w:rsidRPr="005C5E31" w:rsidRDefault="00177136" w:rsidP="00061AA3">
      <w:pPr>
        <w:spacing w:beforeLines="200" w:before="480" w:afterLines="50" w:after="120" w:line="360" w:lineRule="auto"/>
        <w:outlineLvl w:val="0"/>
        <w:rPr>
          <w:rFonts w:eastAsia="標楷體"/>
          <w:b/>
          <w:spacing w:val="20"/>
          <w:sz w:val="40"/>
        </w:rPr>
      </w:pPr>
      <w:r w:rsidRPr="005C5E31">
        <w:rPr>
          <w:rFonts w:eastAsia="標楷體" w:hint="eastAsia"/>
          <w:b/>
          <w:spacing w:val="20"/>
          <w:sz w:val="40"/>
        </w:rPr>
        <w:t>二、</w:t>
      </w:r>
      <w:r w:rsidRPr="00CD7D0C">
        <w:rPr>
          <w:rFonts w:eastAsia="標楷體" w:hint="eastAsia"/>
          <w:b/>
          <w:spacing w:val="20"/>
          <w:sz w:val="40"/>
        </w:rPr>
        <w:t>財政貢獻</w:t>
      </w:r>
    </w:p>
    <w:p w:rsidR="00177136" w:rsidRPr="005C5E31" w:rsidRDefault="00177136" w:rsidP="00061AA3">
      <w:pPr>
        <w:tabs>
          <w:tab w:val="left" w:pos="3402"/>
        </w:tabs>
        <w:spacing w:afterLines="50" w:after="120" w:line="600" w:lineRule="exact"/>
        <w:ind w:left="425" w:firstLineChars="200" w:firstLine="688"/>
        <w:jc w:val="both"/>
        <w:outlineLvl w:val="0"/>
        <w:rPr>
          <w:rFonts w:eastAsia="標楷體"/>
          <w:spacing w:val="22"/>
          <w:sz w:val="30"/>
        </w:rPr>
      </w:pPr>
      <w:r w:rsidRPr="005C5E31">
        <w:rPr>
          <w:rFonts w:eastAsia="標楷體" w:hint="eastAsia"/>
          <w:spacing w:val="22"/>
          <w:sz w:val="30"/>
        </w:rPr>
        <w:lastRenderedPageBreak/>
        <w:t>國營事業之經營，係以促進經濟建設及便利人民生活為主要目的，並應以企業方式經營，</w:t>
      </w:r>
      <w:r w:rsidR="008F5792">
        <w:rPr>
          <w:rFonts w:eastAsia="標楷體" w:hint="eastAsia"/>
          <w:spacing w:val="22"/>
          <w:sz w:val="30"/>
        </w:rPr>
        <w:t>俾</w:t>
      </w:r>
      <w:r w:rsidRPr="005C5E31">
        <w:rPr>
          <w:rFonts w:eastAsia="標楷體" w:hint="eastAsia"/>
          <w:spacing w:val="22"/>
          <w:sz w:val="30"/>
        </w:rPr>
        <w:t>提升經營績效，增裕國庫之收入</w:t>
      </w:r>
      <w:r w:rsidRPr="005C5E31">
        <w:rPr>
          <w:rFonts w:eastAsia="標楷體"/>
          <w:spacing w:val="22"/>
          <w:sz w:val="30"/>
        </w:rPr>
        <w:t>。</w:t>
      </w:r>
      <w:r w:rsidRPr="005C5E31">
        <w:rPr>
          <w:rFonts w:eastAsia="標楷體" w:hint="eastAsia"/>
          <w:spacing w:val="22"/>
          <w:sz w:val="30"/>
        </w:rPr>
        <w:t>國營事業對財政之貢獻，除分配中央及地方政府之股（官）息紅利外，尚包括繳納各項稅捐，及依法提撥地方政府款項</w:t>
      </w:r>
      <w:r w:rsidRPr="005C5E31">
        <w:rPr>
          <w:rFonts w:eastAsia="標楷體"/>
          <w:spacing w:val="22"/>
          <w:sz w:val="30"/>
        </w:rPr>
        <w:t>。</w:t>
      </w:r>
      <w:r w:rsidRPr="005C5E31">
        <w:rPr>
          <w:rFonts w:eastAsia="標楷體" w:hint="eastAsia"/>
          <w:spacing w:val="22"/>
          <w:sz w:val="30"/>
        </w:rPr>
        <w:t>本年度決算國營事業分配政府之股（官）息</w:t>
      </w:r>
      <w:r w:rsidRPr="005C5E31">
        <w:rPr>
          <w:rFonts w:eastAsia="標楷體"/>
          <w:spacing w:val="22"/>
          <w:sz w:val="30"/>
        </w:rPr>
        <w:t>紅利</w:t>
      </w:r>
      <w:r w:rsidRPr="005C5E31">
        <w:rPr>
          <w:rFonts w:eastAsia="標楷體" w:hint="eastAsia"/>
          <w:spacing w:val="22"/>
          <w:sz w:val="30"/>
        </w:rPr>
        <w:t>、</w:t>
      </w:r>
      <w:r w:rsidRPr="005C5E31">
        <w:rPr>
          <w:rFonts w:eastAsia="標楷體"/>
          <w:spacing w:val="22"/>
          <w:sz w:val="30"/>
        </w:rPr>
        <w:t>繳納各項稅捐</w:t>
      </w:r>
      <w:r w:rsidRPr="005C5E31">
        <w:rPr>
          <w:rFonts w:eastAsia="標楷體" w:hint="eastAsia"/>
          <w:spacing w:val="22"/>
          <w:sz w:val="30"/>
        </w:rPr>
        <w:t>及提撥地方政府款項</w:t>
      </w:r>
      <w:r w:rsidRPr="005C5E31">
        <w:rPr>
          <w:rFonts w:eastAsia="標楷體"/>
          <w:spacing w:val="22"/>
          <w:sz w:val="30"/>
        </w:rPr>
        <w:t>總額</w:t>
      </w:r>
      <w:r w:rsidR="000A7287" w:rsidRPr="005C5E31">
        <w:rPr>
          <w:rFonts w:eastAsia="標楷體" w:hint="eastAsia"/>
          <w:spacing w:val="22"/>
          <w:sz w:val="30"/>
        </w:rPr>
        <w:t>3,</w:t>
      </w:r>
      <w:r w:rsidR="00BE4F31" w:rsidRPr="00BE4F31">
        <w:t xml:space="preserve"> </w:t>
      </w:r>
      <w:r w:rsidR="00BE4F31" w:rsidRPr="00BE4F31">
        <w:rPr>
          <w:rFonts w:eastAsia="標楷體"/>
          <w:spacing w:val="22"/>
          <w:sz w:val="30"/>
        </w:rPr>
        <w:t>1</w:t>
      </w:r>
      <w:r w:rsidR="005B1416">
        <w:rPr>
          <w:rFonts w:eastAsia="標楷體"/>
          <w:spacing w:val="22"/>
          <w:sz w:val="30"/>
        </w:rPr>
        <w:t>02</w:t>
      </w:r>
      <w:r w:rsidRPr="005C5E31">
        <w:rPr>
          <w:rFonts w:eastAsia="標楷體"/>
          <w:spacing w:val="22"/>
          <w:sz w:val="30"/>
        </w:rPr>
        <w:t>億餘元</w:t>
      </w:r>
      <w:r w:rsidR="00B90F09" w:rsidRPr="005C5E31">
        <w:rPr>
          <w:rFonts w:eastAsia="標楷體" w:hint="eastAsia"/>
          <w:spacing w:val="20"/>
          <w:sz w:val="30"/>
          <w:szCs w:val="30"/>
        </w:rPr>
        <w:t>（詳表</w:t>
      </w:r>
      <w:r w:rsidR="00B90F09" w:rsidRPr="005C5E31">
        <w:rPr>
          <w:rFonts w:eastAsia="標楷體" w:hint="eastAsia"/>
          <w:spacing w:val="20"/>
          <w:sz w:val="30"/>
          <w:szCs w:val="30"/>
        </w:rPr>
        <w:t>5</w:t>
      </w:r>
      <w:r w:rsidR="00B90F09" w:rsidRPr="005C5E31">
        <w:rPr>
          <w:rFonts w:eastAsia="標楷體" w:hint="eastAsia"/>
          <w:spacing w:val="20"/>
          <w:sz w:val="30"/>
          <w:szCs w:val="30"/>
        </w:rPr>
        <w:t>及圖</w:t>
      </w:r>
      <w:r w:rsidR="00CD2FC4" w:rsidRPr="005C5E31">
        <w:rPr>
          <w:rFonts w:eastAsia="標楷體" w:hint="eastAsia"/>
          <w:spacing w:val="20"/>
          <w:sz w:val="30"/>
          <w:szCs w:val="30"/>
        </w:rPr>
        <w:t>5</w:t>
      </w:r>
      <w:r w:rsidR="00B90F09" w:rsidRPr="005C5E31">
        <w:rPr>
          <w:rFonts w:eastAsia="標楷體" w:hint="eastAsia"/>
          <w:spacing w:val="20"/>
          <w:sz w:val="30"/>
          <w:szCs w:val="30"/>
        </w:rPr>
        <w:t>）</w:t>
      </w:r>
      <w:r w:rsidRPr="005C5E31">
        <w:rPr>
          <w:rFonts w:eastAsia="標楷體"/>
          <w:spacing w:val="22"/>
          <w:sz w:val="30"/>
        </w:rPr>
        <w:t>，其中</w:t>
      </w:r>
      <w:r w:rsidRPr="005C5E31">
        <w:rPr>
          <w:rFonts w:eastAsia="標楷體" w:hint="eastAsia"/>
          <w:spacing w:val="22"/>
          <w:sz w:val="30"/>
        </w:rPr>
        <w:t>：</w:t>
      </w:r>
    </w:p>
    <w:p w:rsidR="00177136" w:rsidRPr="005C5E31" w:rsidRDefault="00177136" w:rsidP="00C04648">
      <w:pPr>
        <w:numPr>
          <w:ilvl w:val="0"/>
          <w:numId w:val="34"/>
        </w:numPr>
        <w:spacing w:line="600" w:lineRule="exact"/>
        <w:ind w:left="992" w:hanging="567"/>
        <w:jc w:val="both"/>
        <w:outlineLvl w:val="0"/>
        <w:rPr>
          <w:rFonts w:eastAsia="標楷體" w:hAnsi="標楷體"/>
          <w:spacing w:val="22"/>
          <w:sz w:val="30"/>
        </w:rPr>
      </w:pPr>
      <w:r w:rsidRPr="005C5E31">
        <w:rPr>
          <w:rFonts w:eastAsia="標楷體"/>
          <w:spacing w:val="22"/>
          <w:sz w:val="30"/>
        </w:rPr>
        <w:t>分配中央政府及地方政府股（官）息紅利</w:t>
      </w:r>
      <w:r w:rsidR="00C04648">
        <w:rPr>
          <w:rFonts w:eastAsia="標楷體"/>
          <w:spacing w:val="22"/>
          <w:sz w:val="30"/>
        </w:rPr>
        <w:t>2,003</w:t>
      </w:r>
      <w:r w:rsidRPr="005C5E31">
        <w:rPr>
          <w:rFonts w:eastAsia="標楷體"/>
          <w:spacing w:val="22"/>
          <w:sz w:val="30"/>
        </w:rPr>
        <w:t>億餘元，占</w:t>
      </w:r>
      <w:r w:rsidR="00C04648" w:rsidRPr="00C04648">
        <w:rPr>
          <w:rFonts w:eastAsia="標楷體"/>
          <w:spacing w:val="22"/>
          <w:sz w:val="30"/>
        </w:rPr>
        <w:t>64.6</w:t>
      </w:r>
      <w:r w:rsidRPr="005C5E31">
        <w:rPr>
          <w:rFonts w:eastAsia="標楷體" w:hAnsi="標楷體"/>
          <w:spacing w:val="22"/>
          <w:sz w:val="30"/>
        </w:rPr>
        <w:t>％</w:t>
      </w:r>
      <w:r w:rsidRPr="005C5E31">
        <w:rPr>
          <w:rFonts w:eastAsia="標楷體" w:hAnsi="標楷體" w:hint="eastAsia"/>
          <w:spacing w:val="22"/>
          <w:sz w:val="30"/>
        </w:rPr>
        <w:t>。</w:t>
      </w:r>
    </w:p>
    <w:p w:rsidR="00177136" w:rsidRPr="005C5E31" w:rsidRDefault="00177136" w:rsidP="00BE4F31">
      <w:pPr>
        <w:numPr>
          <w:ilvl w:val="0"/>
          <w:numId w:val="34"/>
        </w:numPr>
        <w:spacing w:line="600" w:lineRule="exact"/>
        <w:ind w:left="992" w:hanging="567"/>
        <w:jc w:val="both"/>
        <w:outlineLvl w:val="0"/>
        <w:rPr>
          <w:rFonts w:eastAsia="標楷體"/>
          <w:spacing w:val="20"/>
          <w:sz w:val="28"/>
        </w:rPr>
      </w:pPr>
      <w:r w:rsidRPr="005C5E31">
        <w:rPr>
          <w:rFonts w:eastAsia="標楷體"/>
          <w:spacing w:val="12"/>
          <w:sz w:val="30"/>
        </w:rPr>
        <w:t>繳納政府之各項稅捐</w:t>
      </w:r>
      <w:r w:rsidRPr="005C5E31">
        <w:rPr>
          <w:rFonts w:eastAsia="標楷體"/>
          <w:spacing w:val="12"/>
          <w:sz w:val="30"/>
        </w:rPr>
        <w:t>1,</w:t>
      </w:r>
      <w:r w:rsidR="00C04648">
        <w:rPr>
          <w:rFonts w:eastAsia="標楷體" w:hint="eastAsia"/>
          <w:spacing w:val="12"/>
          <w:sz w:val="30"/>
        </w:rPr>
        <w:t>075</w:t>
      </w:r>
      <w:r w:rsidRPr="005C5E31">
        <w:rPr>
          <w:rFonts w:eastAsia="標楷體"/>
          <w:spacing w:val="12"/>
          <w:sz w:val="30"/>
        </w:rPr>
        <w:t>億餘元，占</w:t>
      </w:r>
      <w:r w:rsidR="00C04648">
        <w:rPr>
          <w:rFonts w:eastAsia="標楷體" w:hint="eastAsia"/>
          <w:spacing w:val="12"/>
          <w:sz w:val="30"/>
        </w:rPr>
        <w:t>34.6</w:t>
      </w:r>
      <w:r w:rsidRPr="005C5E31">
        <w:rPr>
          <w:rFonts w:eastAsia="標楷體" w:hAnsi="標楷體"/>
          <w:spacing w:val="12"/>
          <w:sz w:val="30"/>
        </w:rPr>
        <w:t>％</w:t>
      </w:r>
      <w:r w:rsidRPr="005C5E31">
        <w:rPr>
          <w:rFonts w:eastAsia="標楷體" w:hAnsi="標楷體" w:hint="eastAsia"/>
          <w:spacing w:val="12"/>
          <w:sz w:val="30"/>
        </w:rPr>
        <w:t>，</w:t>
      </w:r>
      <w:r w:rsidRPr="005C5E31">
        <w:rPr>
          <w:rFonts w:eastAsia="標楷體"/>
          <w:spacing w:val="12"/>
          <w:sz w:val="30"/>
        </w:rPr>
        <w:t>包括消費與行為稅</w:t>
      </w:r>
      <w:r w:rsidR="00C04648">
        <w:rPr>
          <w:rFonts w:eastAsia="標楷體" w:hint="eastAsia"/>
          <w:spacing w:val="12"/>
          <w:sz w:val="30"/>
        </w:rPr>
        <w:t>803</w:t>
      </w:r>
      <w:r w:rsidRPr="005C5E31">
        <w:rPr>
          <w:rFonts w:eastAsia="標楷體"/>
          <w:spacing w:val="12"/>
          <w:sz w:val="30"/>
        </w:rPr>
        <w:t>億餘元</w:t>
      </w:r>
      <w:r w:rsidRPr="005C5E31">
        <w:rPr>
          <w:rFonts w:eastAsia="標楷體" w:hint="eastAsia"/>
          <w:spacing w:val="12"/>
          <w:sz w:val="30"/>
        </w:rPr>
        <w:t>，</w:t>
      </w:r>
      <w:r w:rsidRPr="005C5E31">
        <w:rPr>
          <w:rFonts w:eastAsia="標楷體"/>
          <w:spacing w:val="12"/>
          <w:sz w:val="30"/>
        </w:rPr>
        <w:t>占</w:t>
      </w:r>
      <w:r w:rsidR="00C04648">
        <w:rPr>
          <w:rFonts w:eastAsia="標楷體" w:hint="eastAsia"/>
          <w:spacing w:val="12"/>
          <w:sz w:val="30"/>
        </w:rPr>
        <w:t>25.9</w:t>
      </w:r>
      <w:r w:rsidRPr="005C5E31">
        <w:rPr>
          <w:rFonts w:eastAsia="標楷體" w:hAnsi="標楷體"/>
          <w:spacing w:val="12"/>
          <w:sz w:val="30"/>
        </w:rPr>
        <w:t>％</w:t>
      </w:r>
      <w:r w:rsidR="00E5570F" w:rsidRPr="005C5E31">
        <w:rPr>
          <w:rFonts w:ascii="標楷體" w:eastAsia="標楷體" w:hAnsi="標楷體" w:hint="eastAsia"/>
          <w:spacing w:val="12"/>
          <w:sz w:val="30"/>
        </w:rPr>
        <w:t>；</w:t>
      </w:r>
      <w:r w:rsidRPr="005C5E31">
        <w:rPr>
          <w:rFonts w:eastAsia="標楷體" w:hAnsi="標楷體" w:hint="eastAsia"/>
          <w:spacing w:val="12"/>
          <w:sz w:val="30"/>
        </w:rPr>
        <w:t>所得稅</w:t>
      </w:r>
      <w:r w:rsidR="00C04648">
        <w:rPr>
          <w:rFonts w:eastAsia="標楷體" w:hAnsi="標楷體" w:hint="eastAsia"/>
          <w:spacing w:val="12"/>
          <w:sz w:val="30"/>
        </w:rPr>
        <w:t>100</w:t>
      </w:r>
      <w:r w:rsidRPr="005C5E31">
        <w:rPr>
          <w:rFonts w:eastAsia="標楷體"/>
          <w:spacing w:val="12"/>
          <w:sz w:val="30"/>
        </w:rPr>
        <w:t>億餘元</w:t>
      </w:r>
      <w:r w:rsidRPr="005C5E31">
        <w:rPr>
          <w:rFonts w:eastAsia="標楷體" w:hint="eastAsia"/>
          <w:spacing w:val="12"/>
          <w:sz w:val="30"/>
        </w:rPr>
        <w:t>，</w:t>
      </w:r>
      <w:r w:rsidRPr="005C5E31">
        <w:rPr>
          <w:rFonts w:eastAsia="標楷體"/>
          <w:spacing w:val="12"/>
          <w:sz w:val="30"/>
        </w:rPr>
        <w:t>占</w:t>
      </w:r>
      <w:r w:rsidR="003D7304">
        <w:rPr>
          <w:rFonts w:eastAsia="標楷體"/>
          <w:spacing w:val="12"/>
          <w:sz w:val="30"/>
        </w:rPr>
        <w:t>3.</w:t>
      </w:r>
      <w:r w:rsidR="00C04648">
        <w:rPr>
          <w:rFonts w:eastAsia="標楷體" w:hint="eastAsia"/>
          <w:spacing w:val="12"/>
          <w:sz w:val="30"/>
        </w:rPr>
        <w:t>2</w:t>
      </w:r>
      <w:r w:rsidRPr="005C5E31">
        <w:rPr>
          <w:rFonts w:eastAsia="標楷體" w:hAnsi="標楷體"/>
          <w:spacing w:val="12"/>
          <w:sz w:val="30"/>
        </w:rPr>
        <w:t>％</w:t>
      </w:r>
      <w:r w:rsidR="00E5570F" w:rsidRPr="005C5E31">
        <w:rPr>
          <w:rFonts w:ascii="標楷體" w:eastAsia="標楷體" w:hAnsi="標楷體" w:hint="eastAsia"/>
          <w:spacing w:val="22"/>
          <w:sz w:val="30"/>
        </w:rPr>
        <w:t>；</w:t>
      </w:r>
      <w:r w:rsidR="003D7304" w:rsidRPr="005C5E31">
        <w:rPr>
          <w:rFonts w:eastAsia="標楷體"/>
          <w:spacing w:val="16"/>
          <w:sz w:val="30"/>
        </w:rPr>
        <w:t>土地稅</w:t>
      </w:r>
      <w:r w:rsidR="00BE4F31">
        <w:rPr>
          <w:rFonts w:eastAsia="標楷體"/>
          <w:spacing w:val="16"/>
          <w:sz w:val="30"/>
        </w:rPr>
        <w:t>8</w:t>
      </w:r>
      <w:r w:rsidR="00C04648">
        <w:rPr>
          <w:rFonts w:eastAsia="標楷體" w:hint="eastAsia"/>
          <w:spacing w:val="16"/>
          <w:sz w:val="30"/>
        </w:rPr>
        <w:t>1</w:t>
      </w:r>
      <w:r w:rsidR="003D7304" w:rsidRPr="005C5E31">
        <w:rPr>
          <w:rFonts w:eastAsia="標楷體"/>
          <w:spacing w:val="16"/>
          <w:sz w:val="30"/>
        </w:rPr>
        <w:t>億餘元</w:t>
      </w:r>
      <w:r w:rsidR="003D7304" w:rsidRPr="005C5E31">
        <w:rPr>
          <w:rFonts w:eastAsia="標楷體" w:hint="eastAsia"/>
          <w:spacing w:val="16"/>
          <w:sz w:val="30"/>
        </w:rPr>
        <w:t>，</w:t>
      </w:r>
      <w:r w:rsidR="003D7304" w:rsidRPr="005C5E31">
        <w:rPr>
          <w:rFonts w:eastAsia="標楷體"/>
          <w:spacing w:val="16"/>
          <w:sz w:val="30"/>
        </w:rPr>
        <w:t>占</w:t>
      </w:r>
      <w:r w:rsidR="003D7304" w:rsidRPr="005C5E31">
        <w:rPr>
          <w:rFonts w:eastAsia="標楷體"/>
          <w:spacing w:val="16"/>
          <w:sz w:val="30"/>
        </w:rPr>
        <w:t>2.</w:t>
      </w:r>
      <w:r w:rsidR="00BE4F31">
        <w:rPr>
          <w:rFonts w:eastAsia="標楷體"/>
          <w:spacing w:val="16"/>
          <w:sz w:val="30"/>
        </w:rPr>
        <w:t>6</w:t>
      </w:r>
      <w:r w:rsidR="003D7304" w:rsidRPr="005C5E31">
        <w:rPr>
          <w:rFonts w:eastAsia="標楷體" w:hAnsi="標楷體"/>
          <w:spacing w:val="16"/>
          <w:sz w:val="30"/>
        </w:rPr>
        <w:t>％</w:t>
      </w:r>
      <w:r w:rsidR="003D7304" w:rsidRPr="005C5E31">
        <w:rPr>
          <w:rFonts w:ascii="標楷體" w:eastAsia="標楷體" w:hAnsi="標楷體" w:hint="eastAsia"/>
          <w:spacing w:val="16"/>
          <w:sz w:val="30"/>
        </w:rPr>
        <w:t>；</w:t>
      </w:r>
      <w:r w:rsidR="003D7304" w:rsidRPr="005C5E31">
        <w:rPr>
          <w:rFonts w:eastAsia="標楷體" w:hAnsi="標楷體" w:hint="eastAsia"/>
          <w:spacing w:val="16"/>
          <w:sz w:val="30"/>
        </w:rPr>
        <w:t>特別稅課</w:t>
      </w:r>
      <w:r w:rsidR="003D7304">
        <w:rPr>
          <w:rFonts w:eastAsia="標楷體" w:hAnsi="標楷體"/>
          <w:spacing w:val="16"/>
          <w:sz w:val="30"/>
        </w:rPr>
        <w:t>74</w:t>
      </w:r>
      <w:r w:rsidR="003D7304" w:rsidRPr="005C5E31">
        <w:rPr>
          <w:rFonts w:eastAsia="標楷體"/>
          <w:spacing w:val="16"/>
          <w:sz w:val="30"/>
        </w:rPr>
        <w:t>億餘元</w:t>
      </w:r>
      <w:r w:rsidR="003D7304" w:rsidRPr="005C5E31">
        <w:rPr>
          <w:rFonts w:eastAsia="標楷體" w:hint="eastAsia"/>
          <w:spacing w:val="16"/>
          <w:sz w:val="30"/>
        </w:rPr>
        <w:t>，</w:t>
      </w:r>
      <w:r w:rsidR="003D7304" w:rsidRPr="005C5E31">
        <w:rPr>
          <w:rFonts w:eastAsia="標楷體"/>
          <w:spacing w:val="16"/>
          <w:sz w:val="30"/>
        </w:rPr>
        <w:t>占</w:t>
      </w:r>
      <w:r w:rsidR="003D7304" w:rsidRPr="005C5E31">
        <w:rPr>
          <w:rFonts w:eastAsia="標楷體" w:hint="eastAsia"/>
          <w:spacing w:val="16"/>
          <w:sz w:val="30"/>
        </w:rPr>
        <w:t>2</w:t>
      </w:r>
      <w:r w:rsidR="003D7304">
        <w:rPr>
          <w:rFonts w:eastAsia="標楷體"/>
          <w:spacing w:val="16"/>
          <w:sz w:val="30"/>
        </w:rPr>
        <w:t>.</w:t>
      </w:r>
      <w:r w:rsidR="00BE4F31">
        <w:rPr>
          <w:rFonts w:eastAsia="標楷體"/>
          <w:spacing w:val="16"/>
          <w:sz w:val="30"/>
        </w:rPr>
        <w:t>4</w:t>
      </w:r>
      <w:r w:rsidR="003D7304" w:rsidRPr="005C5E31">
        <w:rPr>
          <w:rFonts w:eastAsia="標楷體" w:hAnsi="標楷體"/>
          <w:spacing w:val="16"/>
          <w:sz w:val="30"/>
        </w:rPr>
        <w:t>％</w:t>
      </w:r>
      <w:r w:rsidR="003D7304" w:rsidRPr="005C5E31">
        <w:rPr>
          <w:rFonts w:ascii="標楷體" w:eastAsia="標楷體" w:hAnsi="標楷體" w:hint="eastAsia"/>
          <w:spacing w:val="22"/>
          <w:sz w:val="30"/>
        </w:rPr>
        <w:t>；</w:t>
      </w:r>
      <w:r w:rsidRPr="005C5E31">
        <w:rPr>
          <w:rFonts w:eastAsia="標楷體"/>
          <w:spacing w:val="22"/>
          <w:sz w:val="30"/>
        </w:rPr>
        <w:t>房屋稅及其他稅捐合共</w:t>
      </w:r>
      <w:r w:rsidRPr="005C5E31">
        <w:rPr>
          <w:rFonts w:eastAsia="標楷體" w:hint="eastAsia"/>
          <w:spacing w:val="22"/>
          <w:sz w:val="30"/>
        </w:rPr>
        <w:t>1</w:t>
      </w:r>
      <w:r w:rsidR="00BE4F31">
        <w:rPr>
          <w:rFonts w:eastAsia="標楷體"/>
          <w:spacing w:val="22"/>
          <w:sz w:val="30"/>
        </w:rPr>
        <w:t>4</w:t>
      </w:r>
      <w:r w:rsidRPr="005C5E31">
        <w:rPr>
          <w:rFonts w:eastAsia="標楷體"/>
          <w:spacing w:val="22"/>
          <w:sz w:val="30"/>
        </w:rPr>
        <w:t>億餘元</w:t>
      </w:r>
      <w:r w:rsidRPr="005C5E31">
        <w:rPr>
          <w:rFonts w:eastAsia="標楷體" w:hint="eastAsia"/>
          <w:spacing w:val="22"/>
          <w:sz w:val="30"/>
        </w:rPr>
        <w:t>，</w:t>
      </w:r>
      <w:r w:rsidRPr="005C5E31">
        <w:rPr>
          <w:rFonts w:eastAsia="標楷體"/>
          <w:spacing w:val="22"/>
          <w:sz w:val="30"/>
        </w:rPr>
        <w:t>占</w:t>
      </w:r>
      <w:r w:rsidRPr="005C5E31">
        <w:rPr>
          <w:rFonts w:eastAsia="標楷體" w:hint="eastAsia"/>
          <w:spacing w:val="22"/>
          <w:sz w:val="30"/>
        </w:rPr>
        <w:t>0.</w:t>
      </w:r>
      <w:r w:rsidR="00C04648">
        <w:rPr>
          <w:rFonts w:eastAsia="標楷體" w:hint="eastAsia"/>
          <w:spacing w:val="22"/>
          <w:sz w:val="30"/>
        </w:rPr>
        <w:t>5</w:t>
      </w:r>
      <w:r w:rsidRPr="005C5E31">
        <w:rPr>
          <w:rFonts w:eastAsia="標楷體"/>
          <w:spacing w:val="22"/>
          <w:sz w:val="30"/>
        </w:rPr>
        <w:t>％</w:t>
      </w:r>
      <w:r w:rsidRPr="005C5E31">
        <w:rPr>
          <w:rFonts w:eastAsia="標楷體" w:hint="eastAsia"/>
          <w:spacing w:val="22"/>
          <w:sz w:val="30"/>
        </w:rPr>
        <w:t>。</w:t>
      </w:r>
    </w:p>
    <w:p w:rsidR="00177136" w:rsidRPr="005C5E31" w:rsidRDefault="00177136" w:rsidP="00061AA3">
      <w:pPr>
        <w:numPr>
          <w:ilvl w:val="0"/>
          <w:numId w:val="34"/>
        </w:numPr>
        <w:spacing w:line="600" w:lineRule="exact"/>
        <w:ind w:left="992" w:hanging="567"/>
        <w:jc w:val="both"/>
        <w:outlineLvl w:val="0"/>
        <w:rPr>
          <w:rFonts w:eastAsia="標楷體"/>
          <w:spacing w:val="20"/>
          <w:sz w:val="28"/>
        </w:rPr>
      </w:pPr>
      <w:r w:rsidRPr="005C5E31">
        <w:rPr>
          <w:rFonts w:eastAsia="標楷體" w:hint="eastAsia"/>
          <w:spacing w:val="22"/>
          <w:sz w:val="30"/>
        </w:rPr>
        <w:t>依國營港務股份有限公司設置條例規定提撥地方政府</w:t>
      </w:r>
      <w:r w:rsidR="00C04648">
        <w:rPr>
          <w:rFonts w:eastAsia="標楷體" w:hint="eastAsia"/>
          <w:spacing w:val="22"/>
          <w:sz w:val="30"/>
        </w:rPr>
        <w:t>23</w:t>
      </w:r>
      <w:r w:rsidRPr="005C5E31">
        <w:rPr>
          <w:rFonts w:eastAsia="標楷體" w:hint="eastAsia"/>
          <w:spacing w:val="22"/>
          <w:sz w:val="30"/>
        </w:rPr>
        <w:t>億餘元，</w:t>
      </w:r>
      <w:r w:rsidRPr="005C5E31">
        <w:rPr>
          <w:rFonts w:eastAsia="標楷體"/>
          <w:spacing w:val="22"/>
          <w:sz w:val="30"/>
        </w:rPr>
        <w:t>占</w:t>
      </w:r>
      <w:r w:rsidRPr="005C5E31">
        <w:rPr>
          <w:rFonts w:eastAsia="標楷體" w:hint="eastAsia"/>
          <w:spacing w:val="22"/>
          <w:sz w:val="30"/>
        </w:rPr>
        <w:t>0.</w:t>
      </w:r>
      <w:r w:rsidR="00C04648">
        <w:rPr>
          <w:rFonts w:eastAsia="標楷體" w:hint="eastAsia"/>
          <w:spacing w:val="22"/>
          <w:sz w:val="30"/>
        </w:rPr>
        <w:t>8</w:t>
      </w:r>
      <w:r w:rsidRPr="005C5E31">
        <w:rPr>
          <w:rFonts w:eastAsia="標楷體" w:hAnsi="標楷體"/>
          <w:spacing w:val="22"/>
          <w:sz w:val="30"/>
        </w:rPr>
        <w:t>％</w:t>
      </w:r>
      <w:r w:rsidRPr="005C5E31">
        <w:rPr>
          <w:rFonts w:eastAsia="標楷體" w:hAnsi="標楷體" w:hint="eastAsia"/>
          <w:spacing w:val="22"/>
          <w:sz w:val="30"/>
        </w:rPr>
        <w:t>。</w:t>
      </w:r>
    </w:p>
    <w:p w:rsidR="00C060ED" w:rsidRPr="00133109" w:rsidRDefault="00177136" w:rsidP="00133109">
      <w:pPr>
        <w:numPr>
          <w:ilvl w:val="0"/>
          <w:numId w:val="34"/>
        </w:numPr>
        <w:spacing w:line="360" w:lineRule="auto"/>
        <w:ind w:left="992" w:hanging="567"/>
        <w:jc w:val="both"/>
        <w:outlineLvl w:val="0"/>
        <w:rPr>
          <w:rFonts w:eastAsia="標楷體"/>
          <w:spacing w:val="22"/>
          <w:sz w:val="30"/>
        </w:rPr>
      </w:pPr>
      <w:r w:rsidRPr="00133109">
        <w:rPr>
          <w:rFonts w:eastAsia="標楷體"/>
          <w:spacing w:val="22"/>
          <w:sz w:val="30"/>
        </w:rPr>
        <w:t>另由國營事業代徵之營業稅</w:t>
      </w:r>
      <w:r w:rsidR="003D7304" w:rsidRPr="00133109">
        <w:rPr>
          <w:rFonts w:eastAsia="標楷體"/>
          <w:spacing w:val="22"/>
          <w:sz w:val="30"/>
        </w:rPr>
        <w:t>3</w:t>
      </w:r>
      <w:r w:rsidR="00C04648" w:rsidRPr="00133109">
        <w:rPr>
          <w:rFonts w:eastAsia="標楷體" w:hint="eastAsia"/>
          <w:spacing w:val="22"/>
          <w:sz w:val="30"/>
        </w:rPr>
        <w:t>65</w:t>
      </w:r>
      <w:r w:rsidRPr="00133109">
        <w:rPr>
          <w:rFonts w:eastAsia="標楷體"/>
          <w:spacing w:val="22"/>
          <w:sz w:val="30"/>
        </w:rPr>
        <w:t>億餘元</w:t>
      </w:r>
      <w:r w:rsidRPr="00133109">
        <w:rPr>
          <w:rFonts w:eastAsia="標楷體" w:hint="eastAsia"/>
          <w:spacing w:val="22"/>
          <w:sz w:val="30"/>
        </w:rPr>
        <w:t>、所得稅利益</w:t>
      </w:r>
      <w:r w:rsidR="00C04648" w:rsidRPr="00133109">
        <w:rPr>
          <w:rFonts w:eastAsia="標楷體" w:hint="eastAsia"/>
          <w:spacing w:val="22"/>
          <w:sz w:val="30"/>
        </w:rPr>
        <w:t>374</w:t>
      </w:r>
      <w:r w:rsidRPr="00133109">
        <w:rPr>
          <w:rFonts w:eastAsia="標楷體" w:hint="eastAsia"/>
          <w:spacing w:val="22"/>
          <w:sz w:val="30"/>
        </w:rPr>
        <w:t>億餘元</w:t>
      </w:r>
      <w:r w:rsidRPr="00133109">
        <w:rPr>
          <w:rFonts w:eastAsia="標楷體"/>
          <w:spacing w:val="22"/>
          <w:sz w:val="30"/>
        </w:rPr>
        <w:t>及繳納規費</w:t>
      </w:r>
      <w:r w:rsidR="003D7304" w:rsidRPr="00133109">
        <w:rPr>
          <w:rFonts w:eastAsia="標楷體"/>
          <w:spacing w:val="22"/>
          <w:sz w:val="30"/>
        </w:rPr>
        <w:t>1</w:t>
      </w:r>
      <w:r w:rsidR="00BE4F31" w:rsidRPr="00133109">
        <w:rPr>
          <w:rFonts w:eastAsia="標楷體"/>
          <w:spacing w:val="22"/>
          <w:sz w:val="30"/>
        </w:rPr>
        <w:t>2</w:t>
      </w:r>
      <w:r w:rsidR="003B4538" w:rsidRPr="00133109">
        <w:rPr>
          <w:rFonts w:eastAsia="標楷體"/>
          <w:spacing w:val="22"/>
          <w:sz w:val="30"/>
        </w:rPr>
        <w:t>9</w:t>
      </w:r>
      <w:r w:rsidRPr="00133109">
        <w:rPr>
          <w:rFonts w:eastAsia="標楷體"/>
          <w:spacing w:val="22"/>
          <w:sz w:val="30"/>
        </w:rPr>
        <w:t>億餘元，則未包括在內。</w:t>
      </w:r>
    </w:p>
    <w:p w:rsidR="0046731A" w:rsidRPr="00963D26" w:rsidRDefault="0046731A" w:rsidP="0046731A">
      <w:pPr>
        <w:tabs>
          <w:tab w:val="left" w:pos="3402"/>
        </w:tabs>
        <w:spacing w:line="360" w:lineRule="auto"/>
        <w:jc w:val="center"/>
        <w:outlineLvl w:val="0"/>
        <w:rPr>
          <w:rFonts w:eastAsia="標楷體"/>
          <w:b/>
          <w:spacing w:val="20"/>
          <w:sz w:val="28"/>
          <w:szCs w:val="28"/>
        </w:rPr>
      </w:pPr>
      <w:r w:rsidRPr="00963D26">
        <w:rPr>
          <w:rFonts w:eastAsia="標楷體" w:hint="eastAsia"/>
          <w:b/>
          <w:spacing w:val="20"/>
          <w:sz w:val="28"/>
          <w:szCs w:val="28"/>
        </w:rPr>
        <w:t>表</w:t>
      </w:r>
      <w:r w:rsidRPr="00963D26">
        <w:rPr>
          <w:rFonts w:eastAsia="標楷體" w:hint="eastAsia"/>
          <w:b/>
          <w:spacing w:val="20"/>
          <w:sz w:val="28"/>
          <w:szCs w:val="28"/>
        </w:rPr>
        <w:t xml:space="preserve">5 </w:t>
      </w:r>
      <w:r w:rsidRPr="00963D26">
        <w:rPr>
          <w:rFonts w:eastAsia="標楷體" w:hint="eastAsia"/>
          <w:b/>
          <w:spacing w:val="20"/>
          <w:sz w:val="28"/>
          <w:szCs w:val="28"/>
        </w:rPr>
        <w:t>國營事業</w:t>
      </w:r>
      <w:r w:rsidR="00E17694">
        <w:rPr>
          <w:rFonts w:eastAsia="標楷體" w:hint="eastAsia"/>
          <w:b/>
          <w:spacing w:val="20"/>
          <w:sz w:val="28"/>
          <w:szCs w:val="28"/>
        </w:rPr>
        <w:t>111</w:t>
      </w:r>
      <w:r w:rsidR="00E17694">
        <w:rPr>
          <w:rFonts w:eastAsia="標楷體" w:hint="eastAsia"/>
          <w:b/>
          <w:spacing w:val="20"/>
          <w:sz w:val="28"/>
          <w:szCs w:val="28"/>
        </w:rPr>
        <w:t>年度</w:t>
      </w:r>
      <w:r w:rsidRPr="00963D26">
        <w:rPr>
          <w:rFonts w:eastAsia="標楷體" w:hint="eastAsia"/>
          <w:b/>
          <w:spacing w:val="20"/>
          <w:sz w:val="28"/>
          <w:szCs w:val="28"/>
        </w:rPr>
        <w:t>財政貢獻情形</w:t>
      </w:r>
    </w:p>
    <w:p w:rsidR="0046731A" w:rsidRPr="005C5E31" w:rsidRDefault="0046731A" w:rsidP="0046731A">
      <w:pPr>
        <w:ind w:right="1446"/>
        <w:jc w:val="right"/>
        <w:outlineLvl w:val="0"/>
        <w:rPr>
          <w:rFonts w:eastAsia="標楷體"/>
          <w:spacing w:val="22"/>
          <w:sz w:val="30"/>
        </w:rPr>
      </w:pPr>
      <w:r w:rsidRPr="006B2877">
        <w:rPr>
          <w:rFonts w:eastAsia="標楷體" w:hint="eastAsia"/>
          <w:spacing w:val="20"/>
          <w:sz w:val="22"/>
          <w:szCs w:val="18"/>
        </w:rPr>
        <w:t>單</w:t>
      </w:r>
      <w:r w:rsidRPr="006B2877">
        <w:rPr>
          <w:rFonts w:eastAsia="標楷體"/>
          <w:spacing w:val="20"/>
          <w:sz w:val="22"/>
          <w:szCs w:val="18"/>
        </w:rPr>
        <w:t>位：</w:t>
      </w:r>
      <w:r w:rsidR="00734286" w:rsidRPr="00734286">
        <w:rPr>
          <w:rFonts w:eastAsia="標楷體" w:hint="eastAsia"/>
          <w:spacing w:val="20"/>
          <w:sz w:val="22"/>
          <w:szCs w:val="18"/>
        </w:rPr>
        <w:t>新臺幣億元</w:t>
      </w:r>
    </w:p>
    <w:tbl>
      <w:tblPr>
        <w:tblW w:w="7752"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76"/>
        <w:gridCol w:w="3876"/>
      </w:tblGrid>
      <w:tr w:rsidR="0046731A" w:rsidRPr="006F2008" w:rsidTr="00133109">
        <w:trPr>
          <w:trHeight w:val="339"/>
          <w:jc w:val="center"/>
        </w:trPr>
        <w:tc>
          <w:tcPr>
            <w:tcW w:w="3876" w:type="dxa"/>
            <w:tcBorders>
              <w:top w:val="single" w:sz="4" w:space="0" w:color="auto"/>
              <w:bottom w:val="single" w:sz="4" w:space="0" w:color="auto"/>
            </w:tcBorders>
            <w:shd w:val="clear" w:color="auto" w:fill="auto"/>
            <w:noWrap/>
            <w:vAlign w:val="center"/>
            <w:hideMark/>
          </w:tcPr>
          <w:p w:rsidR="0046731A" w:rsidRPr="006F2008" w:rsidRDefault="0046731A" w:rsidP="00133109">
            <w:pPr>
              <w:widowControl/>
              <w:jc w:val="center"/>
              <w:rPr>
                <w:rFonts w:ascii="標楷體" w:eastAsia="標楷體" w:hAnsi="標楷體"/>
                <w:b/>
                <w:bCs/>
                <w:color w:val="000000"/>
                <w:szCs w:val="22"/>
              </w:rPr>
            </w:pPr>
            <w:r w:rsidRPr="006F2008">
              <w:rPr>
                <w:rFonts w:ascii="標楷體" w:eastAsia="標楷體" w:hAnsi="標楷體" w:hint="eastAsia"/>
                <w:b/>
                <w:bCs/>
                <w:color w:val="000000"/>
                <w:szCs w:val="22"/>
              </w:rPr>
              <w:t>財政貢獻</w:t>
            </w:r>
          </w:p>
        </w:tc>
        <w:tc>
          <w:tcPr>
            <w:tcW w:w="3876" w:type="dxa"/>
            <w:tcBorders>
              <w:top w:val="single" w:sz="4" w:space="0" w:color="auto"/>
              <w:bottom w:val="single" w:sz="4" w:space="0" w:color="auto"/>
            </w:tcBorders>
            <w:shd w:val="clear" w:color="auto" w:fill="auto"/>
            <w:noWrap/>
            <w:vAlign w:val="center"/>
            <w:hideMark/>
          </w:tcPr>
          <w:p w:rsidR="0046731A" w:rsidRPr="006F2008" w:rsidRDefault="0046731A" w:rsidP="00133109">
            <w:pPr>
              <w:jc w:val="center"/>
              <w:rPr>
                <w:rFonts w:eastAsia="新細明體"/>
                <w:b/>
                <w:bCs/>
                <w:color w:val="000000"/>
                <w:szCs w:val="22"/>
              </w:rPr>
            </w:pPr>
            <w:r w:rsidRPr="006F2008">
              <w:rPr>
                <w:rFonts w:ascii="標楷體" w:eastAsia="標楷體" w:hAnsi="標楷體" w:hint="eastAsia"/>
                <w:b/>
                <w:bCs/>
                <w:color w:val="000000"/>
                <w:szCs w:val="22"/>
              </w:rPr>
              <w:t>決算</w:t>
            </w:r>
            <w:r w:rsidR="00D9553B" w:rsidRPr="00D9553B">
              <w:rPr>
                <w:rFonts w:ascii="標楷體" w:eastAsia="標楷體" w:hAnsi="標楷體" w:hint="eastAsia"/>
                <w:b/>
                <w:bCs/>
                <w:color w:val="000000"/>
                <w:szCs w:val="22"/>
              </w:rPr>
              <w:t>數</w:t>
            </w:r>
          </w:p>
        </w:tc>
      </w:tr>
      <w:tr w:rsidR="00EE7A9F" w:rsidRPr="006F2008" w:rsidTr="00133109">
        <w:trPr>
          <w:trHeight w:val="339"/>
          <w:jc w:val="center"/>
        </w:trPr>
        <w:tc>
          <w:tcPr>
            <w:tcW w:w="3876" w:type="dxa"/>
            <w:tcBorders>
              <w:top w:val="single" w:sz="4" w:space="0" w:color="auto"/>
            </w:tcBorders>
            <w:shd w:val="clear" w:color="auto" w:fill="auto"/>
            <w:noWrap/>
            <w:vAlign w:val="center"/>
            <w:hideMark/>
          </w:tcPr>
          <w:p w:rsidR="00EE7A9F" w:rsidRPr="006F2008" w:rsidRDefault="00EE7A9F" w:rsidP="00133109">
            <w:pPr>
              <w:rPr>
                <w:rFonts w:ascii="標楷體" w:eastAsia="標楷體" w:hAnsi="標楷體" w:cs="新細明體"/>
                <w:color w:val="000000"/>
                <w:szCs w:val="22"/>
              </w:rPr>
            </w:pPr>
            <w:r w:rsidRPr="006F2008">
              <w:rPr>
                <w:rFonts w:ascii="標楷體" w:eastAsia="標楷體" w:hAnsi="標楷體" w:hint="eastAsia"/>
                <w:color w:val="000000"/>
                <w:szCs w:val="22"/>
              </w:rPr>
              <w:t>中央及地方政府股（官）息紅利</w:t>
            </w:r>
          </w:p>
        </w:tc>
        <w:tc>
          <w:tcPr>
            <w:tcW w:w="3876" w:type="dxa"/>
            <w:tcBorders>
              <w:top w:val="nil"/>
              <w:left w:val="nil"/>
              <w:bottom w:val="nil"/>
              <w:right w:val="single" w:sz="4" w:space="0" w:color="auto"/>
            </w:tcBorders>
            <w:shd w:val="clear" w:color="auto" w:fill="auto"/>
            <w:noWrap/>
            <w:vAlign w:val="center"/>
            <w:hideMark/>
          </w:tcPr>
          <w:p w:rsidR="00EE7A9F" w:rsidRDefault="00EE7A9F" w:rsidP="00133109">
            <w:pPr>
              <w:autoSpaceDE w:val="0"/>
              <w:autoSpaceDN w:val="0"/>
              <w:adjustRightInd w:val="0"/>
              <w:jc w:val="right"/>
              <w:rPr>
                <w:rFonts w:eastAsia="新細明體"/>
                <w:color w:val="000000"/>
                <w:kern w:val="0"/>
                <w:szCs w:val="24"/>
              </w:rPr>
            </w:pPr>
            <w:r>
              <w:rPr>
                <w:rFonts w:eastAsia="新細明體"/>
                <w:color w:val="000000"/>
                <w:kern w:val="0"/>
                <w:szCs w:val="24"/>
              </w:rPr>
              <w:t>2,003.39</w:t>
            </w:r>
          </w:p>
        </w:tc>
      </w:tr>
      <w:tr w:rsidR="00EE7A9F" w:rsidRPr="006F2008" w:rsidTr="00133109">
        <w:trPr>
          <w:trHeight w:val="339"/>
          <w:jc w:val="center"/>
        </w:trPr>
        <w:tc>
          <w:tcPr>
            <w:tcW w:w="3876" w:type="dxa"/>
            <w:shd w:val="clear" w:color="auto" w:fill="auto"/>
            <w:noWrap/>
            <w:vAlign w:val="center"/>
            <w:hideMark/>
          </w:tcPr>
          <w:p w:rsidR="00EE7A9F" w:rsidRPr="006F2008" w:rsidRDefault="00EE7A9F" w:rsidP="00133109">
            <w:pPr>
              <w:rPr>
                <w:rFonts w:ascii="標楷體" w:eastAsia="標楷體" w:hAnsi="標楷體" w:cs="新細明體"/>
                <w:szCs w:val="22"/>
              </w:rPr>
            </w:pPr>
            <w:r w:rsidRPr="006F2008">
              <w:rPr>
                <w:rFonts w:ascii="標楷體" w:eastAsia="標楷體" w:hAnsi="標楷體" w:hint="eastAsia"/>
                <w:szCs w:val="22"/>
              </w:rPr>
              <w:t>消費與行為稅</w:t>
            </w:r>
          </w:p>
        </w:tc>
        <w:tc>
          <w:tcPr>
            <w:tcW w:w="3876" w:type="dxa"/>
            <w:tcBorders>
              <w:top w:val="nil"/>
              <w:left w:val="nil"/>
              <w:bottom w:val="nil"/>
              <w:right w:val="single" w:sz="4" w:space="0" w:color="auto"/>
            </w:tcBorders>
            <w:shd w:val="clear" w:color="auto" w:fill="auto"/>
            <w:noWrap/>
            <w:vAlign w:val="center"/>
            <w:hideMark/>
          </w:tcPr>
          <w:p w:rsidR="00EE7A9F" w:rsidRDefault="00EE7A9F" w:rsidP="00133109">
            <w:pPr>
              <w:autoSpaceDE w:val="0"/>
              <w:autoSpaceDN w:val="0"/>
              <w:adjustRightInd w:val="0"/>
              <w:jc w:val="right"/>
              <w:rPr>
                <w:rFonts w:eastAsia="新細明體"/>
                <w:color w:val="000000"/>
                <w:kern w:val="0"/>
                <w:szCs w:val="24"/>
              </w:rPr>
            </w:pPr>
            <w:r>
              <w:rPr>
                <w:rFonts w:eastAsia="新細明體"/>
                <w:color w:val="000000"/>
                <w:kern w:val="0"/>
                <w:szCs w:val="24"/>
              </w:rPr>
              <w:t>803.90</w:t>
            </w:r>
          </w:p>
        </w:tc>
      </w:tr>
      <w:tr w:rsidR="00EE7A9F" w:rsidRPr="006F2008" w:rsidTr="00133109">
        <w:trPr>
          <w:trHeight w:val="339"/>
          <w:jc w:val="center"/>
        </w:trPr>
        <w:tc>
          <w:tcPr>
            <w:tcW w:w="3876" w:type="dxa"/>
            <w:shd w:val="clear" w:color="auto" w:fill="auto"/>
            <w:noWrap/>
            <w:vAlign w:val="center"/>
            <w:hideMark/>
          </w:tcPr>
          <w:p w:rsidR="00EE7A9F" w:rsidRPr="006F2008" w:rsidRDefault="00EE7A9F" w:rsidP="00133109">
            <w:pPr>
              <w:rPr>
                <w:rFonts w:ascii="標楷體" w:eastAsia="標楷體" w:hAnsi="標楷體" w:cs="新細明體"/>
                <w:szCs w:val="22"/>
              </w:rPr>
            </w:pPr>
            <w:r w:rsidRPr="006F2008">
              <w:rPr>
                <w:rFonts w:ascii="標楷體" w:eastAsia="標楷體" w:hAnsi="標楷體" w:hint="eastAsia"/>
                <w:szCs w:val="22"/>
              </w:rPr>
              <w:t>所得稅</w:t>
            </w:r>
          </w:p>
        </w:tc>
        <w:tc>
          <w:tcPr>
            <w:tcW w:w="3876" w:type="dxa"/>
            <w:tcBorders>
              <w:top w:val="nil"/>
              <w:left w:val="nil"/>
              <w:bottom w:val="nil"/>
              <w:right w:val="single" w:sz="4" w:space="0" w:color="auto"/>
            </w:tcBorders>
            <w:shd w:val="clear" w:color="auto" w:fill="auto"/>
            <w:noWrap/>
            <w:vAlign w:val="center"/>
            <w:hideMark/>
          </w:tcPr>
          <w:p w:rsidR="00EE7A9F" w:rsidRDefault="00EE7A9F" w:rsidP="00133109">
            <w:pPr>
              <w:autoSpaceDE w:val="0"/>
              <w:autoSpaceDN w:val="0"/>
              <w:adjustRightInd w:val="0"/>
              <w:jc w:val="right"/>
              <w:rPr>
                <w:rFonts w:eastAsia="新細明體"/>
                <w:color w:val="000000"/>
                <w:kern w:val="0"/>
                <w:szCs w:val="24"/>
              </w:rPr>
            </w:pPr>
            <w:r>
              <w:rPr>
                <w:rFonts w:eastAsia="新細明體"/>
                <w:color w:val="000000"/>
                <w:kern w:val="0"/>
                <w:szCs w:val="24"/>
              </w:rPr>
              <w:t>100.49</w:t>
            </w:r>
          </w:p>
        </w:tc>
      </w:tr>
      <w:tr w:rsidR="00EE7A9F" w:rsidRPr="006F2008" w:rsidTr="00133109">
        <w:trPr>
          <w:trHeight w:val="339"/>
          <w:jc w:val="center"/>
        </w:trPr>
        <w:tc>
          <w:tcPr>
            <w:tcW w:w="3876" w:type="dxa"/>
            <w:shd w:val="clear" w:color="auto" w:fill="auto"/>
            <w:noWrap/>
            <w:vAlign w:val="center"/>
          </w:tcPr>
          <w:p w:rsidR="00EE7A9F" w:rsidRPr="006F2008" w:rsidRDefault="00EE7A9F" w:rsidP="00133109">
            <w:pPr>
              <w:rPr>
                <w:rFonts w:ascii="標楷體" w:eastAsia="標楷體" w:hAnsi="標楷體" w:cs="新細明體"/>
                <w:szCs w:val="22"/>
              </w:rPr>
            </w:pPr>
            <w:r w:rsidRPr="006F2008">
              <w:rPr>
                <w:rFonts w:ascii="標楷體" w:eastAsia="標楷體" w:hAnsi="標楷體" w:hint="eastAsia"/>
                <w:szCs w:val="22"/>
              </w:rPr>
              <w:t>土地稅</w:t>
            </w:r>
          </w:p>
        </w:tc>
        <w:tc>
          <w:tcPr>
            <w:tcW w:w="3876" w:type="dxa"/>
            <w:tcBorders>
              <w:top w:val="nil"/>
              <w:left w:val="nil"/>
              <w:bottom w:val="nil"/>
              <w:right w:val="single" w:sz="4" w:space="0" w:color="auto"/>
            </w:tcBorders>
            <w:shd w:val="clear" w:color="auto" w:fill="auto"/>
            <w:noWrap/>
            <w:vAlign w:val="center"/>
          </w:tcPr>
          <w:p w:rsidR="00EE7A9F" w:rsidRDefault="00EE7A9F" w:rsidP="00133109">
            <w:pPr>
              <w:autoSpaceDE w:val="0"/>
              <w:autoSpaceDN w:val="0"/>
              <w:adjustRightInd w:val="0"/>
              <w:jc w:val="right"/>
              <w:rPr>
                <w:rFonts w:eastAsia="新細明體"/>
                <w:color w:val="000000"/>
                <w:kern w:val="0"/>
                <w:szCs w:val="24"/>
              </w:rPr>
            </w:pPr>
            <w:r>
              <w:rPr>
                <w:rFonts w:eastAsia="新細明體"/>
                <w:color w:val="000000"/>
                <w:kern w:val="0"/>
                <w:szCs w:val="24"/>
              </w:rPr>
              <w:t>81.70</w:t>
            </w:r>
          </w:p>
        </w:tc>
      </w:tr>
      <w:tr w:rsidR="00EE7A9F" w:rsidRPr="006F2008" w:rsidTr="00133109">
        <w:trPr>
          <w:trHeight w:val="339"/>
          <w:jc w:val="center"/>
        </w:trPr>
        <w:tc>
          <w:tcPr>
            <w:tcW w:w="3876" w:type="dxa"/>
            <w:shd w:val="clear" w:color="auto" w:fill="auto"/>
            <w:noWrap/>
            <w:vAlign w:val="center"/>
          </w:tcPr>
          <w:p w:rsidR="00EE7A9F" w:rsidRPr="006F2008" w:rsidRDefault="00EE7A9F" w:rsidP="00133109">
            <w:pPr>
              <w:rPr>
                <w:rFonts w:ascii="標楷體" w:eastAsia="標楷體" w:hAnsi="標楷體" w:cs="新細明體"/>
                <w:szCs w:val="22"/>
              </w:rPr>
            </w:pPr>
            <w:r w:rsidRPr="006F2008">
              <w:rPr>
                <w:rFonts w:ascii="標楷體" w:eastAsia="標楷體" w:hAnsi="標楷體" w:hint="eastAsia"/>
                <w:szCs w:val="22"/>
              </w:rPr>
              <w:t>特別稅課</w:t>
            </w:r>
          </w:p>
        </w:tc>
        <w:tc>
          <w:tcPr>
            <w:tcW w:w="3876" w:type="dxa"/>
            <w:tcBorders>
              <w:top w:val="nil"/>
              <w:left w:val="nil"/>
              <w:bottom w:val="nil"/>
              <w:right w:val="single" w:sz="4" w:space="0" w:color="auto"/>
            </w:tcBorders>
            <w:shd w:val="clear" w:color="auto" w:fill="auto"/>
            <w:noWrap/>
            <w:vAlign w:val="center"/>
          </w:tcPr>
          <w:p w:rsidR="00EE7A9F" w:rsidRDefault="00EE7A9F" w:rsidP="00133109">
            <w:pPr>
              <w:autoSpaceDE w:val="0"/>
              <w:autoSpaceDN w:val="0"/>
              <w:adjustRightInd w:val="0"/>
              <w:jc w:val="right"/>
              <w:rPr>
                <w:rFonts w:eastAsia="新細明體"/>
                <w:color w:val="000000"/>
                <w:kern w:val="0"/>
                <w:szCs w:val="24"/>
              </w:rPr>
            </w:pPr>
            <w:r>
              <w:rPr>
                <w:rFonts w:eastAsia="新細明體"/>
                <w:color w:val="000000"/>
                <w:kern w:val="0"/>
                <w:szCs w:val="24"/>
              </w:rPr>
              <w:t>74.91</w:t>
            </w:r>
          </w:p>
        </w:tc>
      </w:tr>
      <w:tr w:rsidR="00EE7A9F" w:rsidRPr="006F2008" w:rsidTr="00133109">
        <w:trPr>
          <w:trHeight w:val="339"/>
          <w:jc w:val="center"/>
        </w:trPr>
        <w:tc>
          <w:tcPr>
            <w:tcW w:w="3876" w:type="dxa"/>
            <w:shd w:val="clear" w:color="auto" w:fill="auto"/>
            <w:noWrap/>
            <w:vAlign w:val="center"/>
          </w:tcPr>
          <w:p w:rsidR="00EE7A9F" w:rsidRPr="006F2008" w:rsidRDefault="00EE7A9F" w:rsidP="00133109">
            <w:pPr>
              <w:rPr>
                <w:rFonts w:ascii="標楷體" w:eastAsia="標楷體" w:hAnsi="標楷體" w:cs="新細明體"/>
                <w:color w:val="000000"/>
                <w:szCs w:val="22"/>
              </w:rPr>
            </w:pPr>
            <w:r w:rsidRPr="006F2008">
              <w:rPr>
                <w:rFonts w:ascii="標楷體" w:eastAsia="標楷體" w:hAnsi="標楷體" w:hint="eastAsia"/>
                <w:color w:val="000000"/>
                <w:szCs w:val="22"/>
              </w:rPr>
              <w:t>提撥地方政府</w:t>
            </w:r>
          </w:p>
        </w:tc>
        <w:tc>
          <w:tcPr>
            <w:tcW w:w="3876" w:type="dxa"/>
            <w:tcBorders>
              <w:top w:val="nil"/>
              <w:left w:val="nil"/>
              <w:bottom w:val="nil"/>
              <w:right w:val="single" w:sz="4" w:space="0" w:color="auto"/>
            </w:tcBorders>
            <w:shd w:val="clear" w:color="auto" w:fill="auto"/>
            <w:noWrap/>
            <w:vAlign w:val="center"/>
          </w:tcPr>
          <w:p w:rsidR="00EE7A9F" w:rsidRDefault="00EE7A9F" w:rsidP="00133109">
            <w:pPr>
              <w:autoSpaceDE w:val="0"/>
              <w:autoSpaceDN w:val="0"/>
              <w:adjustRightInd w:val="0"/>
              <w:jc w:val="right"/>
              <w:rPr>
                <w:rFonts w:eastAsia="新細明體"/>
                <w:color w:val="000000"/>
                <w:kern w:val="0"/>
                <w:szCs w:val="24"/>
              </w:rPr>
            </w:pPr>
            <w:r>
              <w:rPr>
                <w:rFonts w:eastAsia="新細明體"/>
                <w:color w:val="000000"/>
                <w:kern w:val="0"/>
                <w:szCs w:val="24"/>
              </w:rPr>
              <w:t>23.66</w:t>
            </w:r>
          </w:p>
        </w:tc>
      </w:tr>
      <w:tr w:rsidR="00EE7A9F" w:rsidRPr="006F2008" w:rsidTr="00133109">
        <w:trPr>
          <w:trHeight w:val="339"/>
          <w:jc w:val="center"/>
        </w:trPr>
        <w:tc>
          <w:tcPr>
            <w:tcW w:w="3876" w:type="dxa"/>
            <w:shd w:val="clear" w:color="auto" w:fill="auto"/>
            <w:noWrap/>
            <w:vAlign w:val="center"/>
            <w:hideMark/>
          </w:tcPr>
          <w:p w:rsidR="00EE7A9F" w:rsidRPr="006F2008" w:rsidRDefault="00EE7A9F" w:rsidP="00133109">
            <w:pPr>
              <w:rPr>
                <w:rFonts w:ascii="標楷體" w:eastAsia="標楷體" w:hAnsi="標楷體" w:cs="新細明體"/>
                <w:szCs w:val="22"/>
              </w:rPr>
            </w:pPr>
            <w:r w:rsidRPr="006F2008">
              <w:rPr>
                <w:rFonts w:ascii="標楷體" w:eastAsia="標楷體" w:hAnsi="標楷體" w:hint="eastAsia"/>
                <w:szCs w:val="22"/>
              </w:rPr>
              <w:t>房屋稅及其他稅捐</w:t>
            </w:r>
          </w:p>
        </w:tc>
        <w:tc>
          <w:tcPr>
            <w:tcW w:w="3876" w:type="dxa"/>
            <w:tcBorders>
              <w:top w:val="nil"/>
              <w:left w:val="nil"/>
              <w:bottom w:val="nil"/>
              <w:right w:val="single" w:sz="4" w:space="0" w:color="auto"/>
            </w:tcBorders>
            <w:shd w:val="clear" w:color="auto" w:fill="auto"/>
            <w:noWrap/>
            <w:vAlign w:val="center"/>
            <w:hideMark/>
          </w:tcPr>
          <w:p w:rsidR="00EE7A9F" w:rsidRDefault="00EE7A9F" w:rsidP="00133109">
            <w:pPr>
              <w:autoSpaceDE w:val="0"/>
              <w:autoSpaceDN w:val="0"/>
              <w:adjustRightInd w:val="0"/>
              <w:jc w:val="right"/>
              <w:rPr>
                <w:rFonts w:eastAsia="新細明體"/>
                <w:color w:val="000000"/>
                <w:kern w:val="0"/>
                <w:szCs w:val="24"/>
              </w:rPr>
            </w:pPr>
            <w:r>
              <w:rPr>
                <w:rFonts w:eastAsia="新細明體"/>
                <w:color w:val="000000"/>
                <w:kern w:val="0"/>
                <w:szCs w:val="24"/>
              </w:rPr>
              <w:t>14.66</w:t>
            </w:r>
          </w:p>
        </w:tc>
      </w:tr>
      <w:tr w:rsidR="00EE7A9F" w:rsidRPr="006F2008" w:rsidTr="00133109">
        <w:trPr>
          <w:trHeight w:val="339"/>
          <w:jc w:val="center"/>
        </w:trPr>
        <w:tc>
          <w:tcPr>
            <w:tcW w:w="3876" w:type="dxa"/>
            <w:tcBorders>
              <w:top w:val="single" w:sz="4" w:space="0" w:color="auto"/>
              <w:bottom w:val="single" w:sz="4" w:space="0" w:color="auto"/>
              <w:right w:val="single" w:sz="4" w:space="0" w:color="auto"/>
            </w:tcBorders>
            <w:shd w:val="clear" w:color="auto" w:fill="auto"/>
            <w:noWrap/>
            <w:vAlign w:val="center"/>
            <w:hideMark/>
          </w:tcPr>
          <w:p w:rsidR="00EE7A9F" w:rsidRPr="006F2008" w:rsidRDefault="00EE7A9F" w:rsidP="00EE7A9F">
            <w:pPr>
              <w:jc w:val="center"/>
              <w:rPr>
                <w:rFonts w:ascii="標楷體" w:eastAsia="標楷體" w:hAnsi="標楷體" w:cs="新細明體"/>
                <w:b/>
                <w:bCs/>
                <w:color w:val="000000"/>
                <w:szCs w:val="22"/>
              </w:rPr>
            </w:pPr>
            <w:r w:rsidRPr="006F2008">
              <w:rPr>
                <w:rFonts w:ascii="標楷體" w:eastAsia="標楷體" w:hAnsi="標楷體" w:hint="eastAsia"/>
                <w:b/>
                <w:bCs/>
                <w:color w:val="000000"/>
                <w:szCs w:val="22"/>
              </w:rPr>
              <w:t>合   計</w:t>
            </w:r>
          </w:p>
        </w:tc>
        <w:tc>
          <w:tcPr>
            <w:tcW w:w="3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A9F" w:rsidRDefault="00EE7A9F" w:rsidP="00EE7A9F">
            <w:pPr>
              <w:autoSpaceDE w:val="0"/>
              <w:autoSpaceDN w:val="0"/>
              <w:adjustRightInd w:val="0"/>
              <w:jc w:val="right"/>
              <w:rPr>
                <w:rFonts w:eastAsia="新細明體"/>
                <w:b/>
                <w:bCs/>
                <w:color w:val="000000"/>
                <w:kern w:val="0"/>
                <w:szCs w:val="24"/>
              </w:rPr>
            </w:pPr>
            <w:r>
              <w:rPr>
                <w:rFonts w:eastAsia="新細明體"/>
                <w:b/>
                <w:bCs/>
                <w:color w:val="000000"/>
                <w:kern w:val="0"/>
                <w:szCs w:val="24"/>
              </w:rPr>
              <w:t>3,102.71</w:t>
            </w:r>
          </w:p>
        </w:tc>
      </w:tr>
    </w:tbl>
    <w:p w:rsidR="00A36EF1" w:rsidRDefault="00F073E1" w:rsidP="00A36EF1">
      <w:pPr>
        <w:spacing w:before="240" w:line="360" w:lineRule="auto"/>
        <w:ind w:leftChars="-62" w:left="144" w:hangingChars="122" w:hanging="293"/>
        <w:jc w:val="center"/>
        <w:outlineLvl w:val="0"/>
        <w:rPr>
          <w:rFonts w:eastAsia="標楷體"/>
          <w:b/>
          <w:spacing w:val="20"/>
          <w:sz w:val="40"/>
        </w:rPr>
      </w:pPr>
      <w:bookmarkStart w:id="11" w:name="貳、三"/>
      <w:bookmarkEnd w:id="7"/>
      <w:r>
        <w:rPr>
          <w:noProof/>
        </w:rPr>
        <w:lastRenderedPageBreak/>
        <mc:AlternateContent>
          <mc:Choice Requires="wps">
            <w:drawing>
              <wp:anchor distT="0" distB="0" distL="114300" distR="114300" simplePos="0" relativeHeight="251786240" behindDoc="0" locked="0" layoutInCell="1" allowOverlap="1" wp14:anchorId="11DC6BF0" wp14:editId="5025A144">
                <wp:simplePos x="0" y="0"/>
                <wp:positionH relativeFrom="column">
                  <wp:posOffset>1046480</wp:posOffset>
                </wp:positionH>
                <wp:positionV relativeFrom="paragraph">
                  <wp:posOffset>-2943225</wp:posOffset>
                </wp:positionV>
                <wp:extent cx="1257960" cy="70929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60" cy="709295"/>
                        </a:xfrm>
                        <a:prstGeom prst="rect">
                          <a:avLst/>
                        </a:prstGeom>
                        <a:noFill/>
                        <a:ln w="9525">
                          <a:noFill/>
                          <a:miter lim="800000"/>
                          <a:headEnd/>
                          <a:tailEnd/>
                        </a:ln>
                      </wps:spPr>
                      <wps:txbx>
                        <w:txbxContent>
                          <w:p w:rsidR="00133109" w:rsidRPr="00AD67F3" w:rsidRDefault="00133109" w:rsidP="00F073E1">
                            <w:pPr>
                              <w:pStyle w:val="Web"/>
                              <w:spacing w:before="0" w:beforeAutospacing="0" w:after="0" w:afterAutospacing="0" w:line="280" w:lineRule="exact"/>
                              <w:rPr>
                                <w:sz w:val="21"/>
                                <w:szCs w:val="21"/>
                              </w:rPr>
                            </w:pPr>
                            <w:r w:rsidRPr="00AD67F3">
                              <w:rPr>
                                <w:rFonts w:ascii="標楷體" w:eastAsia="標楷體" w:hAnsi="標楷體" w:hint="eastAsia"/>
                                <w:kern w:val="2"/>
                                <w:sz w:val="21"/>
                                <w:szCs w:val="21"/>
                              </w:rPr>
                              <w:t>中央及地方政府股（官）息紅利</w:t>
                            </w:r>
                            <w:r w:rsidRPr="00AD67F3">
                              <w:rPr>
                                <w:rFonts w:ascii="Times New Roman" w:eastAsia="標楷體" w:hAnsi="Times New Roman" w:cs="Times New Roman"/>
                                <w:kern w:val="2"/>
                                <w:sz w:val="21"/>
                                <w:szCs w:val="21"/>
                              </w:rPr>
                              <w:t>60.4</w:t>
                            </w:r>
                            <w:r w:rsidRPr="00AD67F3">
                              <w:rPr>
                                <w:rFonts w:ascii="Times New Roman" w:eastAsia="標楷體" w:hAnsi="Times New Roman" w:cs="Times New Roman" w:hint="eastAsia"/>
                                <w:kern w:val="2"/>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C6BF0" id="_x0000_t202" coordsize="21600,21600" o:spt="202" path="m,l,21600r21600,l21600,xe">
                <v:stroke joinstyle="miter"/>
                <v:path gradientshapeok="t" o:connecttype="rect"/>
              </v:shapetype>
              <v:shape id="_x0000_s1036" type="#_x0000_t202" style="position:absolute;left:0;text-align:left;margin-left:82.4pt;margin-top:-231.75pt;width:99.05pt;height:55.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" filled="f" stroked="f">
                <v:textbox>
                  <w:txbxContent>
                    <w:p w:rsidR="00133109" w:rsidRPr="00AD67F3" w:rsidRDefault="00133109" w:rsidP="00F073E1">
                      <w:pPr>
                        <w:pStyle w:val="Web"/>
                        <w:spacing w:before="0" w:beforeAutospacing="0" w:after="0" w:afterAutospacing="0" w:line="280" w:lineRule="exact"/>
                        <w:rPr>
                          <w:sz w:val="21"/>
                          <w:szCs w:val="21"/>
                        </w:rPr>
                      </w:pPr>
                      <w:r w:rsidRPr="00AD67F3">
                        <w:rPr>
                          <w:rFonts w:ascii="標楷體" w:eastAsia="標楷體" w:hAnsi="標楷體" w:hint="eastAsia"/>
                          <w:kern w:val="2"/>
                          <w:sz w:val="21"/>
                          <w:szCs w:val="21"/>
                        </w:rPr>
                        <w:t>中央及地方政府股（官）息紅利</w:t>
                      </w:r>
                      <w:r w:rsidRPr="00AD67F3">
                        <w:rPr>
                          <w:rFonts w:ascii="Times New Roman" w:eastAsia="標楷體" w:hAnsi="Times New Roman" w:cs="Times New Roman"/>
                          <w:kern w:val="2"/>
                          <w:sz w:val="21"/>
                          <w:szCs w:val="21"/>
                        </w:rPr>
                        <w:t>60.4</w:t>
                      </w:r>
                      <w:r w:rsidRPr="00AD67F3">
                        <w:rPr>
                          <w:rFonts w:ascii="Times New Roman" w:eastAsia="標楷體" w:hAnsi="Times New Roman" w:cs="Times New Roman" w:hint="eastAsia"/>
                          <w:kern w:val="2"/>
                          <w:sz w:val="21"/>
                          <w:szCs w:val="21"/>
                        </w:rPr>
                        <w:t>%</w:t>
                      </w:r>
                    </w:p>
                  </w:txbxContent>
                </v:textbox>
              </v:shape>
            </w:pict>
          </mc:Fallback>
        </mc:AlternateContent>
      </w:r>
      <w:bookmarkStart w:id="12" w:name="_GoBack"/>
      <w:bookmarkEnd w:id="12"/>
      <w:r w:rsidR="00A36EF1">
        <w:rPr>
          <w:rFonts w:eastAsia="標楷體"/>
          <w:b/>
          <w:noProof/>
          <w:spacing w:val="20"/>
          <w:sz w:val="40"/>
        </w:rPr>
        <w:drawing>
          <wp:inline distT="0" distB="0" distL="0" distR="0" wp14:anchorId="5A53D6F7">
            <wp:extent cx="4572635" cy="2743200"/>
            <wp:effectExtent l="0" t="0" r="0" b="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rsidR="0046731A" w:rsidRDefault="0046731A" w:rsidP="00177136">
      <w:pPr>
        <w:spacing w:before="240" w:line="360" w:lineRule="auto"/>
        <w:outlineLvl w:val="0"/>
        <w:rPr>
          <w:rFonts w:eastAsia="標楷體"/>
          <w:b/>
          <w:spacing w:val="20"/>
          <w:sz w:val="40"/>
        </w:rPr>
      </w:pPr>
      <w:r>
        <w:rPr>
          <w:noProof/>
        </w:rPr>
        <mc:AlternateContent>
          <mc:Choice Requires="wps">
            <w:drawing>
              <wp:anchor distT="0" distB="0" distL="114300" distR="114300" simplePos="0" relativeHeight="251687936" behindDoc="0" locked="0" layoutInCell="1" allowOverlap="1" wp14:anchorId="489CF8C3" wp14:editId="49003312">
                <wp:simplePos x="0" y="0"/>
                <wp:positionH relativeFrom="column">
                  <wp:posOffset>1209506</wp:posOffset>
                </wp:positionH>
                <wp:positionV relativeFrom="paragraph">
                  <wp:posOffset>99890</wp:posOffset>
                </wp:positionV>
                <wp:extent cx="3754341" cy="380132"/>
                <wp:effectExtent l="0" t="0" r="0" b="0"/>
                <wp:wrapNone/>
                <wp:docPr id="2" name="文字方塊 1"/>
                <wp:cNvGraphicFramePr/>
                <a:graphic xmlns:a="http://schemas.openxmlformats.org/drawingml/2006/main">
                  <a:graphicData uri="http://schemas.microsoft.com/office/word/2010/wordprocessingShape">
                    <wps:wsp>
                      <wps:cNvSpPr txBox="1"/>
                      <wps:spPr>
                        <a:xfrm>
                          <a:off x="0" y="0"/>
                          <a:ext cx="3754341" cy="380132"/>
                        </a:xfrm>
                        <a:prstGeom prst="rect">
                          <a:avLst/>
                        </a:prstGeom>
                      </wps:spPr>
                      <wps:txbx>
                        <w:txbxContent>
                          <w:p w:rsidR="00133109" w:rsidRPr="00963D26" w:rsidRDefault="00133109" w:rsidP="008435BF">
                            <w:pPr>
                              <w:pStyle w:val="Web"/>
                              <w:spacing w:before="0" w:beforeAutospacing="0" w:after="0" w:afterAutospacing="0"/>
                              <w:jc w:val="center"/>
                              <w:rPr>
                                <w:b/>
                              </w:rPr>
                            </w:pPr>
                            <w:r w:rsidRPr="00963D26">
                              <w:rPr>
                                <w:rFonts w:ascii="Times New Roman" w:eastAsia="標楷體" w:hAnsi="標楷體" w:cs="Times New Roman" w:hint="eastAsia"/>
                                <w:b/>
                                <w:sz w:val="30"/>
                                <w:szCs w:val="30"/>
                              </w:rPr>
                              <w:t>圖</w:t>
                            </w:r>
                            <w:r w:rsidRPr="00963D26">
                              <w:rPr>
                                <w:rFonts w:ascii="Times New Roman" w:eastAsia="標楷體" w:hAnsi="Times New Roman" w:cs="Times New Roman"/>
                                <w:b/>
                                <w:sz w:val="30"/>
                                <w:szCs w:val="30"/>
                              </w:rPr>
                              <w:t xml:space="preserve">5   </w:t>
                            </w:r>
                            <w:r w:rsidRPr="00963D26">
                              <w:rPr>
                                <w:rFonts w:ascii="Times New Roman" w:eastAsia="標楷體" w:hAnsi="標楷體" w:cs="Times New Roman" w:hint="eastAsia"/>
                                <w:b/>
                                <w:sz w:val="30"/>
                                <w:szCs w:val="30"/>
                              </w:rPr>
                              <w:t>國營事業</w:t>
                            </w:r>
                            <w:r>
                              <w:rPr>
                                <w:rFonts w:ascii="Times New Roman" w:eastAsia="標楷體" w:hAnsi="Times New Roman" w:cs="Times New Roman"/>
                                <w:b/>
                                <w:sz w:val="30"/>
                                <w:szCs w:val="30"/>
                              </w:rPr>
                              <w:t>111</w:t>
                            </w:r>
                            <w:r>
                              <w:rPr>
                                <w:rFonts w:ascii="Times New Roman" w:eastAsia="標楷體" w:hAnsi="Times New Roman" w:cs="Times New Roman"/>
                                <w:b/>
                                <w:sz w:val="30"/>
                                <w:szCs w:val="30"/>
                              </w:rPr>
                              <w:t>年度</w:t>
                            </w:r>
                            <w:r w:rsidRPr="00963D26">
                              <w:rPr>
                                <w:rFonts w:ascii="Times New Roman" w:eastAsia="標楷體" w:hAnsi="標楷體" w:cs="Times New Roman" w:hint="eastAsia"/>
                                <w:b/>
                                <w:sz w:val="30"/>
                                <w:szCs w:val="30"/>
                              </w:rPr>
                              <w:t>對財政之貢獻</w:t>
                            </w:r>
                          </w:p>
                        </w:txbxContent>
                      </wps:txbx>
                      <wps:bodyPr vertOverflow="clip" wrap="square" rtlCol="0"/>
                    </wps:wsp>
                  </a:graphicData>
                </a:graphic>
              </wp:anchor>
            </w:drawing>
          </mc:Choice>
          <mc:Fallback>
            <w:pict>
              <v:shape w14:anchorId="489CF8C3" id="_x0000_s1037" type="#_x0000_t202" style="position:absolute;margin-left:95.25pt;margin-top:7.85pt;width:295.6pt;height:29.9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" filled="f" stroked="f">
                <v:textbox>
                  <w:txbxContent>
                    <w:p w:rsidR="00133109" w:rsidRPr="00963D26" w:rsidRDefault="00133109" w:rsidP="008435BF">
                      <w:pPr>
                        <w:pStyle w:val="Web"/>
                        <w:spacing w:before="0" w:beforeAutospacing="0" w:after="0" w:afterAutospacing="0"/>
                        <w:jc w:val="center"/>
                        <w:rPr>
                          <w:b/>
                        </w:rPr>
                      </w:pPr>
                      <w:r w:rsidRPr="00963D26">
                        <w:rPr>
                          <w:rFonts w:ascii="Times New Roman" w:eastAsia="標楷體" w:hAnsi="標楷體" w:cs="Times New Roman" w:hint="eastAsia"/>
                          <w:b/>
                          <w:sz w:val="30"/>
                          <w:szCs w:val="30"/>
                        </w:rPr>
                        <w:t>圖</w:t>
                      </w:r>
                      <w:r w:rsidRPr="00963D26">
                        <w:rPr>
                          <w:rFonts w:ascii="Times New Roman" w:eastAsia="標楷體" w:hAnsi="Times New Roman" w:cs="Times New Roman"/>
                          <w:b/>
                          <w:sz w:val="30"/>
                          <w:szCs w:val="30"/>
                        </w:rPr>
                        <w:t xml:space="preserve">5   </w:t>
                      </w:r>
                      <w:r w:rsidRPr="00963D26">
                        <w:rPr>
                          <w:rFonts w:ascii="Times New Roman" w:eastAsia="標楷體" w:hAnsi="標楷體" w:cs="Times New Roman" w:hint="eastAsia"/>
                          <w:b/>
                          <w:sz w:val="30"/>
                          <w:szCs w:val="30"/>
                        </w:rPr>
                        <w:t>國營事業</w:t>
                      </w:r>
                      <w:proofErr w:type="gramStart"/>
                      <w:r>
                        <w:rPr>
                          <w:rFonts w:ascii="Times New Roman" w:eastAsia="標楷體" w:hAnsi="Times New Roman" w:cs="Times New Roman"/>
                          <w:b/>
                          <w:sz w:val="30"/>
                          <w:szCs w:val="30"/>
                        </w:rPr>
                        <w:t>111</w:t>
                      </w:r>
                      <w:proofErr w:type="gramEnd"/>
                      <w:r>
                        <w:rPr>
                          <w:rFonts w:ascii="Times New Roman" w:eastAsia="標楷體" w:hAnsi="Times New Roman" w:cs="Times New Roman"/>
                          <w:b/>
                          <w:sz w:val="30"/>
                          <w:szCs w:val="30"/>
                        </w:rPr>
                        <w:t>年度</w:t>
                      </w:r>
                      <w:r w:rsidRPr="00963D26">
                        <w:rPr>
                          <w:rFonts w:ascii="Times New Roman" w:eastAsia="標楷體" w:hAnsi="標楷體" w:cs="Times New Roman" w:hint="eastAsia"/>
                          <w:b/>
                          <w:sz w:val="30"/>
                          <w:szCs w:val="30"/>
                        </w:rPr>
                        <w:t>對財政之貢獻</w:t>
                      </w:r>
                    </w:p>
                  </w:txbxContent>
                </v:textbox>
              </v:shape>
            </w:pict>
          </mc:Fallback>
        </mc:AlternateContent>
      </w:r>
    </w:p>
    <w:p w:rsidR="00177136" w:rsidRPr="005C5E31" w:rsidRDefault="00177136" w:rsidP="00177136">
      <w:pPr>
        <w:spacing w:before="240" w:line="360" w:lineRule="auto"/>
        <w:outlineLvl w:val="0"/>
        <w:rPr>
          <w:rFonts w:eastAsia="標楷體"/>
          <w:b/>
          <w:spacing w:val="20"/>
        </w:rPr>
      </w:pPr>
      <w:r w:rsidRPr="005C5E31">
        <w:rPr>
          <w:rFonts w:eastAsia="標楷體" w:hint="eastAsia"/>
          <w:b/>
          <w:spacing w:val="20"/>
          <w:sz w:val="40"/>
        </w:rPr>
        <w:t>三、經濟貢獻</w:t>
      </w:r>
    </w:p>
    <w:p w:rsidR="00177136" w:rsidRPr="005C5E31" w:rsidRDefault="00177136" w:rsidP="00177136">
      <w:pPr>
        <w:spacing w:line="360" w:lineRule="auto"/>
        <w:ind w:left="480"/>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一</w:t>
      </w:r>
      <w:r w:rsidRPr="005C5E31">
        <w:rPr>
          <w:rFonts w:eastAsia="標楷體" w:hint="eastAsia"/>
          <w:b/>
          <w:spacing w:val="20"/>
          <w:sz w:val="30"/>
          <w:szCs w:val="30"/>
        </w:rPr>
        <w:t>)</w:t>
      </w:r>
      <w:r w:rsidR="006A11F3" w:rsidRPr="005C5E31">
        <w:rPr>
          <w:rFonts w:eastAsia="標楷體" w:hint="eastAsia"/>
          <w:b/>
          <w:spacing w:val="20"/>
          <w:sz w:val="30"/>
          <w:szCs w:val="30"/>
        </w:rPr>
        <w:t>生產毛額</w:t>
      </w:r>
    </w:p>
    <w:p w:rsidR="00177136" w:rsidRPr="005C5E31" w:rsidRDefault="00177136" w:rsidP="00177136">
      <w:pPr>
        <w:adjustRightInd w:val="0"/>
        <w:spacing w:line="360" w:lineRule="auto"/>
        <w:ind w:left="1021"/>
        <w:jc w:val="both"/>
        <w:rPr>
          <w:rFonts w:eastAsia="標楷體"/>
          <w:spacing w:val="20"/>
          <w:sz w:val="30"/>
        </w:rPr>
      </w:pPr>
      <w:r w:rsidRPr="005C5E31">
        <w:rPr>
          <w:rFonts w:eastAsia="標楷體" w:hint="eastAsia"/>
          <w:spacing w:val="20"/>
          <w:sz w:val="30"/>
        </w:rPr>
        <w:t>本年度</w:t>
      </w:r>
      <w:r w:rsidR="009912EC">
        <w:rPr>
          <w:rFonts w:eastAsia="標楷體" w:hint="eastAsia"/>
          <w:spacing w:val="20"/>
          <w:sz w:val="30"/>
        </w:rPr>
        <w:t>決算</w:t>
      </w:r>
      <w:r w:rsidRPr="005C5E31">
        <w:rPr>
          <w:rFonts w:eastAsia="標楷體" w:hint="eastAsia"/>
          <w:spacing w:val="20"/>
          <w:sz w:val="30"/>
        </w:rPr>
        <w:t>國營事業生產毛額共</w:t>
      </w:r>
      <w:r w:rsidR="00690DDF">
        <w:rPr>
          <w:rFonts w:eastAsia="標楷體" w:hint="eastAsia"/>
          <w:spacing w:val="20"/>
          <w:sz w:val="30"/>
        </w:rPr>
        <w:t>計</w:t>
      </w:r>
      <w:r w:rsidR="003B4538" w:rsidRPr="003B4538">
        <w:rPr>
          <w:rFonts w:eastAsia="標楷體"/>
          <w:spacing w:val="20"/>
          <w:sz w:val="30"/>
        </w:rPr>
        <w:t>1</w:t>
      </w:r>
      <w:r w:rsidR="003B4538">
        <w:rPr>
          <w:rFonts w:eastAsia="標楷體"/>
          <w:spacing w:val="20"/>
          <w:sz w:val="30"/>
        </w:rPr>
        <w:t>,</w:t>
      </w:r>
      <w:r w:rsidR="003B4538" w:rsidRPr="003B4538">
        <w:rPr>
          <w:rFonts w:eastAsia="標楷體"/>
          <w:spacing w:val="20"/>
          <w:sz w:val="30"/>
        </w:rPr>
        <w:t>863</w:t>
      </w:r>
      <w:r w:rsidRPr="005C5E31">
        <w:rPr>
          <w:rFonts w:eastAsia="標楷體" w:hint="eastAsia"/>
          <w:spacing w:val="20"/>
          <w:sz w:val="30"/>
        </w:rPr>
        <w:t>億餘元，占國內生產毛額</w:t>
      </w:r>
      <w:r w:rsidR="003B4538" w:rsidRPr="003B4538">
        <w:rPr>
          <w:rFonts w:eastAsia="標楷體"/>
          <w:spacing w:val="20"/>
          <w:sz w:val="30"/>
        </w:rPr>
        <w:t>22</w:t>
      </w:r>
      <w:r w:rsidR="003B4538">
        <w:rPr>
          <w:rFonts w:eastAsia="標楷體" w:hint="eastAsia"/>
          <w:spacing w:val="20"/>
          <w:sz w:val="30"/>
        </w:rPr>
        <w:t>兆</w:t>
      </w:r>
      <w:r w:rsidR="003B4538" w:rsidRPr="003B4538">
        <w:rPr>
          <w:rFonts w:eastAsia="標楷體"/>
          <w:spacing w:val="20"/>
          <w:sz w:val="30"/>
        </w:rPr>
        <w:t>7</w:t>
      </w:r>
      <w:r w:rsidR="003B4538">
        <w:rPr>
          <w:rFonts w:eastAsia="標楷體"/>
          <w:spacing w:val="20"/>
          <w:sz w:val="30"/>
        </w:rPr>
        <w:t>,</w:t>
      </w:r>
      <w:r w:rsidR="003B4538" w:rsidRPr="003B4538">
        <w:rPr>
          <w:rFonts w:eastAsia="標楷體"/>
          <w:spacing w:val="20"/>
          <w:sz w:val="30"/>
        </w:rPr>
        <w:t>064</w:t>
      </w:r>
      <w:r w:rsidRPr="005C5E31">
        <w:rPr>
          <w:rFonts w:eastAsia="標楷體" w:hint="eastAsia"/>
          <w:spacing w:val="20"/>
          <w:sz w:val="30"/>
        </w:rPr>
        <w:t>億餘元之</w:t>
      </w:r>
      <w:r w:rsidR="003B4538">
        <w:rPr>
          <w:rFonts w:eastAsia="標楷體"/>
          <w:spacing w:val="20"/>
          <w:sz w:val="30"/>
        </w:rPr>
        <w:t>0.8</w:t>
      </w:r>
      <w:r w:rsidRPr="005C5E31">
        <w:rPr>
          <w:rFonts w:eastAsia="標楷體" w:hint="eastAsia"/>
          <w:spacing w:val="20"/>
          <w:sz w:val="30"/>
        </w:rPr>
        <w:t>％，較上年度</w:t>
      </w:r>
      <w:r w:rsidR="00861DCA">
        <w:rPr>
          <w:rFonts w:eastAsia="標楷體" w:hint="eastAsia"/>
          <w:spacing w:val="20"/>
          <w:sz w:val="30"/>
        </w:rPr>
        <w:t>減少</w:t>
      </w:r>
      <w:r w:rsidR="003B4538">
        <w:rPr>
          <w:rFonts w:eastAsia="標楷體"/>
          <w:spacing w:val="20"/>
          <w:sz w:val="30"/>
        </w:rPr>
        <w:t>1.6</w:t>
      </w:r>
      <w:r w:rsidRPr="005C5E31">
        <w:rPr>
          <w:rFonts w:eastAsia="標楷體" w:hint="eastAsia"/>
          <w:spacing w:val="20"/>
          <w:sz w:val="30"/>
        </w:rPr>
        <w:t>個百分點。</w:t>
      </w:r>
    </w:p>
    <w:p w:rsidR="00177136" w:rsidRPr="005C5E31" w:rsidRDefault="00177136" w:rsidP="00177136">
      <w:pPr>
        <w:spacing w:beforeLines="50" w:before="120" w:line="360" w:lineRule="auto"/>
        <w:ind w:left="482"/>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二</w:t>
      </w:r>
      <w:r w:rsidRPr="005C5E31">
        <w:rPr>
          <w:rFonts w:eastAsia="標楷體" w:hint="eastAsia"/>
          <w:b/>
          <w:spacing w:val="20"/>
          <w:sz w:val="30"/>
          <w:szCs w:val="30"/>
        </w:rPr>
        <w:t>)</w:t>
      </w:r>
      <w:r w:rsidR="006A11F3" w:rsidRPr="005C5E31">
        <w:rPr>
          <w:rFonts w:eastAsia="標楷體" w:hint="eastAsia"/>
          <w:b/>
          <w:spacing w:val="20"/>
          <w:sz w:val="30"/>
          <w:szCs w:val="30"/>
        </w:rPr>
        <w:t>資本形成</w:t>
      </w:r>
    </w:p>
    <w:p w:rsidR="00177136" w:rsidRPr="005C5E31" w:rsidRDefault="00177136" w:rsidP="00177136">
      <w:pPr>
        <w:spacing w:line="360" w:lineRule="auto"/>
        <w:ind w:leftChars="450" w:left="1080"/>
        <w:jc w:val="both"/>
        <w:rPr>
          <w:rFonts w:eastAsia="標楷體"/>
          <w:spacing w:val="20"/>
          <w:sz w:val="30"/>
        </w:rPr>
      </w:pPr>
      <w:r w:rsidRPr="005C5E31">
        <w:rPr>
          <w:rFonts w:eastAsia="標楷體" w:hint="eastAsia"/>
          <w:spacing w:val="20"/>
          <w:sz w:val="30"/>
        </w:rPr>
        <w:t>本年度</w:t>
      </w:r>
      <w:r w:rsidR="009912EC">
        <w:rPr>
          <w:rFonts w:eastAsia="標楷體" w:hint="eastAsia"/>
          <w:spacing w:val="20"/>
          <w:sz w:val="30"/>
        </w:rPr>
        <w:t>決算</w:t>
      </w:r>
      <w:r w:rsidRPr="005C5E31">
        <w:rPr>
          <w:rFonts w:eastAsia="標楷體" w:hint="eastAsia"/>
          <w:spacing w:val="20"/>
          <w:sz w:val="30"/>
        </w:rPr>
        <w:t>國營事業固定資本形成毛額為</w:t>
      </w:r>
      <w:r w:rsidR="003B4538" w:rsidRPr="003B4538">
        <w:rPr>
          <w:rFonts w:eastAsia="標楷體"/>
          <w:spacing w:val="20"/>
          <w:sz w:val="30"/>
        </w:rPr>
        <w:t>3</w:t>
      </w:r>
      <w:r w:rsidR="003B4538">
        <w:rPr>
          <w:rFonts w:eastAsia="標楷體"/>
          <w:spacing w:val="20"/>
          <w:sz w:val="30"/>
        </w:rPr>
        <w:t>,</w:t>
      </w:r>
      <w:r w:rsidR="003B4538" w:rsidRPr="003B4538">
        <w:rPr>
          <w:rFonts w:eastAsia="標楷體"/>
          <w:spacing w:val="20"/>
          <w:sz w:val="30"/>
        </w:rPr>
        <w:t>006</w:t>
      </w:r>
      <w:r w:rsidRPr="005C5E31">
        <w:rPr>
          <w:rFonts w:eastAsia="標楷體" w:hint="eastAsia"/>
          <w:spacing w:val="20"/>
          <w:sz w:val="30"/>
        </w:rPr>
        <w:t>億餘元，占國內固定資本形成毛額</w:t>
      </w:r>
      <w:r w:rsidR="003B4538" w:rsidRPr="003B4538">
        <w:rPr>
          <w:rFonts w:eastAsia="標楷體"/>
          <w:spacing w:val="20"/>
          <w:sz w:val="30"/>
        </w:rPr>
        <w:t>6</w:t>
      </w:r>
      <w:r w:rsidR="003B4538">
        <w:rPr>
          <w:rFonts w:eastAsia="標楷體" w:hint="eastAsia"/>
          <w:spacing w:val="20"/>
          <w:sz w:val="30"/>
        </w:rPr>
        <w:t>兆</w:t>
      </w:r>
      <w:r w:rsidR="003B4538" w:rsidRPr="003B4538">
        <w:rPr>
          <w:rFonts w:eastAsia="標楷體"/>
          <w:spacing w:val="20"/>
          <w:sz w:val="30"/>
        </w:rPr>
        <w:t>2</w:t>
      </w:r>
      <w:r w:rsidR="003B4538">
        <w:rPr>
          <w:rFonts w:eastAsia="標楷體"/>
          <w:spacing w:val="20"/>
          <w:sz w:val="30"/>
        </w:rPr>
        <w:t>,</w:t>
      </w:r>
      <w:r w:rsidR="003B4538" w:rsidRPr="003B4538">
        <w:rPr>
          <w:rFonts w:eastAsia="標楷體"/>
          <w:spacing w:val="20"/>
          <w:sz w:val="30"/>
        </w:rPr>
        <w:t>699</w:t>
      </w:r>
      <w:r w:rsidR="00857B29" w:rsidRPr="005C5E31">
        <w:rPr>
          <w:rFonts w:eastAsia="標楷體" w:hint="eastAsia"/>
          <w:spacing w:val="20"/>
          <w:sz w:val="30"/>
        </w:rPr>
        <w:t>億</w:t>
      </w:r>
      <w:r w:rsidR="00C47BB5" w:rsidRPr="005C5E31">
        <w:rPr>
          <w:rFonts w:eastAsia="標楷體" w:hint="eastAsia"/>
          <w:spacing w:val="20"/>
          <w:sz w:val="30"/>
        </w:rPr>
        <w:t>餘</w:t>
      </w:r>
      <w:r w:rsidRPr="005C5E31">
        <w:rPr>
          <w:rFonts w:eastAsia="標楷體" w:hint="eastAsia"/>
          <w:spacing w:val="20"/>
          <w:sz w:val="30"/>
        </w:rPr>
        <w:t>元之</w:t>
      </w:r>
      <w:r w:rsidR="00C47BB5">
        <w:rPr>
          <w:rFonts w:eastAsia="標楷體"/>
          <w:spacing w:val="20"/>
          <w:sz w:val="30"/>
        </w:rPr>
        <w:t>4.</w:t>
      </w:r>
      <w:r w:rsidR="003B4538">
        <w:rPr>
          <w:rFonts w:eastAsia="標楷體"/>
          <w:spacing w:val="20"/>
          <w:sz w:val="30"/>
        </w:rPr>
        <w:t>8</w:t>
      </w:r>
      <w:r w:rsidR="004A20FE" w:rsidRPr="005C5E31">
        <w:rPr>
          <w:rFonts w:eastAsia="標楷體" w:hint="eastAsia"/>
          <w:spacing w:val="20"/>
          <w:sz w:val="30"/>
        </w:rPr>
        <w:t>％，較上年度</w:t>
      </w:r>
      <w:r w:rsidR="003B4538">
        <w:rPr>
          <w:rFonts w:eastAsia="標楷體" w:hint="eastAsia"/>
          <w:spacing w:val="20"/>
          <w:sz w:val="30"/>
        </w:rPr>
        <w:t>增加</w:t>
      </w:r>
      <w:r w:rsidR="003B4538">
        <w:rPr>
          <w:rFonts w:eastAsia="標楷體" w:hint="eastAsia"/>
          <w:spacing w:val="20"/>
          <w:sz w:val="30"/>
        </w:rPr>
        <w:t>0.3</w:t>
      </w:r>
      <w:r w:rsidRPr="005C5E31">
        <w:rPr>
          <w:rFonts w:eastAsia="標楷體" w:hint="eastAsia"/>
          <w:spacing w:val="20"/>
          <w:sz w:val="30"/>
        </w:rPr>
        <w:t>個百分點。</w:t>
      </w:r>
    </w:p>
    <w:p w:rsidR="00177136" w:rsidRPr="005C5E31" w:rsidRDefault="00177136" w:rsidP="00177136">
      <w:pPr>
        <w:spacing w:beforeLines="50" w:before="120" w:line="360" w:lineRule="auto"/>
        <w:ind w:left="482"/>
        <w:outlineLvl w:val="0"/>
        <w:rPr>
          <w:rFonts w:eastAsia="標楷體"/>
          <w:b/>
          <w:spacing w:val="20"/>
          <w:sz w:val="30"/>
          <w:szCs w:val="30"/>
        </w:rPr>
      </w:pPr>
      <w:r w:rsidRPr="005C5E31">
        <w:rPr>
          <w:rFonts w:eastAsia="標楷體" w:hint="eastAsia"/>
          <w:b/>
          <w:spacing w:val="20"/>
          <w:sz w:val="30"/>
          <w:szCs w:val="30"/>
        </w:rPr>
        <w:t>(</w:t>
      </w:r>
      <w:r w:rsidRPr="005C5E31">
        <w:rPr>
          <w:rFonts w:eastAsia="標楷體" w:hint="eastAsia"/>
          <w:b/>
          <w:spacing w:val="20"/>
          <w:sz w:val="30"/>
          <w:szCs w:val="30"/>
        </w:rPr>
        <w:t>三</w:t>
      </w:r>
      <w:r w:rsidRPr="005C5E31">
        <w:rPr>
          <w:rFonts w:eastAsia="標楷體" w:hint="eastAsia"/>
          <w:b/>
          <w:spacing w:val="20"/>
          <w:sz w:val="30"/>
          <w:szCs w:val="30"/>
        </w:rPr>
        <w:t>)</w:t>
      </w:r>
      <w:r w:rsidR="006A11F3" w:rsidRPr="005C5E31">
        <w:rPr>
          <w:rFonts w:eastAsia="標楷體" w:hint="eastAsia"/>
          <w:b/>
          <w:spacing w:val="20"/>
          <w:sz w:val="30"/>
          <w:szCs w:val="30"/>
        </w:rPr>
        <w:t>固定資產投資</w:t>
      </w:r>
    </w:p>
    <w:p w:rsidR="00177136" w:rsidRPr="005C5E31" w:rsidRDefault="00177136" w:rsidP="00177136">
      <w:pPr>
        <w:adjustRightInd w:val="0"/>
        <w:spacing w:line="360" w:lineRule="auto"/>
        <w:ind w:left="1021"/>
        <w:jc w:val="both"/>
        <w:rPr>
          <w:rFonts w:eastAsia="標楷體"/>
          <w:spacing w:val="20"/>
          <w:sz w:val="30"/>
        </w:rPr>
      </w:pPr>
      <w:r w:rsidRPr="005C5E31">
        <w:rPr>
          <w:rFonts w:eastAsia="標楷體" w:hint="eastAsia"/>
          <w:spacing w:val="20"/>
          <w:sz w:val="30"/>
        </w:rPr>
        <w:t>本年度</w:t>
      </w:r>
      <w:r w:rsidR="009912EC">
        <w:rPr>
          <w:rFonts w:eastAsia="標楷體" w:hint="eastAsia"/>
          <w:spacing w:val="20"/>
          <w:sz w:val="30"/>
        </w:rPr>
        <w:t>決算</w:t>
      </w:r>
      <w:r w:rsidRPr="005C5E31">
        <w:rPr>
          <w:rFonts w:eastAsia="標楷體" w:hint="eastAsia"/>
          <w:spacing w:val="20"/>
          <w:sz w:val="30"/>
        </w:rPr>
        <w:t>國營事業固定資產投資共</w:t>
      </w:r>
      <w:r w:rsidR="00E60CFC" w:rsidRPr="00E60CFC">
        <w:rPr>
          <w:rFonts w:eastAsia="標楷體"/>
          <w:spacing w:val="20"/>
          <w:sz w:val="30"/>
        </w:rPr>
        <w:t>2,823</w:t>
      </w:r>
      <w:r w:rsidRPr="005C5E31">
        <w:rPr>
          <w:rFonts w:eastAsia="標楷體" w:hint="eastAsia"/>
          <w:spacing w:val="20"/>
          <w:sz w:val="30"/>
        </w:rPr>
        <w:t>億餘元，其中投資於電力擴充</w:t>
      </w:r>
      <w:r w:rsidR="00E60CFC">
        <w:rPr>
          <w:rFonts w:eastAsia="標楷體"/>
          <w:spacing w:val="20"/>
          <w:sz w:val="30"/>
        </w:rPr>
        <w:t>1,62</w:t>
      </w:r>
      <w:r w:rsidR="00E60CFC" w:rsidRPr="00E60CFC">
        <w:rPr>
          <w:rFonts w:eastAsia="標楷體"/>
          <w:spacing w:val="20"/>
          <w:sz w:val="30"/>
        </w:rPr>
        <w:t>7</w:t>
      </w:r>
      <w:r w:rsidRPr="005C5E31">
        <w:rPr>
          <w:rFonts w:eastAsia="標楷體" w:hint="eastAsia"/>
          <w:spacing w:val="20"/>
          <w:sz w:val="30"/>
        </w:rPr>
        <w:t>億餘元、石油煉製</w:t>
      </w:r>
      <w:r w:rsidR="00E60CFC" w:rsidRPr="00E60CFC">
        <w:rPr>
          <w:rFonts w:eastAsia="標楷體"/>
          <w:spacing w:val="20"/>
          <w:sz w:val="30"/>
        </w:rPr>
        <w:t>420</w:t>
      </w:r>
      <w:r w:rsidRPr="005C5E31">
        <w:rPr>
          <w:rFonts w:eastAsia="標楷體" w:hint="eastAsia"/>
          <w:spacing w:val="20"/>
          <w:sz w:val="30"/>
        </w:rPr>
        <w:t>億餘元</w:t>
      </w:r>
      <w:r w:rsidR="00CD25FA" w:rsidRPr="005C5E31">
        <w:rPr>
          <w:rFonts w:eastAsia="標楷體" w:hint="eastAsia"/>
          <w:spacing w:val="20"/>
          <w:sz w:val="30"/>
        </w:rPr>
        <w:t>、鐵路運輸設施</w:t>
      </w:r>
      <w:r w:rsidR="00C47BB5">
        <w:rPr>
          <w:rFonts w:eastAsia="標楷體"/>
          <w:spacing w:val="20"/>
          <w:sz w:val="30"/>
        </w:rPr>
        <w:t>2</w:t>
      </w:r>
      <w:r w:rsidR="00E60CFC">
        <w:rPr>
          <w:rFonts w:eastAsia="標楷體"/>
          <w:spacing w:val="20"/>
          <w:sz w:val="30"/>
        </w:rPr>
        <w:t>37</w:t>
      </w:r>
      <w:r w:rsidR="00CD25FA" w:rsidRPr="005C5E31">
        <w:rPr>
          <w:rFonts w:eastAsia="標楷體" w:hint="eastAsia"/>
          <w:spacing w:val="20"/>
          <w:sz w:val="30"/>
        </w:rPr>
        <w:t>億餘元</w:t>
      </w:r>
      <w:r w:rsidRPr="005C5E31">
        <w:rPr>
          <w:rFonts w:eastAsia="標楷體" w:hint="eastAsia"/>
          <w:spacing w:val="20"/>
          <w:sz w:val="30"/>
        </w:rPr>
        <w:t>、給水設施</w:t>
      </w:r>
      <w:r w:rsidR="00E60CFC">
        <w:rPr>
          <w:rFonts w:eastAsia="標楷體"/>
          <w:spacing w:val="20"/>
          <w:sz w:val="30"/>
        </w:rPr>
        <w:t>206</w:t>
      </w:r>
      <w:r w:rsidRPr="005C5E31">
        <w:rPr>
          <w:rFonts w:eastAsia="標楷體" w:hint="eastAsia"/>
          <w:spacing w:val="20"/>
          <w:sz w:val="30"/>
        </w:rPr>
        <w:t>億餘元</w:t>
      </w:r>
      <w:r w:rsidR="00646F89">
        <w:rPr>
          <w:rFonts w:eastAsia="標楷體" w:hint="eastAsia"/>
          <w:spacing w:val="20"/>
          <w:sz w:val="30"/>
        </w:rPr>
        <w:t>及</w:t>
      </w:r>
      <w:r w:rsidR="00C47BB5" w:rsidRPr="005C5E31">
        <w:rPr>
          <w:rFonts w:eastAsia="標楷體" w:hint="eastAsia"/>
          <w:spacing w:val="20"/>
          <w:sz w:val="30"/>
        </w:rPr>
        <w:t>機場設施</w:t>
      </w:r>
      <w:r w:rsidR="00646F89">
        <w:rPr>
          <w:rFonts w:eastAsia="標楷體"/>
          <w:spacing w:val="20"/>
          <w:sz w:val="30"/>
        </w:rPr>
        <w:t>119</w:t>
      </w:r>
      <w:r w:rsidR="00C47BB5" w:rsidRPr="005C5E31">
        <w:rPr>
          <w:rFonts w:eastAsia="標楷體" w:hint="eastAsia"/>
          <w:spacing w:val="20"/>
          <w:sz w:val="30"/>
        </w:rPr>
        <w:t>億餘元</w:t>
      </w:r>
      <w:r w:rsidRPr="005C5E31">
        <w:rPr>
          <w:rFonts w:eastAsia="標楷體" w:hint="eastAsia"/>
          <w:spacing w:val="20"/>
          <w:sz w:val="30"/>
        </w:rPr>
        <w:t>，合共占投資總額</w:t>
      </w:r>
      <w:r w:rsidR="003607B3" w:rsidRPr="005C5E31">
        <w:rPr>
          <w:rFonts w:eastAsia="標楷體" w:hint="eastAsia"/>
          <w:spacing w:val="20"/>
          <w:sz w:val="30"/>
        </w:rPr>
        <w:t>9</w:t>
      </w:r>
      <w:r w:rsidR="00646F89">
        <w:rPr>
          <w:rFonts w:eastAsia="標楷體"/>
          <w:spacing w:val="20"/>
          <w:sz w:val="30"/>
        </w:rPr>
        <w:t>2</w:t>
      </w:r>
      <w:r w:rsidR="00A1720A">
        <w:rPr>
          <w:rFonts w:eastAsia="標楷體"/>
          <w:spacing w:val="20"/>
          <w:sz w:val="30"/>
        </w:rPr>
        <w:t>.5</w:t>
      </w:r>
      <w:r w:rsidRPr="005C5E31">
        <w:rPr>
          <w:rFonts w:eastAsia="標楷體" w:hint="eastAsia"/>
          <w:spacing w:val="20"/>
          <w:sz w:val="30"/>
        </w:rPr>
        <w:t>％，對於厚植產業潛力、加速產業升級，</w:t>
      </w:r>
      <w:r w:rsidRPr="005C5E31">
        <w:rPr>
          <w:rFonts w:eastAsia="標楷體" w:hint="eastAsia"/>
          <w:spacing w:val="20"/>
          <w:sz w:val="30"/>
        </w:rPr>
        <w:lastRenderedPageBreak/>
        <w:t>極具重要性，對於提升國民生活品質，均有所助益。</w:t>
      </w:r>
    </w:p>
    <w:p w:rsidR="00177136" w:rsidRPr="005C5E31" w:rsidRDefault="00177136" w:rsidP="00177136">
      <w:pPr>
        <w:spacing w:beforeLines="100" w:before="240" w:line="360" w:lineRule="auto"/>
        <w:outlineLvl w:val="0"/>
        <w:rPr>
          <w:rFonts w:eastAsia="標楷體"/>
          <w:b/>
          <w:spacing w:val="20"/>
          <w:sz w:val="40"/>
        </w:rPr>
      </w:pPr>
      <w:r w:rsidRPr="005C5E31">
        <w:rPr>
          <w:rFonts w:eastAsia="標楷體" w:hint="eastAsia"/>
          <w:b/>
          <w:spacing w:val="20"/>
          <w:sz w:val="40"/>
        </w:rPr>
        <w:t>四、</w:t>
      </w:r>
      <w:r w:rsidRPr="00CD7D0C">
        <w:rPr>
          <w:rFonts w:eastAsia="標楷體" w:hint="eastAsia"/>
          <w:b/>
          <w:spacing w:val="20"/>
          <w:sz w:val="40"/>
        </w:rPr>
        <w:t>研究發展</w:t>
      </w:r>
    </w:p>
    <w:p w:rsidR="00177136" w:rsidRPr="005C5E31" w:rsidRDefault="00177136" w:rsidP="00174D73">
      <w:pPr>
        <w:spacing w:line="360" w:lineRule="auto"/>
        <w:ind w:left="941" w:firstLine="680"/>
        <w:jc w:val="both"/>
        <w:rPr>
          <w:rFonts w:eastAsia="標楷體"/>
          <w:spacing w:val="20"/>
          <w:sz w:val="30"/>
        </w:rPr>
      </w:pPr>
      <w:r w:rsidRPr="005C5E31">
        <w:rPr>
          <w:rFonts w:eastAsia="標楷體" w:hint="eastAsia"/>
          <w:spacing w:val="20"/>
          <w:sz w:val="30"/>
        </w:rPr>
        <w:t>本年度</w:t>
      </w:r>
      <w:r w:rsidR="009912EC">
        <w:rPr>
          <w:rFonts w:eastAsia="標楷體" w:hint="eastAsia"/>
          <w:spacing w:val="20"/>
          <w:sz w:val="30"/>
        </w:rPr>
        <w:t>決算</w:t>
      </w:r>
      <w:r w:rsidRPr="005C5E31">
        <w:rPr>
          <w:rFonts w:eastAsia="標楷體" w:hint="eastAsia"/>
          <w:spacing w:val="20"/>
          <w:sz w:val="30"/>
        </w:rPr>
        <w:t>國營事業研究發展支出共計</w:t>
      </w:r>
      <w:r w:rsidR="00F56471">
        <w:rPr>
          <w:rFonts w:eastAsia="標楷體"/>
          <w:spacing w:val="20"/>
          <w:sz w:val="30"/>
        </w:rPr>
        <w:t>8</w:t>
      </w:r>
      <w:r w:rsidR="00CD7D0C">
        <w:rPr>
          <w:rFonts w:eastAsia="標楷體"/>
          <w:spacing w:val="20"/>
          <w:sz w:val="30"/>
        </w:rPr>
        <w:t>7</w:t>
      </w:r>
      <w:r w:rsidRPr="005C5E31">
        <w:rPr>
          <w:rFonts w:eastAsia="標楷體" w:hint="eastAsia"/>
          <w:spacing w:val="20"/>
          <w:sz w:val="30"/>
        </w:rPr>
        <w:t>億餘元，其中用於電力開發研究</w:t>
      </w:r>
      <w:r w:rsidR="00F56471">
        <w:rPr>
          <w:rFonts w:eastAsia="標楷體"/>
          <w:spacing w:val="20"/>
          <w:sz w:val="30"/>
        </w:rPr>
        <w:t>5</w:t>
      </w:r>
      <w:r w:rsidR="00CD7D0C">
        <w:rPr>
          <w:rFonts w:eastAsia="標楷體"/>
          <w:spacing w:val="20"/>
          <w:sz w:val="30"/>
        </w:rPr>
        <w:t>1</w:t>
      </w:r>
      <w:r w:rsidRPr="005C5E31">
        <w:rPr>
          <w:rFonts w:eastAsia="標楷體" w:hint="eastAsia"/>
          <w:spacing w:val="20"/>
          <w:sz w:val="30"/>
        </w:rPr>
        <w:t>億餘元、石油探勘與煉製研究</w:t>
      </w:r>
      <w:r w:rsidR="002E625E">
        <w:rPr>
          <w:rFonts w:eastAsia="標楷體"/>
          <w:spacing w:val="20"/>
          <w:sz w:val="30"/>
        </w:rPr>
        <w:t>2</w:t>
      </w:r>
      <w:r w:rsidR="00CD7D0C">
        <w:rPr>
          <w:rFonts w:eastAsia="標楷體"/>
          <w:spacing w:val="20"/>
          <w:sz w:val="30"/>
        </w:rPr>
        <w:t>8</w:t>
      </w:r>
      <w:r w:rsidRPr="005C5E31">
        <w:rPr>
          <w:rFonts w:eastAsia="標楷體" w:hint="eastAsia"/>
          <w:spacing w:val="20"/>
          <w:sz w:val="30"/>
        </w:rPr>
        <w:t>億餘元，對增進經營效率，促進經濟發展，具有相當之貢獻。</w:t>
      </w:r>
    </w:p>
    <w:p w:rsidR="00177136" w:rsidRPr="005C5E31" w:rsidRDefault="00177136" w:rsidP="00177136">
      <w:pPr>
        <w:spacing w:beforeLines="100" w:before="240" w:line="360" w:lineRule="auto"/>
        <w:outlineLvl w:val="0"/>
        <w:rPr>
          <w:rFonts w:eastAsia="標楷體"/>
          <w:b/>
          <w:spacing w:val="20"/>
          <w:sz w:val="40"/>
        </w:rPr>
      </w:pPr>
      <w:r w:rsidRPr="005C5E31">
        <w:rPr>
          <w:rFonts w:eastAsia="標楷體" w:hint="eastAsia"/>
          <w:b/>
          <w:spacing w:val="20"/>
          <w:sz w:val="40"/>
        </w:rPr>
        <w:t>五、環境保護</w:t>
      </w:r>
    </w:p>
    <w:p w:rsidR="006A11F3" w:rsidRPr="005C5E31" w:rsidRDefault="00177136" w:rsidP="00174D73">
      <w:pPr>
        <w:spacing w:line="360" w:lineRule="auto"/>
        <w:ind w:left="941" w:firstLine="680"/>
        <w:jc w:val="both"/>
        <w:rPr>
          <w:spacing w:val="12"/>
        </w:rPr>
      </w:pPr>
      <w:r w:rsidRPr="005C5E31">
        <w:rPr>
          <w:rFonts w:eastAsia="標楷體" w:hint="eastAsia"/>
          <w:spacing w:val="12"/>
          <w:sz w:val="30"/>
        </w:rPr>
        <w:t>本年度</w:t>
      </w:r>
      <w:r w:rsidR="009912EC">
        <w:rPr>
          <w:rFonts w:eastAsia="標楷體" w:hint="eastAsia"/>
          <w:spacing w:val="20"/>
          <w:sz w:val="30"/>
        </w:rPr>
        <w:t>決算</w:t>
      </w:r>
      <w:r w:rsidRPr="005C5E31">
        <w:rPr>
          <w:rFonts w:eastAsia="標楷體" w:hint="eastAsia"/>
          <w:spacing w:val="12"/>
          <w:sz w:val="30"/>
        </w:rPr>
        <w:t>國營事業環境保護支出共計</w:t>
      </w:r>
      <w:r w:rsidR="00A81BE8" w:rsidRPr="005C5E31">
        <w:rPr>
          <w:rFonts w:eastAsia="標楷體" w:hint="eastAsia"/>
          <w:spacing w:val="12"/>
          <w:sz w:val="30"/>
        </w:rPr>
        <w:t>1</w:t>
      </w:r>
      <w:r w:rsidR="00CD7D0C">
        <w:rPr>
          <w:rFonts w:eastAsia="標楷體"/>
          <w:spacing w:val="12"/>
          <w:sz w:val="30"/>
        </w:rPr>
        <w:t>41</w:t>
      </w:r>
      <w:r w:rsidRPr="005C5E31">
        <w:rPr>
          <w:rFonts w:eastAsia="標楷體" w:hint="eastAsia"/>
          <w:spacing w:val="12"/>
          <w:sz w:val="30"/>
        </w:rPr>
        <w:t>億餘元，其中台灣中油股份有限公司投入</w:t>
      </w:r>
      <w:r w:rsidR="00CC01CA" w:rsidRPr="005C5E31">
        <w:rPr>
          <w:rFonts w:eastAsia="標楷體"/>
          <w:spacing w:val="12"/>
          <w:sz w:val="30"/>
        </w:rPr>
        <w:t>7</w:t>
      </w:r>
      <w:r w:rsidR="00CD7D0C">
        <w:rPr>
          <w:rFonts w:eastAsia="標楷體"/>
          <w:spacing w:val="12"/>
          <w:sz w:val="30"/>
        </w:rPr>
        <w:t>9</w:t>
      </w:r>
      <w:r w:rsidRPr="005C5E31">
        <w:rPr>
          <w:rFonts w:eastAsia="標楷體" w:hint="eastAsia"/>
          <w:spacing w:val="12"/>
          <w:sz w:val="30"/>
        </w:rPr>
        <w:t>億餘元，辦理工業安全、衛生及公害防治等工作；台灣電力股份有限公司投入</w:t>
      </w:r>
      <w:r w:rsidR="00CD7D0C">
        <w:rPr>
          <w:rFonts w:eastAsia="標楷體"/>
          <w:spacing w:val="12"/>
          <w:sz w:val="30"/>
        </w:rPr>
        <w:t>35</w:t>
      </w:r>
      <w:r w:rsidRPr="005C5E31">
        <w:rPr>
          <w:rFonts w:eastAsia="標楷體" w:hint="eastAsia"/>
          <w:spacing w:val="12"/>
          <w:sz w:val="30"/>
        </w:rPr>
        <w:t>億餘元，辦理環境影響評估、環境保護、景觀規劃及污染防治等工作；其餘國營事業計投入</w:t>
      </w:r>
      <w:r w:rsidR="002E625E">
        <w:rPr>
          <w:rFonts w:eastAsia="標楷體"/>
          <w:spacing w:val="12"/>
          <w:sz w:val="30"/>
        </w:rPr>
        <w:t>2</w:t>
      </w:r>
      <w:r w:rsidR="00CD7D0C">
        <w:rPr>
          <w:rFonts w:eastAsia="標楷體"/>
          <w:spacing w:val="12"/>
          <w:sz w:val="30"/>
        </w:rPr>
        <w:t>6</w:t>
      </w:r>
      <w:r w:rsidRPr="005C5E31">
        <w:rPr>
          <w:rFonts w:eastAsia="標楷體" w:hint="eastAsia"/>
          <w:spacing w:val="12"/>
          <w:sz w:val="30"/>
        </w:rPr>
        <w:t>億餘元，辦理環境保護有關訓練、研究及污染防治等工作。</w:t>
      </w:r>
      <w:bookmarkEnd w:id="11"/>
    </w:p>
    <w:sectPr w:rsidR="006A11F3" w:rsidRPr="005C5E31" w:rsidSect="00326D9E">
      <w:footerReference w:type="even" r:id="rId21"/>
      <w:pgSz w:w="11906" w:h="16838" w:code="9"/>
      <w:pgMar w:top="1304" w:right="907" w:bottom="1474" w:left="907" w:header="851" w:footer="992" w:gutter="0"/>
      <w:pgNumType w:start="1"/>
      <w:cols w:space="425"/>
      <w:docGrid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02E" w:rsidRDefault="004E702E" w:rsidP="00177136">
      <w:r>
        <w:separator/>
      </w:r>
    </w:p>
  </w:endnote>
  <w:endnote w:type="continuationSeparator" w:id="0">
    <w:p w:rsidR="004E702E" w:rsidRDefault="004E702E" w:rsidP="0017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楷書體W5">
    <w:altName w:val="Microsoft JhengHei UI Light"/>
    <w:charset w:val="88"/>
    <w:family w:val="script"/>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109" w:rsidRDefault="00133109" w:rsidP="00326D9E">
    <w:pPr>
      <w:pStyle w:val="a5"/>
      <w:framePr w:wrap="around" w:vAnchor="text" w:hAnchor="page" w:x="5708" w:y="510"/>
      <w:rPr>
        <w:rStyle w:val="a9"/>
        <w:sz w:val="24"/>
        <w:szCs w:val="24"/>
      </w:rPr>
    </w:pPr>
    <w:r>
      <w:rPr>
        <w:rStyle w:val="a9"/>
        <w:rFonts w:hint="eastAsia"/>
        <w:sz w:val="24"/>
        <w:szCs w:val="24"/>
      </w:rPr>
      <w:t>甲</w:t>
    </w:r>
    <w:r>
      <w:rPr>
        <w:rStyle w:val="a9"/>
        <w:sz w:val="24"/>
        <w:szCs w:val="24"/>
      </w:rPr>
      <w:fldChar w:fldCharType="begin"/>
    </w:r>
    <w:r>
      <w:rPr>
        <w:rStyle w:val="a9"/>
        <w:sz w:val="24"/>
        <w:szCs w:val="24"/>
      </w:rPr>
      <w:instrText xml:space="preserve">PAGE  </w:instrText>
    </w:r>
    <w:r>
      <w:rPr>
        <w:rStyle w:val="a9"/>
        <w:sz w:val="24"/>
        <w:szCs w:val="24"/>
      </w:rPr>
      <w:fldChar w:fldCharType="separate"/>
    </w:r>
    <w:r>
      <w:rPr>
        <w:rStyle w:val="a9"/>
        <w:noProof/>
        <w:sz w:val="24"/>
        <w:szCs w:val="24"/>
      </w:rPr>
      <w:t>4</w:t>
    </w:r>
    <w:r>
      <w:rPr>
        <w:rStyle w:val="a9"/>
        <w:sz w:val="24"/>
        <w:szCs w:val="24"/>
      </w:rPr>
      <w:fldChar w:fldCharType="end"/>
    </w:r>
  </w:p>
  <w:p w:rsidR="00133109" w:rsidRDefault="0013310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02E" w:rsidRDefault="004E702E" w:rsidP="00177136">
      <w:r>
        <w:separator/>
      </w:r>
    </w:p>
  </w:footnote>
  <w:footnote w:type="continuationSeparator" w:id="0">
    <w:p w:rsidR="004E702E" w:rsidRDefault="004E702E" w:rsidP="0017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A51"/>
    <w:multiLevelType w:val="singleLevel"/>
    <w:tmpl w:val="D034DD10"/>
    <w:lvl w:ilvl="0">
      <w:start w:val="6"/>
      <w:numFmt w:val="decimal"/>
      <w:lvlText w:val="(%1)"/>
      <w:legacy w:legacy="1" w:legacySpace="0" w:legacyIndent="360"/>
      <w:lvlJc w:val="left"/>
      <w:pPr>
        <w:ind w:left="1563" w:hanging="360"/>
      </w:pPr>
      <w:rPr>
        <w:rFonts w:ascii="Times New Roman" w:hAnsi="Times New Roman" w:hint="default"/>
        <w:b w:val="0"/>
        <w:i w:val="0"/>
        <w:sz w:val="30"/>
        <w:u w:val="none"/>
      </w:rPr>
    </w:lvl>
  </w:abstractNum>
  <w:abstractNum w:abstractNumId="1" w15:restartNumberingAfterBreak="0">
    <w:nsid w:val="09314830"/>
    <w:multiLevelType w:val="multilevel"/>
    <w:tmpl w:val="982C4AB2"/>
    <w:lvl w:ilvl="0">
      <w:start w:val="1"/>
      <w:numFmt w:val="decimalFullWidth"/>
      <w:lvlText w:val="%1．"/>
      <w:lvlJc w:val="left"/>
      <w:pPr>
        <w:tabs>
          <w:tab w:val="num" w:pos="720"/>
        </w:tabs>
        <w:ind w:left="720" w:hanging="72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15:restartNumberingAfterBreak="0">
    <w:nsid w:val="14D017B5"/>
    <w:multiLevelType w:val="hybridMultilevel"/>
    <w:tmpl w:val="982C4AB2"/>
    <w:lvl w:ilvl="0" w:tplc="FFFFFFFF">
      <w:start w:val="1"/>
      <w:numFmt w:val="decimalFullWidth"/>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15:restartNumberingAfterBreak="0">
    <w:nsid w:val="166A0DE1"/>
    <w:multiLevelType w:val="singleLevel"/>
    <w:tmpl w:val="30F449D8"/>
    <w:lvl w:ilvl="0">
      <w:start w:val="1"/>
      <w:numFmt w:val="decimal"/>
      <w:lvlText w:val="%1."/>
      <w:lvlJc w:val="left"/>
      <w:pPr>
        <w:tabs>
          <w:tab w:val="num" w:pos="1169"/>
        </w:tabs>
        <w:ind w:left="1169" w:hanging="330"/>
      </w:pPr>
      <w:rPr>
        <w:rFonts w:ascii="華康楷書體W5" w:hint="eastAsia"/>
      </w:rPr>
    </w:lvl>
  </w:abstractNum>
  <w:abstractNum w:abstractNumId="4" w15:restartNumberingAfterBreak="0">
    <w:nsid w:val="16DF1E59"/>
    <w:multiLevelType w:val="hybridMultilevel"/>
    <w:tmpl w:val="AA5C2A06"/>
    <w:lvl w:ilvl="0" w:tplc="F562773C">
      <w:start w:val="1"/>
      <w:numFmt w:val="taiwaneseCountingThousand"/>
      <w:lvlText w:val="(%1)"/>
      <w:lvlJc w:val="left"/>
      <w:pPr>
        <w:ind w:left="1560" w:hanging="720"/>
      </w:pPr>
      <w:rPr>
        <w:rFonts w:hAnsi="Times New Roman" w:hint="default"/>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1A707427"/>
    <w:multiLevelType w:val="multilevel"/>
    <w:tmpl w:val="982C4AB2"/>
    <w:lvl w:ilvl="0">
      <w:start w:val="1"/>
      <w:numFmt w:val="decimalFullWidth"/>
      <w:lvlText w:val="%1．"/>
      <w:lvlJc w:val="left"/>
      <w:pPr>
        <w:tabs>
          <w:tab w:val="num" w:pos="720"/>
        </w:tabs>
        <w:ind w:left="720" w:hanging="72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 w15:restartNumberingAfterBreak="0">
    <w:nsid w:val="1B2F1AAF"/>
    <w:multiLevelType w:val="singleLevel"/>
    <w:tmpl w:val="641E4088"/>
    <w:lvl w:ilvl="0">
      <w:start w:val="4"/>
      <w:numFmt w:val="decimal"/>
      <w:lvlText w:val="%1."/>
      <w:legacy w:legacy="1" w:legacySpace="0" w:legacyIndent="225"/>
      <w:lvlJc w:val="left"/>
      <w:pPr>
        <w:ind w:left="1064" w:hanging="225"/>
      </w:pPr>
      <w:rPr>
        <w:rFonts w:ascii="Times New Roman" w:hAnsi="Times New Roman" w:hint="default"/>
        <w:b w:val="0"/>
        <w:i w:val="0"/>
        <w:sz w:val="30"/>
        <w:u w:val="none"/>
      </w:rPr>
    </w:lvl>
  </w:abstractNum>
  <w:abstractNum w:abstractNumId="7" w15:restartNumberingAfterBreak="0">
    <w:nsid w:val="1C244873"/>
    <w:multiLevelType w:val="singleLevel"/>
    <w:tmpl w:val="6CF8FD72"/>
    <w:lvl w:ilvl="0">
      <w:start w:val="1"/>
      <w:numFmt w:val="decimal"/>
      <w:lvlText w:val="(%1)"/>
      <w:lvlJc w:val="left"/>
      <w:pPr>
        <w:tabs>
          <w:tab w:val="num" w:pos="1773"/>
        </w:tabs>
        <w:ind w:left="1773" w:hanging="495"/>
      </w:pPr>
      <w:rPr>
        <w:rFonts w:hint="eastAsia"/>
      </w:rPr>
    </w:lvl>
  </w:abstractNum>
  <w:abstractNum w:abstractNumId="8" w15:restartNumberingAfterBreak="0">
    <w:nsid w:val="2A400D71"/>
    <w:multiLevelType w:val="singleLevel"/>
    <w:tmpl w:val="C34CBC16"/>
    <w:lvl w:ilvl="0">
      <w:start w:val="1"/>
      <w:numFmt w:val="decimal"/>
      <w:lvlText w:val="%1."/>
      <w:lvlJc w:val="left"/>
      <w:pPr>
        <w:tabs>
          <w:tab w:val="num" w:pos="1200"/>
        </w:tabs>
        <w:ind w:left="1200" w:hanging="240"/>
      </w:pPr>
      <w:rPr>
        <w:rFonts w:hint="eastAsia"/>
      </w:rPr>
    </w:lvl>
  </w:abstractNum>
  <w:abstractNum w:abstractNumId="9" w15:restartNumberingAfterBreak="0">
    <w:nsid w:val="2B150981"/>
    <w:multiLevelType w:val="hybridMultilevel"/>
    <w:tmpl w:val="360027BC"/>
    <w:lvl w:ilvl="0" w:tplc="D1345304">
      <w:start w:val="1"/>
      <w:numFmt w:val="decimal"/>
      <w:lvlText w:val="%1."/>
      <w:lvlJc w:val="left"/>
      <w:pPr>
        <w:ind w:left="1381" w:hanging="360"/>
      </w:pPr>
      <w:rPr>
        <w:rFonts w:hint="default"/>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10" w15:restartNumberingAfterBreak="0">
    <w:nsid w:val="364C3695"/>
    <w:multiLevelType w:val="singleLevel"/>
    <w:tmpl w:val="6DD85FCE"/>
    <w:lvl w:ilvl="0">
      <w:start w:val="4"/>
      <w:numFmt w:val="decimal"/>
      <w:lvlText w:val="%1."/>
      <w:legacy w:legacy="1" w:legacySpace="0" w:legacyIndent="255"/>
      <w:lvlJc w:val="left"/>
      <w:pPr>
        <w:ind w:left="1094" w:hanging="255"/>
      </w:pPr>
      <w:rPr>
        <w:rFonts w:ascii="Times New Roman" w:hAnsi="Times New Roman" w:hint="default"/>
        <w:b w:val="0"/>
        <w:i w:val="0"/>
        <w:sz w:val="30"/>
        <w:u w:val="none"/>
      </w:rPr>
    </w:lvl>
  </w:abstractNum>
  <w:abstractNum w:abstractNumId="11" w15:restartNumberingAfterBreak="0">
    <w:nsid w:val="38BD59C3"/>
    <w:multiLevelType w:val="singleLevel"/>
    <w:tmpl w:val="BF8ACC50"/>
    <w:lvl w:ilvl="0">
      <w:start w:val="1"/>
      <w:numFmt w:val="decimal"/>
      <w:lvlText w:val="(%1)"/>
      <w:lvlJc w:val="left"/>
      <w:pPr>
        <w:tabs>
          <w:tab w:val="num" w:pos="1524"/>
        </w:tabs>
        <w:ind w:left="1524" w:hanging="390"/>
      </w:pPr>
      <w:rPr>
        <w:rFonts w:hint="default"/>
      </w:rPr>
    </w:lvl>
  </w:abstractNum>
  <w:abstractNum w:abstractNumId="12" w15:restartNumberingAfterBreak="0">
    <w:nsid w:val="3B4636DA"/>
    <w:multiLevelType w:val="singleLevel"/>
    <w:tmpl w:val="1706B6A6"/>
    <w:lvl w:ilvl="0">
      <w:start w:val="7"/>
      <w:numFmt w:val="decimal"/>
      <w:lvlText w:val="(%1)"/>
      <w:legacy w:legacy="1" w:legacySpace="0" w:legacyIndent="405"/>
      <w:lvlJc w:val="left"/>
      <w:pPr>
        <w:ind w:left="1488" w:hanging="405"/>
      </w:pPr>
      <w:rPr>
        <w:rFonts w:ascii="Times New Roman" w:hAnsi="Times New Roman" w:hint="default"/>
        <w:b w:val="0"/>
        <w:i w:val="0"/>
        <w:sz w:val="30"/>
        <w:u w:val="none"/>
      </w:rPr>
    </w:lvl>
  </w:abstractNum>
  <w:abstractNum w:abstractNumId="13" w15:restartNumberingAfterBreak="0">
    <w:nsid w:val="3F3640F4"/>
    <w:multiLevelType w:val="hybridMultilevel"/>
    <w:tmpl w:val="FC3ADA1A"/>
    <w:lvl w:ilvl="0" w:tplc="B9B2966A">
      <w:start w:val="1"/>
      <w:numFmt w:val="decimal"/>
      <w:lvlText w:val="%1."/>
      <w:lvlJc w:val="left"/>
      <w:pPr>
        <w:tabs>
          <w:tab w:val="num" w:pos="1381"/>
        </w:tabs>
        <w:ind w:left="1381" w:hanging="360"/>
      </w:pPr>
      <w:rPr>
        <w:rFonts w:hint="default"/>
      </w:rPr>
    </w:lvl>
    <w:lvl w:ilvl="1" w:tplc="04090019" w:tentative="1">
      <w:start w:val="1"/>
      <w:numFmt w:val="ideographTraditional"/>
      <w:lvlText w:val="%2、"/>
      <w:lvlJc w:val="left"/>
      <w:pPr>
        <w:tabs>
          <w:tab w:val="num" w:pos="1981"/>
        </w:tabs>
        <w:ind w:left="1981" w:hanging="480"/>
      </w:pPr>
    </w:lvl>
    <w:lvl w:ilvl="2" w:tplc="0409001B" w:tentative="1">
      <w:start w:val="1"/>
      <w:numFmt w:val="lowerRoman"/>
      <w:lvlText w:val="%3."/>
      <w:lvlJc w:val="right"/>
      <w:pPr>
        <w:tabs>
          <w:tab w:val="num" w:pos="2461"/>
        </w:tabs>
        <w:ind w:left="2461" w:hanging="480"/>
      </w:pPr>
    </w:lvl>
    <w:lvl w:ilvl="3" w:tplc="0409000F" w:tentative="1">
      <w:start w:val="1"/>
      <w:numFmt w:val="decimal"/>
      <w:lvlText w:val="%4."/>
      <w:lvlJc w:val="left"/>
      <w:pPr>
        <w:tabs>
          <w:tab w:val="num" w:pos="2941"/>
        </w:tabs>
        <w:ind w:left="2941" w:hanging="480"/>
      </w:pPr>
    </w:lvl>
    <w:lvl w:ilvl="4" w:tplc="04090019" w:tentative="1">
      <w:start w:val="1"/>
      <w:numFmt w:val="ideographTraditional"/>
      <w:lvlText w:val="%5、"/>
      <w:lvlJc w:val="left"/>
      <w:pPr>
        <w:tabs>
          <w:tab w:val="num" w:pos="3421"/>
        </w:tabs>
        <w:ind w:left="3421" w:hanging="480"/>
      </w:pPr>
    </w:lvl>
    <w:lvl w:ilvl="5" w:tplc="0409001B" w:tentative="1">
      <w:start w:val="1"/>
      <w:numFmt w:val="lowerRoman"/>
      <w:lvlText w:val="%6."/>
      <w:lvlJc w:val="right"/>
      <w:pPr>
        <w:tabs>
          <w:tab w:val="num" w:pos="3901"/>
        </w:tabs>
        <w:ind w:left="3901" w:hanging="480"/>
      </w:pPr>
    </w:lvl>
    <w:lvl w:ilvl="6" w:tplc="0409000F" w:tentative="1">
      <w:start w:val="1"/>
      <w:numFmt w:val="decimal"/>
      <w:lvlText w:val="%7."/>
      <w:lvlJc w:val="left"/>
      <w:pPr>
        <w:tabs>
          <w:tab w:val="num" w:pos="4381"/>
        </w:tabs>
        <w:ind w:left="4381" w:hanging="480"/>
      </w:pPr>
    </w:lvl>
    <w:lvl w:ilvl="7" w:tplc="04090019" w:tentative="1">
      <w:start w:val="1"/>
      <w:numFmt w:val="ideographTraditional"/>
      <w:lvlText w:val="%8、"/>
      <w:lvlJc w:val="left"/>
      <w:pPr>
        <w:tabs>
          <w:tab w:val="num" w:pos="4861"/>
        </w:tabs>
        <w:ind w:left="4861" w:hanging="480"/>
      </w:pPr>
    </w:lvl>
    <w:lvl w:ilvl="8" w:tplc="0409001B" w:tentative="1">
      <w:start w:val="1"/>
      <w:numFmt w:val="lowerRoman"/>
      <w:lvlText w:val="%9."/>
      <w:lvlJc w:val="right"/>
      <w:pPr>
        <w:tabs>
          <w:tab w:val="num" w:pos="5341"/>
        </w:tabs>
        <w:ind w:left="5341" w:hanging="480"/>
      </w:pPr>
    </w:lvl>
  </w:abstractNum>
  <w:abstractNum w:abstractNumId="14" w15:restartNumberingAfterBreak="0">
    <w:nsid w:val="44FA5FD3"/>
    <w:multiLevelType w:val="singleLevel"/>
    <w:tmpl w:val="FC3AF24A"/>
    <w:lvl w:ilvl="0">
      <w:start w:val="1"/>
      <w:numFmt w:val="decimal"/>
      <w:lvlText w:val="(%1)"/>
      <w:lvlJc w:val="left"/>
      <w:pPr>
        <w:tabs>
          <w:tab w:val="num" w:pos="1175"/>
        </w:tabs>
        <w:ind w:left="1175" w:hanging="375"/>
      </w:pPr>
      <w:rPr>
        <w:rFonts w:hint="eastAsia"/>
      </w:rPr>
    </w:lvl>
  </w:abstractNum>
  <w:abstractNum w:abstractNumId="15" w15:restartNumberingAfterBreak="0">
    <w:nsid w:val="452C7697"/>
    <w:multiLevelType w:val="singleLevel"/>
    <w:tmpl w:val="FC3AF24A"/>
    <w:lvl w:ilvl="0">
      <w:start w:val="1"/>
      <w:numFmt w:val="decimal"/>
      <w:lvlText w:val="(%1)"/>
      <w:lvlJc w:val="left"/>
      <w:pPr>
        <w:tabs>
          <w:tab w:val="num" w:pos="1175"/>
        </w:tabs>
        <w:ind w:left="1175" w:hanging="375"/>
      </w:pPr>
      <w:rPr>
        <w:rFonts w:hint="eastAsia"/>
      </w:rPr>
    </w:lvl>
  </w:abstractNum>
  <w:abstractNum w:abstractNumId="16" w15:restartNumberingAfterBreak="0">
    <w:nsid w:val="50F64333"/>
    <w:multiLevelType w:val="singleLevel"/>
    <w:tmpl w:val="641E4088"/>
    <w:lvl w:ilvl="0">
      <w:start w:val="4"/>
      <w:numFmt w:val="decimal"/>
      <w:lvlText w:val="%1."/>
      <w:legacy w:legacy="1" w:legacySpace="0" w:legacyIndent="225"/>
      <w:lvlJc w:val="left"/>
      <w:pPr>
        <w:ind w:left="1064" w:hanging="225"/>
      </w:pPr>
      <w:rPr>
        <w:rFonts w:ascii="Times New Roman" w:hAnsi="Times New Roman" w:hint="default"/>
        <w:b w:val="0"/>
        <w:i w:val="0"/>
        <w:sz w:val="30"/>
        <w:u w:val="none"/>
      </w:rPr>
    </w:lvl>
  </w:abstractNum>
  <w:abstractNum w:abstractNumId="17" w15:restartNumberingAfterBreak="0">
    <w:nsid w:val="52D328F6"/>
    <w:multiLevelType w:val="singleLevel"/>
    <w:tmpl w:val="389AEA28"/>
    <w:lvl w:ilvl="0">
      <w:start w:val="1"/>
      <w:numFmt w:val="decimal"/>
      <w:lvlText w:val="(%1)"/>
      <w:lvlJc w:val="left"/>
      <w:pPr>
        <w:tabs>
          <w:tab w:val="num" w:pos="1175"/>
        </w:tabs>
        <w:ind w:left="1175" w:hanging="375"/>
      </w:pPr>
      <w:rPr>
        <w:rFonts w:hint="default"/>
      </w:rPr>
    </w:lvl>
  </w:abstractNum>
  <w:abstractNum w:abstractNumId="18" w15:restartNumberingAfterBreak="0">
    <w:nsid w:val="5BD37194"/>
    <w:multiLevelType w:val="singleLevel"/>
    <w:tmpl w:val="1D021ED0"/>
    <w:lvl w:ilvl="0">
      <w:start w:val="1"/>
      <w:numFmt w:val="decimal"/>
      <w:lvlText w:val="%1."/>
      <w:lvlJc w:val="left"/>
      <w:pPr>
        <w:tabs>
          <w:tab w:val="num" w:pos="1040"/>
        </w:tabs>
        <w:ind w:left="1040" w:hanging="240"/>
      </w:pPr>
      <w:rPr>
        <w:rFonts w:hint="eastAsia"/>
      </w:rPr>
    </w:lvl>
  </w:abstractNum>
  <w:abstractNum w:abstractNumId="19" w15:restartNumberingAfterBreak="0">
    <w:nsid w:val="71DA7DA2"/>
    <w:multiLevelType w:val="singleLevel"/>
    <w:tmpl w:val="C7D8346E"/>
    <w:lvl w:ilvl="0">
      <w:start w:val="1"/>
      <w:numFmt w:val="decimal"/>
      <w:lvlText w:val="%1."/>
      <w:legacy w:legacy="1" w:legacySpace="0" w:legacyIndent="225"/>
      <w:lvlJc w:val="left"/>
      <w:pPr>
        <w:ind w:left="1064" w:hanging="225"/>
      </w:pPr>
      <w:rPr>
        <w:rFonts w:ascii="Times New Roman" w:hAnsi="Times New Roman" w:hint="default"/>
        <w:b w:val="0"/>
        <w:i w:val="0"/>
        <w:sz w:val="30"/>
        <w:u w:val="none"/>
      </w:rPr>
    </w:lvl>
  </w:abstractNum>
  <w:abstractNum w:abstractNumId="20" w15:restartNumberingAfterBreak="0">
    <w:nsid w:val="7A950864"/>
    <w:multiLevelType w:val="singleLevel"/>
    <w:tmpl w:val="055E229C"/>
    <w:lvl w:ilvl="0">
      <w:start w:val="5"/>
      <w:numFmt w:val="decimal"/>
      <w:lvlText w:val="%1."/>
      <w:legacy w:legacy="1" w:legacySpace="0" w:legacyIndent="255"/>
      <w:lvlJc w:val="left"/>
      <w:pPr>
        <w:ind w:left="1094" w:hanging="255"/>
      </w:pPr>
      <w:rPr>
        <w:rFonts w:ascii="Times New Roman" w:hAnsi="Times New Roman" w:hint="default"/>
        <w:b w:val="0"/>
        <w:i w:val="0"/>
        <w:sz w:val="30"/>
        <w:u w:val="none"/>
      </w:rPr>
    </w:lvl>
  </w:abstractNum>
  <w:abstractNum w:abstractNumId="21" w15:restartNumberingAfterBreak="0">
    <w:nsid w:val="7BCA501E"/>
    <w:multiLevelType w:val="singleLevel"/>
    <w:tmpl w:val="CC2E98B6"/>
    <w:lvl w:ilvl="0">
      <w:start w:val="5"/>
      <w:numFmt w:val="decimal"/>
      <w:lvlText w:val="(%1)"/>
      <w:legacy w:legacy="1" w:legacySpace="0" w:legacyIndent="405"/>
      <w:lvlJc w:val="left"/>
      <w:pPr>
        <w:ind w:left="1488" w:hanging="405"/>
      </w:pPr>
      <w:rPr>
        <w:rFonts w:ascii="Times New Roman" w:hAnsi="Times New Roman" w:hint="default"/>
        <w:b w:val="0"/>
        <w:i w:val="0"/>
        <w:sz w:val="30"/>
        <w:u w:val="none"/>
      </w:rPr>
    </w:lvl>
  </w:abstractNum>
  <w:abstractNum w:abstractNumId="22" w15:restartNumberingAfterBreak="0">
    <w:nsid w:val="7FF4786B"/>
    <w:multiLevelType w:val="singleLevel"/>
    <w:tmpl w:val="C7D8346E"/>
    <w:lvl w:ilvl="0">
      <w:start w:val="9"/>
      <w:numFmt w:val="decimal"/>
      <w:lvlText w:val="%1."/>
      <w:legacy w:legacy="1" w:legacySpace="0" w:legacyIndent="225"/>
      <w:lvlJc w:val="left"/>
      <w:pPr>
        <w:ind w:left="1064" w:hanging="225"/>
      </w:pPr>
      <w:rPr>
        <w:rFonts w:ascii="Times New Roman" w:hAnsi="Times New Roman" w:hint="default"/>
        <w:b w:val="0"/>
        <w:i w:val="0"/>
        <w:sz w:val="30"/>
        <w:u w:val="none"/>
      </w:rPr>
    </w:lvl>
  </w:abstractNum>
  <w:num w:numId="1">
    <w:abstractNumId w:val="16"/>
  </w:num>
  <w:num w:numId="2">
    <w:abstractNumId w:val="16"/>
    <w:lvlOverride w:ilvl="0">
      <w:lvl w:ilvl="0">
        <w:start w:val="1"/>
        <w:numFmt w:val="decimal"/>
        <w:lvlText w:val="%1."/>
        <w:legacy w:legacy="1" w:legacySpace="0" w:legacyIndent="225"/>
        <w:lvlJc w:val="left"/>
        <w:pPr>
          <w:ind w:left="1064" w:hanging="225"/>
        </w:pPr>
        <w:rPr>
          <w:rFonts w:ascii="Times New Roman" w:hAnsi="Times New Roman" w:hint="default"/>
          <w:b w:val="0"/>
          <w:i w:val="0"/>
          <w:sz w:val="30"/>
          <w:u w:val="none"/>
        </w:rPr>
      </w:lvl>
    </w:lvlOverride>
  </w:num>
  <w:num w:numId="3">
    <w:abstractNumId w:val="6"/>
  </w:num>
  <w:num w:numId="4">
    <w:abstractNumId w:val="12"/>
  </w:num>
  <w:num w:numId="5">
    <w:abstractNumId w:val="10"/>
  </w:num>
  <w:num w:numId="6">
    <w:abstractNumId w:val="21"/>
  </w:num>
  <w:num w:numId="7">
    <w:abstractNumId w:val="22"/>
  </w:num>
  <w:num w:numId="8">
    <w:abstractNumId w:val="22"/>
    <w:lvlOverride w:ilvl="0">
      <w:lvl w:ilvl="0">
        <w:start w:val="1"/>
        <w:numFmt w:val="decimal"/>
        <w:lvlText w:val="%1."/>
        <w:legacy w:legacy="1" w:legacySpace="0" w:legacyIndent="225"/>
        <w:lvlJc w:val="left"/>
        <w:pPr>
          <w:ind w:left="1064" w:hanging="225"/>
        </w:pPr>
        <w:rPr>
          <w:rFonts w:ascii="Times New Roman" w:hAnsi="Times New Roman" w:hint="default"/>
          <w:b w:val="0"/>
          <w:i w:val="0"/>
          <w:sz w:val="30"/>
          <w:u w:val="none"/>
        </w:rPr>
      </w:lvl>
    </w:lvlOverride>
  </w:num>
  <w:num w:numId="9">
    <w:abstractNumId w:val="19"/>
  </w:num>
  <w:num w:numId="10">
    <w:abstractNumId w:val="20"/>
  </w:num>
  <w:num w:numId="11">
    <w:abstractNumId w:val="0"/>
  </w:num>
  <w:num w:numId="12">
    <w:abstractNumId w:val="0"/>
    <w:lvlOverride w:ilvl="0">
      <w:lvl w:ilvl="0">
        <w:start w:val="1"/>
        <w:numFmt w:val="decimal"/>
        <w:lvlText w:val="(%1)"/>
        <w:legacy w:legacy="1" w:legacySpace="0" w:legacyIndent="360"/>
        <w:lvlJc w:val="left"/>
        <w:pPr>
          <w:ind w:left="1563" w:hanging="360"/>
        </w:pPr>
        <w:rPr>
          <w:rFonts w:ascii="Times New Roman" w:hAnsi="Times New Roman" w:hint="default"/>
          <w:b w:val="0"/>
          <w:i w:val="0"/>
          <w:sz w:val="30"/>
          <w:u w:val="none"/>
        </w:rPr>
      </w:lvl>
    </w:lvlOverride>
  </w:num>
  <w:num w:numId="13">
    <w:abstractNumId w:val="16"/>
    <w:lvlOverride w:ilvl="0">
      <w:lvl w:ilvl="0">
        <w:start w:val="1"/>
        <w:numFmt w:val="decimal"/>
        <w:lvlText w:val="%1."/>
        <w:legacy w:legacy="1" w:legacySpace="0" w:legacyIndent="225"/>
        <w:lvlJc w:val="left"/>
        <w:pPr>
          <w:ind w:left="1064" w:hanging="225"/>
        </w:pPr>
        <w:rPr>
          <w:rFonts w:ascii="Times New Roman" w:hAnsi="Times New Roman" w:hint="default"/>
          <w:b w:val="0"/>
          <w:i w:val="0"/>
          <w:sz w:val="30"/>
          <w:u w:val="none"/>
        </w:rPr>
      </w:lvl>
    </w:lvlOverride>
  </w:num>
  <w:num w:numId="14">
    <w:abstractNumId w:val="22"/>
    <w:lvlOverride w:ilvl="0">
      <w:lvl w:ilvl="0">
        <w:start w:val="1"/>
        <w:numFmt w:val="decimal"/>
        <w:lvlText w:val="%1."/>
        <w:legacy w:legacy="1" w:legacySpace="0" w:legacyIndent="225"/>
        <w:lvlJc w:val="left"/>
        <w:pPr>
          <w:ind w:left="1064" w:hanging="225"/>
        </w:pPr>
        <w:rPr>
          <w:rFonts w:ascii="Times New Roman" w:hAnsi="Times New Roman" w:hint="default"/>
          <w:b w:val="0"/>
          <w:i w:val="0"/>
          <w:sz w:val="30"/>
          <w:u w:val="none"/>
        </w:rPr>
      </w:lvl>
    </w:lvlOverride>
  </w:num>
  <w:num w:numId="15">
    <w:abstractNumId w:val="0"/>
    <w:lvlOverride w:ilvl="0">
      <w:lvl w:ilvl="0">
        <w:start w:val="1"/>
        <w:numFmt w:val="decimal"/>
        <w:lvlText w:val="(%1)"/>
        <w:legacy w:legacy="1" w:legacySpace="0" w:legacyIndent="360"/>
        <w:lvlJc w:val="left"/>
        <w:pPr>
          <w:ind w:left="1563" w:hanging="360"/>
        </w:pPr>
        <w:rPr>
          <w:rFonts w:ascii="Times New Roman" w:hAnsi="Times New Roman" w:hint="default"/>
          <w:b w:val="0"/>
          <w:i w:val="0"/>
          <w:sz w:val="30"/>
          <w:u w:val="none"/>
        </w:rPr>
      </w:lvl>
    </w:lvlOverride>
  </w:num>
  <w:num w:numId="16">
    <w:abstractNumId w:val="16"/>
    <w:lvlOverride w:ilvl="0">
      <w:lvl w:ilvl="0">
        <w:start w:val="1"/>
        <w:numFmt w:val="decimal"/>
        <w:lvlText w:val="%1."/>
        <w:legacy w:legacy="1" w:legacySpace="0" w:legacyIndent="225"/>
        <w:lvlJc w:val="left"/>
        <w:pPr>
          <w:ind w:left="1064" w:hanging="225"/>
        </w:pPr>
        <w:rPr>
          <w:rFonts w:ascii="Times New Roman" w:hAnsi="Times New Roman" w:hint="default"/>
          <w:b w:val="0"/>
          <w:i w:val="0"/>
          <w:sz w:val="30"/>
          <w:u w:val="none"/>
        </w:rPr>
      </w:lvl>
    </w:lvlOverride>
  </w:num>
  <w:num w:numId="17">
    <w:abstractNumId w:val="22"/>
    <w:lvlOverride w:ilvl="0">
      <w:lvl w:ilvl="0">
        <w:start w:val="1"/>
        <w:numFmt w:val="decimal"/>
        <w:lvlText w:val="%1."/>
        <w:legacy w:legacy="1" w:legacySpace="0" w:legacyIndent="225"/>
        <w:lvlJc w:val="left"/>
        <w:pPr>
          <w:ind w:left="1064" w:hanging="225"/>
        </w:pPr>
        <w:rPr>
          <w:rFonts w:ascii="Times New Roman" w:hAnsi="Times New Roman" w:hint="default"/>
          <w:b w:val="0"/>
          <w:i w:val="0"/>
          <w:sz w:val="30"/>
          <w:u w:val="none"/>
        </w:rPr>
      </w:lvl>
    </w:lvlOverride>
  </w:num>
  <w:num w:numId="18">
    <w:abstractNumId w:val="0"/>
    <w:lvlOverride w:ilvl="0">
      <w:lvl w:ilvl="0">
        <w:start w:val="1"/>
        <w:numFmt w:val="decimal"/>
        <w:lvlText w:val="(%1)"/>
        <w:legacy w:legacy="1" w:legacySpace="0" w:legacyIndent="360"/>
        <w:lvlJc w:val="left"/>
        <w:pPr>
          <w:ind w:left="1563" w:hanging="360"/>
        </w:pPr>
        <w:rPr>
          <w:rFonts w:ascii="Times New Roman" w:hAnsi="Times New Roman" w:hint="default"/>
          <w:b w:val="0"/>
          <w:i w:val="0"/>
          <w:sz w:val="30"/>
          <w:u w:val="none"/>
        </w:rPr>
      </w:lvl>
    </w:lvlOverride>
  </w:num>
  <w:num w:numId="19">
    <w:abstractNumId w:val="16"/>
    <w:lvlOverride w:ilvl="0">
      <w:lvl w:ilvl="0">
        <w:start w:val="1"/>
        <w:numFmt w:val="decimal"/>
        <w:lvlText w:val="%1."/>
        <w:legacy w:legacy="1" w:legacySpace="0" w:legacyIndent="225"/>
        <w:lvlJc w:val="left"/>
        <w:pPr>
          <w:ind w:left="1064" w:hanging="225"/>
        </w:pPr>
        <w:rPr>
          <w:rFonts w:ascii="Times New Roman" w:hAnsi="Times New Roman" w:hint="default"/>
          <w:b w:val="0"/>
          <w:i w:val="0"/>
          <w:sz w:val="30"/>
          <w:u w:val="none"/>
        </w:rPr>
      </w:lvl>
    </w:lvlOverride>
  </w:num>
  <w:num w:numId="20">
    <w:abstractNumId w:val="22"/>
    <w:lvlOverride w:ilvl="0">
      <w:lvl w:ilvl="0">
        <w:start w:val="1"/>
        <w:numFmt w:val="decimal"/>
        <w:lvlText w:val="%1."/>
        <w:legacy w:legacy="1" w:legacySpace="0" w:legacyIndent="225"/>
        <w:lvlJc w:val="left"/>
        <w:pPr>
          <w:ind w:left="1064" w:hanging="225"/>
        </w:pPr>
        <w:rPr>
          <w:rFonts w:ascii="Times New Roman" w:hAnsi="Times New Roman" w:hint="default"/>
          <w:b w:val="0"/>
          <w:i w:val="0"/>
          <w:sz w:val="30"/>
          <w:u w:val="none"/>
        </w:rPr>
      </w:lvl>
    </w:lvlOverride>
  </w:num>
  <w:num w:numId="21">
    <w:abstractNumId w:val="0"/>
    <w:lvlOverride w:ilvl="0">
      <w:lvl w:ilvl="0">
        <w:start w:val="1"/>
        <w:numFmt w:val="decimal"/>
        <w:lvlText w:val="(%1)"/>
        <w:legacy w:legacy="1" w:legacySpace="0" w:legacyIndent="360"/>
        <w:lvlJc w:val="left"/>
        <w:pPr>
          <w:ind w:left="1563" w:hanging="360"/>
        </w:pPr>
        <w:rPr>
          <w:rFonts w:ascii="Times New Roman" w:hAnsi="Times New Roman" w:hint="default"/>
          <w:b w:val="0"/>
          <w:i w:val="0"/>
          <w:sz w:val="30"/>
          <w:u w:val="none"/>
        </w:rPr>
      </w:lvl>
    </w:lvlOverride>
  </w:num>
  <w:num w:numId="22">
    <w:abstractNumId w:val="3"/>
  </w:num>
  <w:num w:numId="23">
    <w:abstractNumId w:val="7"/>
  </w:num>
  <w:num w:numId="24">
    <w:abstractNumId w:val="11"/>
  </w:num>
  <w:num w:numId="25">
    <w:abstractNumId w:val="17"/>
  </w:num>
  <w:num w:numId="26">
    <w:abstractNumId w:val="14"/>
  </w:num>
  <w:num w:numId="27">
    <w:abstractNumId w:val="15"/>
  </w:num>
  <w:num w:numId="28">
    <w:abstractNumId w:val="18"/>
  </w:num>
  <w:num w:numId="29">
    <w:abstractNumId w:val="8"/>
  </w:num>
  <w:num w:numId="30">
    <w:abstractNumId w:val="2"/>
  </w:num>
  <w:num w:numId="31">
    <w:abstractNumId w:val="1"/>
  </w:num>
  <w:num w:numId="32">
    <w:abstractNumId w:val="5"/>
  </w:num>
  <w:num w:numId="33">
    <w:abstractNumId w:val="13"/>
  </w:num>
  <w:num w:numId="34">
    <w:abstractNumId w:val="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CE"/>
    <w:rsid w:val="00004BE8"/>
    <w:rsid w:val="0000667E"/>
    <w:rsid w:val="000071F2"/>
    <w:rsid w:val="00012CC1"/>
    <w:rsid w:val="000141EC"/>
    <w:rsid w:val="00015E2F"/>
    <w:rsid w:val="00017346"/>
    <w:rsid w:val="00021C77"/>
    <w:rsid w:val="000226CF"/>
    <w:rsid w:val="00023E5A"/>
    <w:rsid w:val="0002544E"/>
    <w:rsid w:val="00026FB5"/>
    <w:rsid w:val="0002772B"/>
    <w:rsid w:val="00027B86"/>
    <w:rsid w:val="00027D82"/>
    <w:rsid w:val="000303DB"/>
    <w:rsid w:val="000319B1"/>
    <w:rsid w:val="000319CE"/>
    <w:rsid w:val="00032F39"/>
    <w:rsid w:val="00034875"/>
    <w:rsid w:val="0003575A"/>
    <w:rsid w:val="00035A50"/>
    <w:rsid w:val="00035D5B"/>
    <w:rsid w:val="00037972"/>
    <w:rsid w:val="00037F43"/>
    <w:rsid w:val="0004061C"/>
    <w:rsid w:val="00044506"/>
    <w:rsid w:val="00044B3E"/>
    <w:rsid w:val="00044D52"/>
    <w:rsid w:val="0004542F"/>
    <w:rsid w:val="00045A33"/>
    <w:rsid w:val="000469FD"/>
    <w:rsid w:val="00052033"/>
    <w:rsid w:val="00056609"/>
    <w:rsid w:val="00057099"/>
    <w:rsid w:val="00057215"/>
    <w:rsid w:val="00057CD9"/>
    <w:rsid w:val="00060090"/>
    <w:rsid w:val="000606DE"/>
    <w:rsid w:val="00061AA3"/>
    <w:rsid w:val="00061C47"/>
    <w:rsid w:val="00062B90"/>
    <w:rsid w:val="00064288"/>
    <w:rsid w:val="00065CA5"/>
    <w:rsid w:val="000662A5"/>
    <w:rsid w:val="00067457"/>
    <w:rsid w:val="0007109D"/>
    <w:rsid w:val="000741F8"/>
    <w:rsid w:val="000750F9"/>
    <w:rsid w:val="0007765C"/>
    <w:rsid w:val="00080463"/>
    <w:rsid w:val="00084B9F"/>
    <w:rsid w:val="00084C0F"/>
    <w:rsid w:val="00085BCA"/>
    <w:rsid w:val="00085BFD"/>
    <w:rsid w:val="00085FDF"/>
    <w:rsid w:val="000934C8"/>
    <w:rsid w:val="00095911"/>
    <w:rsid w:val="000A256A"/>
    <w:rsid w:val="000A39B3"/>
    <w:rsid w:val="000A5927"/>
    <w:rsid w:val="000A6291"/>
    <w:rsid w:val="000A7287"/>
    <w:rsid w:val="000A7D5F"/>
    <w:rsid w:val="000B259A"/>
    <w:rsid w:val="000B3B80"/>
    <w:rsid w:val="000B3EDA"/>
    <w:rsid w:val="000C07F5"/>
    <w:rsid w:val="000C7FE1"/>
    <w:rsid w:val="000D179E"/>
    <w:rsid w:val="000D2775"/>
    <w:rsid w:val="000D6919"/>
    <w:rsid w:val="000E0FE0"/>
    <w:rsid w:val="000E26DB"/>
    <w:rsid w:val="000E312D"/>
    <w:rsid w:val="000E52ED"/>
    <w:rsid w:val="000F0A24"/>
    <w:rsid w:val="000F14BF"/>
    <w:rsid w:val="000F1667"/>
    <w:rsid w:val="000F219C"/>
    <w:rsid w:val="000F36EB"/>
    <w:rsid w:val="000F5A49"/>
    <w:rsid w:val="000F6BA2"/>
    <w:rsid w:val="00105B13"/>
    <w:rsid w:val="00105CC5"/>
    <w:rsid w:val="0010644D"/>
    <w:rsid w:val="001064E5"/>
    <w:rsid w:val="0011324C"/>
    <w:rsid w:val="001136D2"/>
    <w:rsid w:val="001142F5"/>
    <w:rsid w:val="001156D0"/>
    <w:rsid w:val="00116507"/>
    <w:rsid w:val="00120819"/>
    <w:rsid w:val="00124E29"/>
    <w:rsid w:val="00133109"/>
    <w:rsid w:val="00134EF5"/>
    <w:rsid w:val="0013720D"/>
    <w:rsid w:val="00137A01"/>
    <w:rsid w:val="0014308B"/>
    <w:rsid w:val="00145047"/>
    <w:rsid w:val="00145572"/>
    <w:rsid w:val="00145864"/>
    <w:rsid w:val="00145ADF"/>
    <w:rsid w:val="00147D5D"/>
    <w:rsid w:val="0015068E"/>
    <w:rsid w:val="00150C74"/>
    <w:rsid w:val="0015478A"/>
    <w:rsid w:val="00156FCA"/>
    <w:rsid w:val="001576D3"/>
    <w:rsid w:val="00165033"/>
    <w:rsid w:val="001654DD"/>
    <w:rsid w:val="0016592A"/>
    <w:rsid w:val="00166F49"/>
    <w:rsid w:val="00174D73"/>
    <w:rsid w:val="00175023"/>
    <w:rsid w:val="00177136"/>
    <w:rsid w:val="001802A9"/>
    <w:rsid w:val="0018059E"/>
    <w:rsid w:val="001820F4"/>
    <w:rsid w:val="001846AB"/>
    <w:rsid w:val="001906BC"/>
    <w:rsid w:val="001906F8"/>
    <w:rsid w:val="00192149"/>
    <w:rsid w:val="001923B5"/>
    <w:rsid w:val="00197D3C"/>
    <w:rsid w:val="001A0031"/>
    <w:rsid w:val="001A1A1D"/>
    <w:rsid w:val="001A3CE1"/>
    <w:rsid w:val="001A5FBB"/>
    <w:rsid w:val="001A7854"/>
    <w:rsid w:val="001B4504"/>
    <w:rsid w:val="001B4E52"/>
    <w:rsid w:val="001C0C7B"/>
    <w:rsid w:val="001C292B"/>
    <w:rsid w:val="001C3B96"/>
    <w:rsid w:val="001C64F2"/>
    <w:rsid w:val="001C68D1"/>
    <w:rsid w:val="001D107B"/>
    <w:rsid w:val="001D2362"/>
    <w:rsid w:val="001D2EAB"/>
    <w:rsid w:val="001D7D46"/>
    <w:rsid w:val="001E256B"/>
    <w:rsid w:val="001E4026"/>
    <w:rsid w:val="001E4E5B"/>
    <w:rsid w:val="001E5135"/>
    <w:rsid w:val="001E78BE"/>
    <w:rsid w:val="001E7ECE"/>
    <w:rsid w:val="001F06A1"/>
    <w:rsid w:val="001F2BAF"/>
    <w:rsid w:val="001F48FB"/>
    <w:rsid w:val="001F50FC"/>
    <w:rsid w:val="001F7260"/>
    <w:rsid w:val="00200310"/>
    <w:rsid w:val="002007FB"/>
    <w:rsid w:val="002015E5"/>
    <w:rsid w:val="002019FA"/>
    <w:rsid w:val="00202C5A"/>
    <w:rsid w:val="002055E4"/>
    <w:rsid w:val="002067BC"/>
    <w:rsid w:val="002078E6"/>
    <w:rsid w:val="00210B3E"/>
    <w:rsid w:val="0021122B"/>
    <w:rsid w:val="00211D8D"/>
    <w:rsid w:val="00213299"/>
    <w:rsid w:val="00213633"/>
    <w:rsid w:val="00215345"/>
    <w:rsid w:val="00221CCC"/>
    <w:rsid w:val="002239EA"/>
    <w:rsid w:val="00223DE8"/>
    <w:rsid w:val="0022468A"/>
    <w:rsid w:val="002248A3"/>
    <w:rsid w:val="00225F5B"/>
    <w:rsid w:val="00227AA7"/>
    <w:rsid w:val="00231937"/>
    <w:rsid w:val="00232C49"/>
    <w:rsid w:val="00232F83"/>
    <w:rsid w:val="00235143"/>
    <w:rsid w:val="00235346"/>
    <w:rsid w:val="00240319"/>
    <w:rsid w:val="00256053"/>
    <w:rsid w:val="00256720"/>
    <w:rsid w:val="00256F24"/>
    <w:rsid w:val="00256FBF"/>
    <w:rsid w:val="0025717B"/>
    <w:rsid w:val="002603BD"/>
    <w:rsid w:val="0026493A"/>
    <w:rsid w:val="00267606"/>
    <w:rsid w:val="00267CA2"/>
    <w:rsid w:val="00271C73"/>
    <w:rsid w:val="00271C9A"/>
    <w:rsid w:val="00272963"/>
    <w:rsid w:val="002744BF"/>
    <w:rsid w:val="002771D0"/>
    <w:rsid w:val="0027736A"/>
    <w:rsid w:val="002776D4"/>
    <w:rsid w:val="002779AB"/>
    <w:rsid w:val="002806A1"/>
    <w:rsid w:val="00281545"/>
    <w:rsid w:val="0028496D"/>
    <w:rsid w:val="00285CE7"/>
    <w:rsid w:val="00287364"/>
    <w:rsid w:val="00290D1C"/>
    <w:rsid w:val="0029164F"/>
    <w:rsid w:val="00291B7E"/>
    <w:rsid w:val="0029299C"/>
    <w:rsid w:val="00293025"/>
    <w:rsid w:val="00293ADF"/>
    <w:rsid w:val="00294786"/>
    <w:rsid w:val="00294D41"/>
    <w:rsid w:val="0029707C"/>
    <w:rsid w:val="00297894"/>
    <w:rsid w:val="002A01CC"/>
    <w:rsid w:val="002A2114"/>
    <w:rsid w:val="002A38F2"/>
    <w:rsid w:val="002A6074"/>
    <w:rsid w:val="002A68F9"/>
    <w:rsid w:val="002A6C50"/>
    <w:rsid w:val="002A7E98"/>
    <w:rsid w:val="002B1980"/>
    <w:rsid w:val="002B3029"/>
    <w:rsid w:val="002B3858"/>
    <w:rsid w:val="002B4675"/>
    <w:rsid w:val="002B57CD"/>
    <w:rsid w:val="002C2943"/>
    <w:rsid w:val="002C60A3"/>
    <w:rsid w:val="002C62A2"/>
    <w:rsid w:val="002C6B24"/>
    <w:rsid w:val="002C7384"/>
    <w:rsid w:val="002C74D8"/>
    <w:rsid w:val="002D29EB"/>
    <w:rsid w:val="002D3C39"/>
    <w:rsid w:val="002D44F9"/>
    <w:rsid w:val="002D6F3A"/>
    <w:rsid w:val="002D7278"/>
    <w:rsid w:val="002D78C8"/>
    <w:rsid w:val="002E00C2"/>
    <w:rsid w:val="002E27A2"/>
    <w:rsid w:val="002E444B"/>
    <w:rsid w:val="002E625E"/>
    <w:rsid w:val="002F6D94"/>
    <w:rsid w:val="00302C76"/>
    <w:rsid w:val="0030525E"/>
    <w:rsid w:val="003067AB"/>
    <w:rsid w:val="00306A22"/>
    <w:rsid w:val="003106F5"/>
    <w:rsid w:val="0031128C"/>
    <w:rsid w:val="003118E1"/>
    <w:rsid w:val="00311BBB"/>
    <w:rsid w:val="00314D3B"/>
    <w:rsid w:val="00316DB9"/>
    <w:rsid w:val="0031738D"/>
    <w:rsid w:val="00322F7C"/>
    <w:rsid w:val="00323EAE"/>
    <w:rsid w:val="003254EE"/>
    <w:rsid w:val="00326667"/>
    <w:rsid w:val="00326D9E"/>
    <w:rsid w:val="00327EDB"/>
    <w:rsid w:val="00333415"/>
    <w:rsid w:val="00333476"/>
    <w:rsid w:val="003339C4"/>
    <w:rsid w:val="00337D58"/>
    <w:rsid w:val="0034011E"/>
    <w:rsid w:val="00341610"/>
    <w:rsid w:val="00346262"/>
    <w:rsid w:val="003476C6"/>
    <w:rsid w:val="003506EF"/>
    <w:rsid w:val="0035141D"/>
    <w:rsid w:val="00352908"/>
    <w:rsid w:val="003538FE"/>
    <w:rsid w:val="003601CB"/>
    <w:rsid w:val="003607B3"/>
    <w:rsid w:val="00361EBA"/>
    <w:rsid w:val="003648ED"/>
    <w:rsid w:val="00364957"/>
    <w:rsid w:val="00364D3F"/>
    <w:rsid w:val="00367B4A"/>
    <w:rsid w:val="003704E4"/>
    <w:rsid w:val="003806AA"/>
    <w:rsid w:val="00382F13"/>
    <w:rsid w:val="003831CC"/>
    <w:rsid w:val="003841AD"/>
    <w:rsid w:val="0038474D"/>
    <w:rsid w:val="003848D9"/>
    <w:rsid w:val="00386000"/>
    <w:rsid w:val="003902C7"/>
    <w:rsid w:val="00393CDD"/>
    <w:rsid w:val="00394975"/>
    <w:rsid w:val="00396B6A"/>
    <w:rsid w:val="003A0E88"/>
    <w:rsid w:val="003A31B8"/>
    <w:rsid w:val="003A3421"/>
    <w:rsid w:val="003A44D0"/>
    <w:rsid w:val="003A5879"/>
    <w:rsid w:val="003B0613"/>
    <w:rsid w:val="003B0633"/>
    <w:rsid w:val="003B0D7E"/>
    <w:rsid w:val="003B4538"/>
    <w:rsid w:val="003B6A6C"/>
    <w:rsid w:val="003B7798"/>
    <w:rsid w:val="003B7D4A"/>
    <w:rsid w:val="003C0182"/>
    <w:rsid w:val="003C2BF3"/>
    <w:rsid w:val="003C5465"/>
    <w:rsid w:val="003C7CB2"/>
    <w:rsid w:val="003C7F8E"/>
    <w:rsid w:val="003D06C3"/>
    <w:rsid w:val="003D0E74"/>
    <w:rsid w:val="003D0FE1"/>
    <w:rsid w:val="003D11D8"/>
    <w:rsid w:val="003D3209"/>
    <w:rsid w:val="003D389B"/>
    <w:rsid w:val="003D43E3"/>
    <w:rsid w:val="003D586B"/>
    <w:rsid w:val="003D5B17"/>
    <w:rsid w:val="003D606D"/>
    <w:rsid w:val="003D72ED"/>
    <w:rsid w:val="003D7304"/>
    <w:rsid w:val="003E0403"/>
    <w:rsid w:val="003E3D25"/>
    <w:rsid w:val="003E3DD9"/>
    <w:rsid w:val="003E4A88"/>
    <w:rsid w:val="003E4E1F"/>
    <w:rsid w:val="003E6AD3"/>
    <w:rsid w:val="003E72B9"/>
    <w:rsid w:val="003F0824"/>
    <w:rsid w:val="003F0B5D"/>
    <w:rsid w:val="003F1DDA"/>
    <w:rsid w:val="003F3F0A"/>
    <w:rsid w:val="003F4D59"/>
    <w:rsid w:val="003F57EA"/>
    <w:rsid w:val="003F7649"/>
    <w:rsid w:val="003F7944"/>
    <w:rsid w:val="00400380"/>
    <w:rsid w:val="00405D47"/>
    <w:rsid w:val="004074C2"/>
    <w:rsid w:val="0040764C"/>
    <w:rsid w:val="0041030E"/>
    <w:rsid w:val="0041050A"/>
    <w:rsid w:val="004159E1"/>
    <w:rsid w:val="00415E69"/>
    <w:rsid w:val="00420504"/>
    <w:rsid w:val="00420BC7"/>
    <w:rsid w:val="00420CFF"/>
    <w:rsid w:val="004214F0"/>
    <w:rsid w:val="00424189"/>
    <w:rsid w:val="00427A87"/>
    <w:rsid w:val="00427CD2"/>
    <w:rsid w:val="004334DE"/>
    <w:rsid w:val="004364AB"/>
    <w:rsid w:val="00440DB6"/>
    <w:rsid w:val="00440DE2"/>
    <w:rsid w:val="00441100"/>
    <w:rsid w:val="004438DD"/>
    <w:rsid w:val="00443F84"/>
    <w:rsid w:val="00445331"/>
    <w:rsid w:val="0044577E"/>
    <w:rsid w:val="00446A36"/>
    <w:rsid w:val="004516B7"/>
    <w:rsid w:val="00451804"/>
    <w:rsid w:val="00453DD6"/>
    <w:rsid w:val="00454AAD"/>
    <w:rsid w:val="0045706E"/>
    <w:rsid w:val="00457F9A"/>
    <w:rsid w:val="00460840"/>
    <w:rsid w:val="00460EEB"/>
    <w:rsid w:val="00461C3F"/>
    <w:rsid w:val="004639D1"/>
    <w:rsid w:val="00465635"/>
    <w:rsid w:val="0046731A"/>
    <w:rsid w:val="00467A94"/>
    <w:rsid w:val="0047151B"/>
    <w:rsid w:val="00471F31"/>
    <w:rsid w:val="00472245"/>
    <w:rsid w:val="0047285F"/>
    <w:rsid w:val="00472B22"/>
    <w:rsid w:val="00472B4C"/>
    <w:rsid w:val="004737B3"/>
    <w:rsid w:val="004757F1"/>
    <w:rsid w:val="004829D2"/>
    <w:rsid w:val="004841BD"/>
    <w:rsid w:val="00485646"/>
    <w:rsid w:val="0048692D"/>
    <w:rsid w:val="004873DF"/>
    <w:rsid w:val="00491F81"/>
    <w:rsid w:val="00494B5C"/>
    <w:rsid w:val="0049504D"/>
    <w:rsid w:val="00495AC4"/>
    <w:rsid w:val="0049764B"/>
    <w:rsid w:val="00497A97"/>
    <w:rsid w:val="00497D4A"/>
    <w:rsid w:val="004A0AB4"/>
    <w:rsid w:val="004A20FE"/>
    <w:rsid w:val="004A56E9"/>
    <w:rsid w:val="004A6AF0"/>
    <w:rsid w:val="004A7267"/>
    <w:rsid w:val="004A761A"/>
    <w:rsid w:val="004A7787"/>
    <w:rsid w:val="004B2DE9"/>
    <w:rsid w:val="004B4AD8"/>
    <w:rsid w:val="004B5D68"/>
    <w:rsid w:val="004B6906"/>
    <w:rsid w:val="004B76D8"/>
    <w:rsid w:val="004C048B"/>
    <w:rsid w:val="004C0A1E"/>
    <w:rsid w:val="004C18C8"/>
    <w:rsid w:val="004C2888"/>
    <w:rsid w:val="004C3B37"/>
    <w:rsid w:val="004C55B2"/>
    <w:rsid w:val="004C619B"/>
    <w:rsid w:val="004C767D"/>
    <w:rsid w:val="004D03D3"/>
    <w:rsid w:val="004D0F08"/>
    <w:rsid w:val="004D176D"/>
    <w:rsid w:val="004D30C0"/>
    <w:rsid w:val="004D61A3"/>
    <w:rsid w:val="004E20E0"/>
    <w:rsid w:val="004E356D"/>
    <w:rsid w:val="004E3B13"/>
    <w:rsid w:val="004E702E"/>
    <w:rsid w:val="004F0E11"/>
    <w:rsid w:val="004F1ACE"/>
    <w:rsid w:val="004F23CB"/>
    <w:rsid w:val="004F3A8E"/>
    <w:rsid w:val="004F6698"/>
    <w:rsid w:val="004F7E61"/>
    <w:rsid w:val="00501972"/>
    <w:rsid w:val="00501CE0"/>
    <w:rsid w:val="005031C9"/>
    <w:rsid w:val="0050371D"/>
    <w:rsid w:val="00505F4D"/>
    <w:rsid w:val="00506DDC"/>
    <w:rsid w:val="00510058"/>
    <w:rsid w:val="00511DB8"/>
    <w:rsid w:val="00512301"/>
    <w:rsid w:val="005151B6"/>
    <w:rsid w:val="0052210D"/>
    <w:rsid w:val="005229C7"/>
    <w:rsid w:val="00526B09"/>
    <w:rsid w:val="0053067D"/>
    <w:rsid w:val="0053102C"/>
    <w:rsid w:val="0053202C"/>
    <w:rsid w:val="0053475A"/>
    <w:rsid w:val="00537341"/>
    <w:rsid w:val="00540086"/>
    <w:rsid w:val="00540948"/>
    <w:rsid w:val="005415C1"/>
    <w:rsid w:val="00542070"/>
    <w:rsid w:val="00543CFC"/>
    <w:rsid w:val="00544825"/>
    <w:rsid w:val="00553377"/>
    <w:rsid w:val="005559AC"/>
    <w:rsid w:val="00555D47"/>
    <w:rsid w:val="00557354"/>
    <w:rsid w:val="00560FF8"/>
    <w:rsid w:val="00563707"/>
    <w:rsid w:val="0056375D"/>
    <w:rsid w:val="00564FFB"/>
    <w:rsid w:val="00567A79"/>
    <w:rsid w:val="00567FB8"/>
    <w:rsid w:val="00570143"/>
    <w:rsid w:val="0057263D"/>
    <w:rsid w:val="005737E7"/>
    <w:rsid w:val="00575AB3"/>
    <w:rsid w:val="00581061"/>
    <w:rsid w:val="00581538"/>
    <w:rsid w:val="00584711"/>
    <w:rsid w:val="0058612D"/>
    <w:rsid w:val="005862CB"/>
    <w:rsid w:val="005866FE"/>
    <w:rsid w:val="0058731B"/>
    <w:rsid w:val="00587C85"/>
    <w:rsid w:val="00590311"/>
    <w:rsid w:val="00590DA2"/>
    <w:rsid w:val="00591714"/>
    <w:rsid w:val="00593FCB"/>
    <w:rsid w:val="005956D2"/>
    <w:rsid w:val="00596752"/>
    <w:rsid w:val="00597068"/>
    <w:rsid w:val="0059717B"/>
    <w:rsid w:val="005A2A71"/>
    <w:rsid w:val="005A589F"/>
    <w:rsid w:val="005A683A"/>
    <w:rsid w:val="005B1416"/>
    <w:rsid w:val="005B25C2"/>
    <w:rsid w:val="005B7BBB"/>
    <w:rsid w:val="005C1FA8"/>
    <w:rsid w:val="005C2B30"/>
    <w:rsid w:val="005C2E53"/>
    <w:rsid w:val="005C5E31"/>
    <w:rsid w:val="005C6DB8"/>
    <w:rsid w:val="005C7FC5"/>
    <w:rsid w:val="005E2161"/>
    <w:rsid w:val="005E265A"/>
    <w:rsid w:val="005E4242"/>
    <w:rsid w:val="005E5B90"/>
    <w:rsid w:val="005E78D5"/>
    <w:rsid w:val="005F1FA1"/>
    <w:rsid w:val="005F2397"/>
    <w:rsid w:val="005F27CE"/>
    <w:rsid w:val="005F410F"/>
    <w:rsid w:val="005F41A4"/>
    <w:rsid w:val="005F4A67"/>
    <w:rsid w:val="005F6CA0"/>
    <w:rsid w:val="005F73CB"/>
    <w:rsid w:val="005F7C0E"/>
    <w:rsid w:val="006031C7"/>
    <w:rsid w:val="00603FF8"/>
    <w:rsid w:val="006044A4"/>
    <w:rsid w:val="0061444D"/>
    <w:rsid w:val="00614AF7"/>
    <w:rsid w:val="00615197"/>
    <w:rsid w:val="0061566D"/>
    <w:rsid w:val="0061569B"/>
    <w:rsid w:val="00615F13"/>
    <w:rsid w:val="00616C52"/>
    <w:rsid w:val="006171BB"/>
    <w:rsid w:val="00617C1A"/>
    <w:rsid w:val="00621930"/>
    <w:rsid w:val="00621CFA"/>
    <w:rsid w:val="0062235E"/>
    <w:rsid w:val="006238D7"/>
    <w:rsid w:val="0063006C"/>
    <w:rsid w:val="00630F01"/>
    <w:rsid w:val="0063516A"/>
    <w:rsid w:val="006361B8"/>
    <w:rsid w:val="006363AB"/>
    <w:rsid w:val="00640DDC"/>
    <w:rsid w:val="00640E32"/>
    <w:rsid w:val="006416B8"/>
    <w:rsid w:val="00641C15"/>
    <w:rsid w:val="0064257F"/>
    <w:rsid w:val="00643998"/>
    <w:rsid w:val="006446EF"/>
    <w:rsid w:val="00646F89"/>
    <w:rsid w:val="0065441D"/>
    <w:rsid w:val="00654741"/>
    <w:rsid w:val="00654EB9"/>
    <w:rsid w:val="0065555C"/>
    <w:rsid w:val="006570FD"/>
    <w:rsid w:val="0066178D"/>
    <w:rsid w:val="00664962"/>
    <w:rsid w:val="00665983"/>
    <w:rsid w:val="006672D1"/>
    <w:rsid w:val="006676DB"/>
    <w:rsid w:val="0067070D"/>
    <w:rsid w:val="006717F4"/>
    <w:rsid w:val="00672DFD"/>
    <w:rsid w:val="00673A5D"/>
    <w:rsid w:val="006740CA"/>
    <w:rsid w:val="006755DA"/>
    <w:rsid w:val="0068063C"/>
    <w:rsid w:val="00681544"/>
    <w:rsid w:val="006828A2"/>
    <w:rsid w:val="0068588B"/>
    <w:rsid w:val="00685CDA"/>
    <w:rsid w:val="00690826"/>
    <w:rsid w:val="00690DDF"/>
    <w:rsid w:val="0069367A"/>
    <w:rsid w:val="006939AA"/>
    <w:rsid w:val="006947F9"/>
    <w:rsid w:val="006A0C15"/>
    <w:rsid w:val="006A11F3"/>
    <w:rsid w:val="006A1CCE"/>
    <w:rsid w:val="006A20FC"/>
    <w:rsid w:val="006A2E30"/>
    <w:rsid w:val="006A4D11"/>
    <w:rsid w:val="006B095A"/>
    <w:rsid w:val="006B2877"/>
    <w:rsid w:val="006B6FE3"/>
    <w:rsid w:val="006C0A73"/>
    <w:rsid w:val="006C7339"/>
    <w:rsid w:val="006C7B05"/>
    <w:rsid w:val="006D06AC"/>
    <w:rsid w:val="006D0B4F"/>
    <w:rsid w:val="006D1723"/>
    <w:rsid w:val="006D190C"/>
    <w:rsid w:val="006D2BF8"/>
    <w:rsid w:val="006D3912"/>
    <w:rsid w:val="006D5DE2"/>
    <w:rsid w:val="006D6021"/>
    <w:rsid w:val="006D67FE"/>
    <w:rsid w:val="006D775D"/>
    <w:rsid w:val="006E0EBA"/>
    <w:rsid w:val="006E1180"/>
    <w:rsid w:val="006E1603"/>
    <w:rsid w:val="006E45E6"/>
    <w:rsid w:val="006E46A6"/>
    <w:rsid w:val="006E50D8"/>
    <w:rsid w:val="006E68E2"/>
    <w:rsid w:val="006F1A44"/>
    <w:rsid w:val="006F1F3F"/>
    <w:rsid w:val="006F2008"/>
    <w:rsid w:val="006F295C"/>
    <w:rsid w:val="006F4954"/>
    <w:rsid w:val="00700B40"/>
    <w:rsid w:val="00700D03"/>
    <w:rsid w:val="00710349"/>
    <w:rsid w:val="0071363C"/>
    <w:rsid w:val="00713F27"/>
    <w:rsid w:val="007176B0"/>
    <w:rsid w:val="00717D74"/>
    <w:rsid w:val="00720A09"/>
    <w:rsid w:val="00721577"/>
    <w:rsid w:val="00721909"/>
    <w:rsid w:val="0072261E"/>
    <w:rsid w:val="00727724"/>
    <w:rsid w:val="00730747"/>
    <w:rsid w:val="00730D4B"/>
    <w:rsid w:val="00732418"/>
    <w:rsid w:val="00732550"/>
    <w:rsid w:val="00732F48"/>
    <w:rsid w:val="00734286"/>
    <w:rsid w:val="00735FBA"/>
    <w:rsid w:val="007361A8"/>
    <w:rsid w:val="00741A7A"/>
    <w:rsid w:val="00745420"/>
    <w:rsid w:val="00745E17"/>
    <w:rsid w:val="007460E3"/>
    <w:rsid w:val="00746F60"/>
    <w:rsid w:val="00747B2E"/>
    <w:rsid w:val="00750622"/>
    <w:rsid w:val="007510A9"/>
    <w:rsid w:val="007522AD"/>
    <w:rsid w:val="00752603"/>
    <w:rsid w:val="00752F58"/>
    <w:rsid w:val="00754EF4"/>
    <w:rsid w:val="007573FE"/>
    <w:rsid w:val="00760DAB"/>
    <w:rsid w:val="007620B0"/>
    <w:rsid w:val="0076365D"/>
    <w:rsid w:val="007636AA"/>
    <w:rsid w:val="007636EC"/>
    <w:rsid w:val="00763D9A"/>
    <w:rsid w:val="00766407"/>
    <w:rsid w:val="00770511"/>
    <w:rsid w:val="00775886"/>
    <w:rsid w:val="00775D69"/>
    <w:rsid w:val="007763AA"/>
    <w:rsid w:val="00776598"/>
    <w:rsid w:val="00776740"/>
    <w:rsid w:val="00776D5A"/>
    <w:rsid w:val="00777132"/>
    <w:rsid w:val="00781115"/>
    <w:rsid w:val="00785684"/>
    <w:rsid w:val="00785E01"/>
    <w:rsid w:val="0078731A"/>
    <w:rsid w:val="00787DB4"/>
    <w:rsid w:val="007908F8"/>
    <w:rsid w:val="00791CA8"/>
    <w:rsid w:val="00792F0D"/>
    <w:rsid w:val="007939AE"/>
    <w:rsid w:val="00794975"/>
    <w:rsid w:val="00795EC5"/>
    <w:rsid w:val="007A1369"/>
    <w:rsid w:val="007A2B57"/>
    <w:rsid w:val="007A53F3"/>
    <w:rsid w:val="007A5E06"/>
    <w:rsid w:val="007B1924"/>
    <w:rsid w:val="007B3557"/>
    <w:rsid w:val="007B3709"/>
    <w:rsid w:val="007B4F8D"/>
    <w:rsid w:val="007B5B73"/>
    <w:rsid w:val="007C08CB"/>
    <w:rsid w:val="007C0D0E"/>
    <w:rsid w:val="007C3173"/>
    <w:rsid w:val="007C79E5"/>
    <w:rsid w:val="007C7D03"/>
    <w:rsid w:val="007D1F8A"/>
    <w:rsid w:val="007D2483"/>
    <w:rsid w:val="007D29EC"/>
    <w:rsid w:val="007D2BD2"/>
    <w:rsid w:val="007D31ED"/>
    <w:rsid w:val="007D36BF"/>
    <w:rsid w:val="007D4078"/>
    <w:rsid w:val="007D5177"/>
    <w:rsid w:val="007D527C"/>
    <w:rsid w:val="007D551D"/>
    <w:rsid w:val="007D5AF3"/>
    <w:rsid w:val="007D7553"/>
    <w:rsid w:val="007E00EC"/>
    <w:rsid w:val="007E0EFD"/>
    <w:rsid w:val="007E2CD1"/>
    <w:rsid w:val="007E55CE"/>
    <w:rsid w:val="007E7BF4"/>
    <w:rsid w:val="007F1C3E"/>
    <w:rsid w:val="007F30DD"/>
    <w:rsid w:val="007F406D"/>
    <w:rsid w:val="007F53B6"/>
    <w:rsid w:val="007F613E"/>
    <w:rsid w:val="007F6F39"/>
    <w:rsid w:val="008005D0"/>
    <w:rsid w:val="00800D90"/>
    <w:rsid w:val="00804FD6"/>
    <w:rsid w:val="00807E79"/>
    <w:rsid w:val="008104AE"/>
    <w:rsid w:val="00812635"/>
    <w:rsid w:val="00812EA4"/>
    <w:rsid w:val="00814CE6"/>
    <w:rsid w:val="0081626D"/>
    <w:rsid w:val="008165E0"/>
    <w:rsid w:val="00816D51"/>
    <w:rsid w:val="00817704"/>
    <w:rsid w:val="00820AC8"/>
    <w:rsid w:val="00820DFF"/>
    <w:rsid w:val="00822DEA"/>
    <w:rsid w:val="00824375"/>
    <w:rsid w:val="0082550B"/>
    <w:rsid w:val="008260D6"/>
    <w:rsid w:val="0082619F"/>
    <w:rsid w:val="00826853"/>
    <w:rsid w:val="00826877"/>
    <w:rsid w:val="008319A1"/>
    <w:rsid w:val="008403A8"/>
    <w:rsid w:val="0084345F"/>
    <w:rsid w:val="008435BF"/>
    <w:rsid w:val="00843863"/>
    <w:rsid w:val="008505D5"/>
    <w:rsid w:val="00850F7F"/>
    <w:rsid w:val="008537BB"/>
    <w:rsid w:val="00853B56"/>
    <w:rsid w:val="00853EAB"/>
    <w:rsid w:val="00855012"/>
    <w:rsid w:val="00855F26"/>
    <w:rsid w:val="00857B29"/>
    <w:rsid w:val="00861DCA"/>
    <w:rsid w:val="00861DDA"/>
    <w:rsid w:val="00861E49"/>
    <w:rsid w:val="00864F3F"/>
    <w:rsid w:val="00867235"/>
    <w:rsid w:val="00867EB8"/>
    <w:rsid w:val="00870225"/>
    <w:rsid w:val="008718D4"/>
    <w:rsid w:val="00872C0E"/>
    <w:rsid w:val="00872D48"/>
    <w:rsid w:val="008731B2"/>
    <w:rsid w:val="00874927"/>
    <w:rsid w:val="00874F7C"/>
    <w:rsid w:val="00877BA8"/>
    <w:rsid w:val="00880F5D"/>
    <w:rsid w:val="00882014"/>
    <w:rsid w:val="00882EE4"/>
    <w:rsid w:val="00883C80"/>
    <w:rsid w:val="00883FE6"/>
    <w:rsid w:val="008842A6"/>
    <w:rsid w:val="0088649C"/>
    <w:rsid w:val="0088715E"/>
    <w:rsid w:val="00887C44"/>
    <w:rsid w:val="00887C68"/>
    <w:rsid w:val="008935EC"/>
    <w:rsid w:val="00895B0F"/>
    <w:rsid w:val="00897EF3"/>
    <w:rsid w:val="008A4446"/>
    <w:rsid w:val="008B2260"/>
    <w:rsid w:val="008B2E76"/>
    <w:rsid w:val="008B4563"/>
    <w:rsid w:val="008B48FB"/>
    <w:rsid w:val="008B649E"/>
    <w:rsid w:val="008B73E7"/>
    <w:rsid w:val="008C25C4"/>
    <w:rsid w:val="008D2836"/>
    <w:rsid w:val="008D397A"/>
    <w:rsid w:val="008D5333"/>
    <w:rsid w:val="008D6BCE"/>
    <w:rsid w:val="008E0718"/>
    <w:rsid w:val="008E12E2"/>
    <w:rsid w:val="008E16A9"/>
    <w:rsid w:val="008E4016"/>
    <w:rsid w:val="008E4665"/>
    <w:rsid w:val="008E6216"/>
    <w:rsid w:val="008F0C72"/>
    <w:rsid w:val="008F10BC"/>
    <w:rsid w:val="008F4A03"/>
    <w:rsid w:val="008F4C07"/>
    <w:rsid w:val="008F5792"/>
    <w:rsid w:val="008F6C58"/>
    <w:rsid w:val="008F6F33"/>
    <w:rsid w:val="00900988"/>
    <w:rsid w:val="00902C9F"/>
    <w:rsid w:val="00903A5A"/>
    <w:rsid w:val="00903C41"/>
    <w:rsid w:val="00904C21"/>
    <w:rsid w:val="009148DF"/>
    <w:rsid w:val="009150A4"/>
    <w:rsid w:val="0091600C"/>
    <w:rsid w:val="00920880"/>
    <w:rsid w:val="00921516"/>
    <w:rsid w:val="009231A0"/>
    <w:rsid w:val="009247FA"/>
    <w:rsid w:val="00927395"/>
    <w:rsid w:val="00927427"/>
    <w:rsid w:val="009314E6"/>
    <w:rsid w:val="00932143"/>
    <w:rsid w:val="00933D56"/>
    <w:rsid w:val="00933F4F"/>
    <w:rsid w:val="00936D28"/>
    <w:rsid w:val="00940E41"/>
    <w:rsid w:val="00942610"/>
    <w:rsid w:val="009427F9"/>
    <w:rsid w:val="00942D19"/>
    <w:rsid w:val="0094346E"/>
    <w:rsid w:val="00943C0E"/>
    <w:rsid w:val="00943FB9"/>
    <w:rsid w:val="009441CD"/>
    <w:rsid w:val="00953B2D"/>
    <w:rsid w:val="0096258D"/>
    <w:rsid w:val="00963D26"/>
    <w:rsid w:val="00964965"/>
    <w:rsid w:val="00970756"/>
    <w:rsid w:val="00972326"/>
    <w:rsid w:val="0097425D"/>
    <w:rsid w:val="0098123D"/>
    <w:rsid w:val="00990995"/>
    <w:rsid w:val="009912EC"/>
    <w:rsid w:val="00993214"/>
    <w:rsid w:val="009947C6"/>
    <w:rsid w:val="00994C98"/>
    <w:rsid w:val="0099694D"/>
    <w:rsid w:val="0099719D"/>
    <w:rsid w:val="009A08E1"/>
    <w:rsid w:val="009A1D11"/>
    <w:rsid w:val="009A498D"/>
    <w:rsid w:val="009B0ADC"/>
    <w:rsid w:val="009B2440"/>
    <w:rsid w:val="009B2DD4"/>
    <w:rsid w:val="009B56A2"/>
    <w:rsid w:val="009B763B"/>
    <w:rsid w:val="009B7DFA"/>
    <w:rsid w:val="009B7E43"/>
    <w:rsid w:val="009C0AC8"/>
    <w:rsid w:val="009C0D5C"/>
    <w:rsid w:val="009C369E"/>
    <w:rsid w:val="009C4BAD"/>
    <w:rsid w:val="009C6668"/>
    <w:rsid w:val="009C7D60"/>
    <w:rsid w:val="009D0F51"/>
    <w:rsid w:val="009D28C4"/>
    <w:rsid w:val="009D33B5"/>
    <w:rsid w:val="009D40FC"/>
    <w:rsid w:val="009D5042"/>
    <w:rsid w:val="009D7349"/>
    <w:rsid w:val="009E01CD"/>
    <w:rsid w:val="009E07F1"/>
    <w:rsid w:val="009E0B31"/>
    <w:rsid w:val="009E2736"/>
    <w:rsid w:val="009E4D6F"/>
    <w:rsid w:val="009F0A5B"/>
    <w:rsid w:val="009F451A"/>
    <w:rsid w:val="009F4B82"/>
    <w:rsid w:val="009F5DFA"/>
    <w:rsid w:val="009F67B1"/>
    <w:rsid w:val="00A000A9"/>
    <w:rsid w:val="00A078DE"/>
    <w:rsid w:val="00A12868"/>
    <w:rsid w:val="00A1720A"/>
    <w:rsid w:val="00A239F5"/>
    <w:rsid w:val="00A23B5E"/>
    <w:rsid w:val="00A2524C"/>
    <w:rsid w:val="00A2678B"/>
    <w:rsid w:val="00A271CE"/>
    <w:rsid w:val="00A32954"/>
    <w:rsid w:val="00A33308"/>
    <w:rsid w:val="00A368FF"/>
    <w:rsid w:val="00A36EF1"/>
    <w:rsid w:val="00A37262"/>
    <w:rsid w:val="00A374C6"/>
    <w:rsid w:val="00A40719"/>
    <w:rsid w:val="00A4786D"/>
    <w:rsid w:val="00A503D7"/>
    <w:rsid w:val="00A519A7"/>
    <w:rsid w:val="00A51B51"/>
    <w:rsid w:val="00A523E8"/>
    <w:rsid w:val="00A544D8"/>
    <w:rsid w:val="00A55E29"/>
    <w:rsid w:val="00A566E6"/>
    <w:rsid w:val="00A60973"/>
    <w:rsid w:val="00A638E9"/>
    <w:rsid w:val="00A67FFB"/>
    <w:rsid w:val="00A70542"/>
    <w:rsid w:val="00A72054"/>
    <w:rsid w:val="00A728B2"/>
    <w:rsid w:val="00A72DDA"/>
    <w:rsid w:val="00A7332A"/>
    <w:rsid w:val="00A738C2"/>
    <w:rsid w:val="00A76A63"/>
    <w:rsid w:val="00A81267"/>
    <w:rsid w:val="00A81BE8"/>
    <w:rsid w:val="00A83AE3"/>
    <w:rsid w:val="00A83C73"/>
    <w:rsid w:val="00A853D0"/>
    <w:rsid w:val="00A8733B"/>
    <w:rsid w:val="00A94792"/>
    <w:rsid w:val="00A95230"/>
    <w:rsid w:val="00A964B8"/>
    <w:rsid w:val="00AA0D79"/>
    <w:rsid w:val="00AA1A33"/>
    <w:rsid w:val="00AA3334"/>
    <w:rsid w:val="00AA508D"/>
    <w:rsid w:val="00AA782B"/>
    <w:rsid w:val="00AA7889"/>
    <w:rsid w:val="00AA7FCF"/>
    <w:rsid w:val="00AB1719"/>
    <w:rsid w:val="00AB632B"/>
    <w:rsid w:val="00AB6AA9"/>
    <w:rsid w:val="00AC4B45"/>
    <w:rsid w:val="00AC5148"/>
    <w:rsid w:val="00AC539F"/>
    <w:rsid w:val="00AC559C"/>
    <w:rsid w:val="00AC5849"/>
    <w:rsid w:val="00AC7E96"/>
    <w:rsid w:val="00AD016E"/>
    <w:rsid w:val="00AD38A4"/>
    <w:rsid w:val="00AD3BCC"/>
    <w:rsid w:val="00AD503F"/>
    <w:rsid w:val="00AD54E9"/>
    <w:rsid w:val="00AD67F3"/>
    <w:rsid w:val="00AD7345"/>
    <w:rsid w:val="00AE35E9"/>
    <w:rsid w:val="00AE367C"/>
    <w:rsid w:val="00AE45CE"/>
    <w:rsid w:val="00AE5B77"/>
    <w:rsid w:val="00AF3100"/>
    <w:rsid w:val="00AF3688"/>
    <w:rsid w:val="00AF4F1F"/>
    <w:rsid w:val="00AF4FA5"/>
    <w:rsid w:val="00AF7150"/>
    <w:rsid w:val="00AF7915"/>
    <w:rsid w:val="00B022DC"/>
    <w:rsid w:val="00B02927"/>
    <w:rsid w:val="00B03DD9"/>
    <w:rsid w:val="00B05EF5"/>
    <w:rsid w:val="00B0698D"/>
    <w:rsid w:val="00B1066D"/>
    <w:rsid w:val="00B114E0"/>
    <w:rsid w:val="00B1249A"/>
    <w:rsid w:val="00B14A00"/>
    <w:rsid w:val="00B14C4B"/>
    <w:rsid w:val="00B166D6"/>
    <w:rsid w:val="00B16C33"/>
    <w:rsid w:val="00B17C11"/>
    <w:rsid w:val="00B21BCA"/>
    <w:rsid w:val="00B220F7"/>
    <w:rsid w:val="00B23A49"/>
    <w:rsid w:val="00B24137"/>
    <w:rsid w:val="00B24FE1"/>
    <w:rsid w:val="00B2520F"/>
    <w:rsid w:val="00B260FC"/>
    <w:rsid w:val="00B26A39"/>
    <w:rsid w:val="00B30594"/>
    <w:rsid w:val="00B31455"/>
    <w:rsid w:val="00B31FF3"/>
    <w:rsid w:val="00B3265A"/>
    <w:rsid w:val="00B33DB7"/>
    <w:rsid w:val="00B341DF"/>
    <w:rsid w:val="00B34222"/>
    <w:rsid w:val="00B34843"/>
    <w:rsid w:val="00B4322A"/>
    <w:rsid w:val="00B44F3A"/>
    <w:rsid w:val="00B4511A"/>
    <w:rsid w:val="00B45CB1"/>
    <w:rsid w:val="00B46677"/>
    <w:rsid w:val="00B468CE"/>
    <w:rsid w:val="00B47063"/>
    <w:rsid w:val="00B47099"/>
    <w:rsid w:val="00B47D73"/>
    <w:rsid w:val="00B50CB2"/>
    <w:rsid w:val="00B570C6"/>
    <w:rsid w:val="00B577DC"/>
    <w:rsid w:val="00B57ACA"/>
    <w:rsid w:val="00B6102E"/>
    <w:rsid w:val="00B61579"/>
    <w:rsid w:val="00B6216B"/>
    <w:rsid w:val="00B64F75"/>
    <w:rsid w:val="00B66A26"/>
    <w:rsid w:val="00B66FCE"/>
    <w:rsid w:val="00B678FF"/>
    <w:rsid w:val="00B71A70"/>
    <w:rsid w:val="00B71E4E"/>
    <w:rsid w:val="00B72C7A"/>
    <w:rsid w:val="00B7354A"/>
    <w:rsid w:val="00B762B9"/>
    <w:rsid w:val="00B76847"/>
    <w:rsid w:val="00B76B15"/>
    <w:rsid w:val="00B77A37"/>
    <w:rsid w:val="00B80E36"/>
    <w:rsid w:val="00B83018"/>
    <w:rsid w:val="00B83C1D"/>
    <w:rsid w:val="00B8550D"/>
    <w:rsid w:val="00B85EBB"/>
    <w:rsid w:val="00B86C7B"/>
    <w:rsid w:val="00B907C8"/>
    <w:rsid w:val="00B90F09"/>
    <w:rsid w:val="00B91D0A"/>
    <w:rsid w:val="00B9439B"/>
    <w:rsid w:val="00B9573B"/>
    <w:rsid w:val="00B968F6"/>
    <w:rsid w:val="00B97C36"/>
    <w:rsid w:val="00BA0CD4"/>
    <w:rsid w:val="00BA1072"/>
    <w:rsid w:val="00BA5728"/>
    <w:rsid w:val="00BA58E9"/>
    <w:rsid w:val="00BA7ACB"/>
    <w:rsid w:val="00BB0CC4"/>
    <w:rsid w:val="00BB2772"/>
    <w:rsid w:val="00BB391B"/>
    <w:rsid w:val="00BB61D4"/>
    <w:rsid w:val="00BB622D"/>
    <w:rsid w:val="00BC1417"/>
    <w:rsid w:val="00BC6459"/>
    <w:rsid w:val="00BD2625"/>
    <w:rsid w:val="00BD327B"/>
    <w:rsid w:val="00BD4BD4"/>
    <w:rsid w:val="00BD6E3F"/>
    <w:rsid w:val="00BD7E46"/>
    <w:rsid w:val="00BE2315"/>
    <w:rsid w:val="00BE34D3"/>
    <w:rsid w:val="00BE4F31"/>
    <w:rsid w:val="00BE5147"/>
    <w:rsid w:val="00BE6D3C"/>
    <w:rsid w:val="00BE7A6E"/>
    <w:rsid w:val="00BF063C"/>
    <w:rsid w:val="00BF3040"/>
    <w:rsid w:val="00BF347F"/>
    <w:rsid w:val="00BF47BB"/>
    <w:rsid w:val="00BF6340"/>
    <w:rsid w:val="00BF75F5"/>
    <w:rsid w:val="00BF7C2D"/>
    <w:rsid w:val="00C0231C"/>
    <w:rsid w:val="00C03976"/>
    <w:rsid w:val="00C04648"/>
    <w:rsid w:val="00C060ED"/>
    <w:rsid w:val="00C07C84"/>
    <w:rsid w:val="00C100BD"/>
    <w:rsid w:val="00C1184E"/>
    <w:rsid w:val="00C1218D"/>
    <w:rsid w:val="00C12ED7"/>
    <w:rsid w:val="00C139E4"/>
    <w:rsid w:val="00C16142"/>
    <w:rsid w:val="00C16DB2"/>
    <w:rsid w:val="00C20103"/>
    <w:rsid w:val="00C22DEE"/>
    <w:rsid w:val="00C302AE"/>
    <w:rsid w:val="00C359C0"/>
    <w:rsid w:val="00C36304"/>
    <w:rsid w:val="00C44E62"/>
    <w:rsid w:val="00C464D0"/>
    <w:rsid w:val="00C47BB5"/>
    <w:rsid w:val="00C47ED3"/>
    <w:rsid w:val="00C50935"/>
    <w:rsid w:val="00C55BC0"/>
    <w:rsid w:val="00C565AC"/>
    <w:rsid w:val="00C6175F"/>
    <w:rsid w:val="00C63446"/>
    <w:rsid w:val="00C6387D"/>
    <w:rsid w:val="00C660CB"/>
    <w:rsid w:val="00C66A6A"/>
    <w:rsid w:val="00C71598"/>
    <w:rsid w:val="00C71CF6"/>
    <w:rsid w:val="00C742F7"/>
    <w:rsid w:val="00C744E9"/>
    <w:rsid w:val="00C75F3F"/>
    <w:rsid w:val="00C81DC8"/>
    <w:rsid w:val="00C85F37"/>
    <w:rsid w:val="00C86F7F"/>
    <w:rsid w:val="00C87032"/>
    <w:rsid w:val="00C9076B"/>
    <w:rsid w:val="00C911A1"/>
    <w:rsid w:val="00C91FE0"/>
    <w:rsid w:val="00C9238A"/>
    <w:rsid w:val="00C92B16"/>
    <w:rsid w:val="00C93B8C"/>
    <w:rsid w:val="00C94324"/>
    <w:rsid w:val="00C9506F"/>
    <w:rsid w:val="00C953D0"/>
    <w:rsid w:val="00C960CA"/>
    <w:rsid w:val="00C9623B"/>
    <w:rsid w:val="00C96E90"/>
    <w:rsid w:val="00C97399"/>
    <w:rsid w:val="00C97914"/>
    <w:rsid w:val="00CA2F9B"/>
    <w:rsid w:val="00CA363D"/>
    <w:rsid w:val="00CA47C0"/>
    <w:rsid w:val="00CA47FB"/>
    <w:rsid w:val="00CA4BD5"/>
    <w:rsid w:val="00CB0A58"/>
    <w:rsid w:val="00CB240F"/>
    <w:rsid w:val="00CB3C50"/>
    <w:rsid w:val="00CB3CF0"/>
    <w:rsid w:val="00CB3D75"/>
    <w:rsid w:val="00CB54E6"/>
    <w:rsid w:val="00CC01CA"/>
    <w:rsid w:val="00CC230B"/>
    <w:rsid w:val="00CC4B44"/>
    <w:rsid w:val="00CC7E31"/>
    <w:rsid w:val="00CD03E6"/>
    <w:rsid w:val="00CD25FA"/>
    <w:rsid w:val="00CD2C70"/>
    <w:rsid w:val="00CD2F28"/>
    <w:rsid w:val="00CD2FC4"/>
    <w:rsid w:val="00CD377D"/>
    <w:rsid w:val="00CD4E8F"/>
    <w:rsid w:val="00CD7D0C"/>
    <w:rsid w:val="00CE08A9"/>
    <w:rsid w:val="00CE2603"/>
    <w:rsid w:val="00CE3B26"/>
    <w:rsid w:val="00CE4BCF"/>
    <w:rsid w:val="00CE6807"/>
    <w:rsid w:val="00CE7D7D"/>
    <w:rsid w:val="00CE7EE0"/>
    <w:rsid w:val="00CF246D"/>
    <w:rsid w:val="00CF2BA1"/>
    <w:rsid w:val="00CF3411"/>
    <w:rsid w:val="00CF4E10"/>
    <w:rsid w:val="00CF6688"/>
    <w:rsid w:val="00CF6CF3"/>
    <w:rsid w:val="00CF6D18"/>
    <w:rsid w:val="00D00C11"/>
    <w:rsid w:val="00D011FE"/>
    <w:rsid w:val="00D02428"/>
    <w:rsid w:val="00D027D6"/>
    <w:rsid w:val="00D02F66"/>
    <w:rsid w:val="00D03FBD"/>
    <w:rsid w:val="00D04097"/>
    <w:rsid w:val="00D0421D"/>
    <w:rsid w:val="00D048F0"/>
    <w:rsid w:val="00D04FD5"/>
    <w:rsid w:val="00D05244"/>
    <w:rsid w:val="00D06438"/>
    <w:rsid w:val="00D10403"/>
    <w:rsid w:val="00D1396B"/>
    <w:rsid w:val="00D15270"/>
    <w:rsid w:val="00D22168"/>
    <w:rsid w:val="00D22E5A"/>
    <w:rsid w:val="00D24A41"/>
    <w:rsid w:val="00D250F2"/>
    <w:rsid w:val="00D253CB"/>
    <w:rsid w:val="00D25FEF"/>
    <w:rsid w:val="00D26137"/>
    <w:rsid w:val="00D26521"/>
    <w:rsid w:val="00D27654"/>
    <w:rsid w:val="00D27B90"/>
    <w:rsid w:val="00D304CC"/>
    <w:rsid w:val="00D311A0"/>
    <w:rsid w:val="00D33ED9"/>
    <w:rsid w:val="00D353FF"/>
    <w:rsid w:val="00D3547F"/>
    <w:rsid w:val="00D402CA"/>
    <w:rsid w:val="00D41FA1"/>
    <w:rsid w:val="00D42124"/>
    <w:rsid w:val="00D441E3"/>
    <w:rsid w:val="00D47C72"/>
    <w:rsid w:val="00D512E8"/>
    <w:rsid w:val="00D5154C"/>
    <w:rsid w:val="00D51EB4"/>
    <w:rsid w:val="00D528F8"/>
    <w:rsid w:val="00D533CC"/>
    <w:rsid w:val="00D535B2"/>
    <w:rsid w:val="00D53918"/>
    <w:rsid w:val="00D54579"/>
    <w:rsid w:val="00D55949"/>
    <w:rsid w:val="00D57D96"/>
    <w:rsid w:val="00D6445B"/>
    <w:rsid w:val="00D64AEB"/>
    <w:rsid w:val="00D65B7C"/>
    <w:rsid w:val="00D66BAC"/>
    <w:rsid w:val="00D7298E"/>
    <w:rsid w:val="00D72B9B"/>
    <w:rsid w:val="00D72EBF"/>
    <w:rsid w:val="00D7306B"/>
    <w:rsid w:val="00D73F48"/>
    <w:rsid w:val="00D74CA2"/>
    <w:rsid w:val="00D80F89"/>
    <w:rsid w:val="00D8166A"/>
    <w:rsid w:val="00D83EC9"/>
    <w:rsid w:val="00D8699C"/>
    <w:rsid w:val="00D87D23"/>
    <w:rsid w:val="00D9031F"/>
    <w:rsid w:val="00D92BA1"/>
    <w:rsid w:val="00D94582"/>
    <w:rsid w:val="00D94B5C"/>
    <w:rsid w:val="00D953D0"/>
    <w:rsid w:val="00D9553B"/>
    <w:rsid w:val="00D96595"/>
    <w:rsid w:val="00DA2624"/>
    <w:rsid w:val="00DA2C01"/>
    <w:rsid w:val="00DA52A1"/>
    <w:rsid w:val="00DA57EA"/>
    <w:rsid w:val="00DA5FB6"/>
    <w:rsid w:val="00DB260E"/>
    <w:rsid w:val="00DB3650"/>
    <w:rsid w:val="00DB464E"/>
    <w:rsid w:val="00DB4E5A"/>
    <w:rsid w:val="00DB583D"/>
    <w:rsid w:val="00DB596F"/>
    <w:rsid w:val="00DB6C10"/>
    <w:rsid w:val="00DB76FD"/>
    <w:rsid w:val="00DB7D57"/>
    <w:rsid w:val="00DC1AAD"/>
    <w:rsid w:val="00DC1D7F"/>
    <w:rsid w:val="00DC26A8"/>
    <w:rsid w:val="00DC2B87"/>
    <w:rsid w:val="00DC72DD"/>
    <w:rsid w:val="00DD05D1"/>
    <w:rsid w:val="00DD30D7"/>
    <w:rsid w:val="00DD3375"/>
    <w:rsid w:val="00DD4E40"/>
    <w:rsid w:val="00DD5B79"/>
    <w:rsid w:val="00DD7653"/>
    <w:rsid w:val="00DE05D0"/>
    <w:rsid w:val="00DE09D1"/>
    <w:rsid w:val="00DE1963"/>
    <w:rsid w:val="00DE4E50"/>
    <w:rsid w:val="00DE6D6C"/>
    <w:rsid w:val="00DE72AE"/>
    <w:rsid w:val="00DF0C7D"/>
    <w:rsid w:val="00DF20CC"/>
    <w:rsid w:val="00DF32BA"/>
    <w:rsid w:val="00DF3AA4"/>
    <w:rsid w:val="00DF52A1"/>
    <w:rsid w:val="00DF5A61"/>
    <w:rsid w:val="00DF5AC4"/>
    <w:rsid w:val="00DF6163"/>
    <w:rsid w:val="00DF701F"/>
    <w:rsid w:val="00E04D02"/>
    <w:rsid w:val="00E0639E"/>
    <w:rsid w:val="00E1053D"/>
    <w:rsid w:val="00E10752"/>
    <w:rsid w:val="00E14FBD"/>
    <w:rsid w:val="00E15A31"/>
    <w:rsid w:val="00E1601C"/>
    <w:rsid w:val="00E17694"/>
    <w:rsid w:val="00E20808"/>
    <w:rsid w:val="00E209AB"/>
    <w:rsid w:val="00E20ABB"/>
    <w:rsid w:val="00E20F42"/>
    <w:rsid w:val="00E224A0"/>
    <w:rsid w:val="00E24101"/>
    <w:rsid w:val="00E2529A"/>
    <w:rsid w:val="00E27EFF"/>
    <w:rsid w:val="00E30808"/>
    <w:rsid w:val="00E30B0A"/>
    <w:rsid w:val="00E315E6"/>
    <w:rsid w:val="00E33BD8"/>
    <w:rsid w:val="00E3514F"/>
    <w:rsid w:val="00E37090"/>
    <w:rsid w:val="00E419AD"/>
    <w:rsid w:val="00E43575"/>
    <w:rsid w:val="00E439DC"/>
    <w:rsid w:val="00E44277"/>
    <w:rsid w:val="00E4458D"/>
    <w:rsid w:val="00E52140"/>
    <w:rsid w:val="00E52904"/>
    <w:rsid w:val="00E553CF"/>
    <w:rsid w:val="00E5570F"/>
    <w:rsid w:val="00E5728B"/>
    <w:rsid w:val="00E57E6E"/>
    <w:rsid w:val="00E60CFC"/>
    <w:rsid w:val="00E62A0A"/>
    <w:rsid w:val="00E646DE"/>
    <w:rsid w:val="00E649BA"/>
    <w:rsid w:val="00E65E53"/>
    <w:rsid w:val="00E66786"/>
    <w:rsid w:val="00E70C5D"/>
    <w:rsid w:val="00E71EBB"/>
    <w:rsid w:val="00E731C5"/>
    <w:rsid w:val="00E73AF7"/>
    <w:rsid w:val="00E74ECF"/>
    <w:rsid w:val="00E8308E"/>
    <w:rsid w:val="00E834C8"/>
    <w:rsid w:val="00E874CE"/>
    <w:rsid w:val="00E903F6"/>
    <w:rsid w:val="00E90654"/>
    <w:rsid w:val="00E949CD"/>
    <w:rsid w:val="00E9702D"/>
    <w:rsid w:val="00EA008D"/>
    <w:rsid w:val="00EA1AC1"/>
    <w:rsid w:val="00EA256E"/>
    <w:rsid w:val="00EA2FB5"/>
    <w:rsid w:val="00EA38A2"/>
    <w:rsid w:val="00EA3DAF"/>
    <w:rsid w:val="00EA4541"/>
    <w:rsid w:val="00EA6932"/>
    <w:rsid w:val="00EA780B"/>
    <w:rsid w:val="00EB18E3"/>
    <w:rsid w:val="00EB3275"/>
    <w:rsid w:val="00EB5A36"/>
    <w:rsid w:val="00EB687F"/>
    <w:rsid w:val="00EB6F8A"/>
    <w:rsid w:val="00EB70E0"/>
    <w:rsid w:val="00EB7C5A"/>
    <w:rsid w:val="00EC0398"/>
    <w:rsid w:val="00EC0E54"/>
    <w:rsid w:val="00EC32C5"/>
    <w:rsid w:val="00EC3738"/>
    <w:rsid w:val="00EC5289"/>
    <w:rsid w:val="00ED1B18"/>
    <w:rsid w:val="00ED23EA"/>
    <w:rsid w:val="00ED6A83"/>
    <w:rsid w:val="00EE024A"/>
    <w:rsid w:val="00EE2F79"/>
    <w:rsid w:val="00EE30C0"/>
    <w:rsid w:val="00EE3809"/>
    <w:rsid w:val="00EE48A1"/>
    <w:rsid w:val="00EE5B35"/>
    <w:rsid w:val="00EE7A9F"/>
    <w:rsid w:val="00EF265D"/>
    <w:rsid w:val="00EF4DB3"/>
    <w:rsid w:val="00F0015F"/>
    <w:rsid w:val="00F005ED"/>
    <w:rsid w:val="00F029D8"/>
    <w:rsid w:val="00F05AC8"/>
    <w:rsid w:val="00F073E1"/>
    <w:rsid w:val="00F1101F"/>
    <w:rsid w:val="00F1161F"/>
    <w:rsid w:val="00F12C8D"/>
    <w:rsid w:val="00F140D0"/>
    <w:rsid w:val="00F1483F"/>
    <w:rsid w:val="00F154C2"/>
    <w:rsid w:val="00F1582F"/>
    <w:rsid w:val="00F16CEC"/>
    <w:rsid w:val="00F17949"/>
    <w:rsid w:val="00F179DA"/>
    <w:rsid w:val="00F20075"/>
    <w:rsid w:val="00F23756"/>
    <w:rsid w:val="00F27F2F"/>
    <w:rsid w:val="00F340BE"/>
    <w:rsid w:val="00F36324"/>
    <w:rsid w:val="00F36354"/>
    <w:rsid w:val="00F40F81"/>
    <w:rsid w:val="00F41611"/>
    <w:rsid w:val="00F45FCB"/>
    <w:rsid w:val="00F45FE1"/>
    <w:rsid w:val="00F46920"/>
    <w:rsid w:val="00F4723C"/>
    <w:rsid w:val="00F47ABF"/>
    <w:rsid w:val="00F5054C"/>
    <w:rsid w:val="00F5270E"/>
    <w:rsid w:val="00F52901"/>
    <w:rsid w:val="00F529FD"/>
    <w:rsid w:val="00F56471"/>
    <w:rsid w:val="00F57863"/>
    <w:rsid w:val="00F57A10"/>
    <w:rsid w:val="00F60F02"/>
    <w:rsid w:val="00F625ED"/>
    <w:rsid w:val="00F63C58"/>
    <w:rsid w:val="00F65BDF"/>
    <w:rsid w:val="00F67A8B"/>
    <w:rsid w:val="00F71566"/>
    <w:rsid w:val="00F7223A"/>
    <w:rsid w:val="00F7227C"/>
    <w:rsid w:val="00F73B18"/>
    <w:rsid w:val="00F73EEC"/>
    <w:rsid w:val="00F74749"/>
    <w:rsid w:val="00F74C4E"/>
    <w:rsid w:val="00F75086"/>
    <w:rsid w:val="00F754BE"/>
    <w:rsid w:val="00F75D1D"/>
    <w:rsid w:val="00F75FFE"/>
    <w:rsid w:val="00F76081"/>
    <w:rsid w:val="00F77478"/>
    <w:rsid w:val="00F778A0"/>
    <w:rsid w:val="00F80987"/>
    <w:rsid w:val="00F80B6A"/>
    <w:rsid w:val="00F81856"/>
    <w:rsid w:val="00F82964"/>
    <w:rsid w:val="00F84B27"/>
    <w:rsid w:val="00F84BF0"/>
    <w:rsid w:val="00F8779D"/>
    <w:rsid w:val="00F87A51"/>
    <w:rsid w:val="00F90284"/>
    <w:rsid w:val="00F90F4B"/>
    <w:rsid w:val="00F916A2"/>
    <w:rsid w:val="00F94D2D"/>
    <w:rsid w:val="00F95CEC"/>
    <w:rsid w:val="00F95E28"/>
    <w:rsid w:val="00F96AB0"/>
    <w:rsid w:val="00F972E0"/>
    <w:rsid w:val="00FA0D65"/>
    <w:rsid w:val="00FA34EB"/>
    <w:rsid w:val="00FA5464"/>
    <w:rsid w:val="00FA600A"/>
    <w:rsid w:val="00FB1A6D"/>
    <w:rsid w:val="00FB4124"/>
    <w:rsid w:val="00FB4F0A"/>
    <w:rsid w:val="00FB5291"/>
    <w:rsid w:val="00FC570F"/>
    <w:rsid w:val="00FC733D"/>
    <w:rsid w:val="00FC7364"/>
    <w:rsid w:val="00FC76B3"/>
    <w:rsid w:val="00FD3BAB"/>
    <w:rsid w:val="00FD3FC2"/>
    <w:rsid w:val="00FD4352"/>
    <w:rsid w:val="00FD58D9"/>
    <w:rsid w:val="00FE0766"/>
    <w:rsid w:val="00FE1274"/>
    <w:rsid w:val="00FE32C5"/>
    <w:rsid w:val="00FE338A"/>
    <w:rsid w:val="00FE3C09"/>
    <w:rsid w:val="00FE52F2"/>
    <w:rsid w:val="00FE7E62"/>
    <w:rsid w:val="00FF1037"/>
    <w:rsid w:val="00FF4CBE"/>
    <w:rsid w:val="00FF5548"/>
    <w:rsid w:val="00FF61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5520E"/>
  <w15:chartTrackingRefBased/>
  <w15:docId w15:val="{A0911118-5EB8-48BD-9982-9B4D9343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136"/>
    <w:pPr>
      <w:widowControl w:val="0"/>
    </w:pPr>
    <w:rPr>
      <w:rFonts w:ascii="Times New Roman" w:eastAsia="華康楷書體W5"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77136"/>
    <w:pPr>
      <w:tabs>
        <w:tab w:val="center" w:pos="4153"/>
        <w:tab w:val="right" w:pos="8306"/>
      </w:tabs>
      <w:snapToGrid w:val="0"/>
    </w:pPr>
    <w:rPr>
      <w:sz w:val="20"/>
    </w:rPr>
  </w:style>
  <w:style w:type="character" w:customStyle="1" w:styleId="a4">
    <w:name w:val="頁首 字元"/>
    <w:basedOn w:val="a0"/>
    <w:link w:val="a3"/>
    <w:uiPriority w:val="99"/>
    <w:rsid w:val="00177136"/>
    <w:rPr>
      <w:sz w:val="20"/>
      <w:szCs w:val="20"/>
    </w:rPr>
  </w:style>
  <w:style w:type="paragraph" w:styleId="a5">
    <w:name w:val="footer"/>
    <w:basedOn w:val="a"/>
    <w:link w:val="a6"/>
    <w:unhideWhenUsed/>
    <w:rsid w:val="00177136"/>
    <w:pPr>
      <w:tabs>
        <w:tab w:val="center" w:pos="4153"/>
        <w:tab w:val="right" w:pos="8306"/>
      </w:tabs>
      <w:snapToGrid w:val="0"/>
    </w:pPr>
    <w:rPr>
      <w:sz w:val="20"/>
    </w:rPr>
  </w:style>
  <w:style w:type="character" w:customStyle="1" w:styleId="a6">
    <w:name w:val="頁尾 字元"/>
    <w:basedOn w:val="a0"/>
    <w:link w:val="a5"/>
    <w:uiPriority w:val="99"/>
    <w:rsid w:val="00177136"/>
    <w:rPr>
      <w:sz w:val="20"/>
      <w:szCs w:val="20"/>
    </w:rPr>
  </w:style>
  <w:style w:type="paragraph" w:styleId="a7">
    <w:name w:val="Body Text"/>
    <w:basedOn w:val="a"/>
    <w:link w:val="a8"/>
    <w:rsid w:val="00177136"/>
    <w:pPr>
      <w:adjustRightInd w:val="0"/>
      <w:jc w:val="center"/>
      <w:textAlignment w:val="baseline"/>
    </w:pPr>
    <w:rPr>
      <w:rFonts w:eastAsia="標楷體"/>
      <w:kern w:val="0"/>
    </w:rPr>
  </w:style>
  <w:style w:type="character" w:customStyle="1" w:styleId="a8">
    <w:name w:val="本文 字元"/>
    <w:basedOn w:val="a0"/>
    <w:link w:val="a7"/>
    <w:rsid w:val="00177136"/>
    <w:rPr>
      <w:rFonts w:ascii="Times New Roman" w:eastAsia="標楷體" w:hAnsi="Times New Roman" w:cs="Times New Roman"/>
      <w:kern w:val="0"/>
      <w:szCs w:val="20"/>
    </w:rPr>
  </w:style>
  <w:style w:type="character" w:styleId="a9">
    <w:name w:val="page number"/>
    <w:basedOn w:val="a0"/>
    <w:rsid w:val="00177136"/>
  </w:style>
  <w:style w:type="paragraph" w:styleId="aa">
    <w:name w:val="Body Text Indent"/>
    <w:basedOn w:val="a"/>
    <w:link w:val="ab"/>
    <w:rsid w:val="00177136"/>
    <w:pPr>
      <w:spacing w:line="360" w:lineRule="auto"/>
      <w:ind w:left="1066" w:hanging="227"/>
      <w:jc w:val="both"/>
    </w:pPr>
    <w:rPr>
      <w:rFonts w:ascii="華康楷書體W5"/>
      <w:spacing w:val="20"/>
      <w:sz w:val="28"/>
    </w:rPr>
  </w:style>
  <w:style w:type="character" w:customStyle="1" w:styleId="ab">
    <w:name w:val="本文縮排 字元"/>
    <w:basedOn w:val="a0"/>
    <w:link w:val="aa"/>
    <w:rsid w:val="00177136"/>
    <w:rPr>
      <w:rFonts w:ascii="華康楷書體W5" w:eastAsia="華康楷書體W5" w:hAnsi="Times New Roman" w:cs="Times New Roman"/>
      <w:spacing w:val="20"/>
      <w:sz w:val="28"/>
      <w:szCs w:val="20"/>
    </w:rPr>
  </w:style>
  <w:style w:type="paragraph" w:styleId="2">
    <w:name w:val="Body Text 2"/>
    <w:basedOn w:val="a"/>
    <w:link w:val="20"/>
    <w:rsid w:val="00177136"/>
    <w:rPr>
      <w:rFonts w:eastAsia="標楷體"/>
      <w:sz w:val="16"/>
    </w:rPr>
  </w:style>
  <w:style w:type="character" w:customStyle="1" w:styleId="20">
    <w:name w:val="本文 2 字元"/>
    <w:basedOn w:val="a0"/>
    <w:link w:val="2"/>
    <w:rsid w:val="00177136"/>
    <w:rPr>
      <w:rFonts w:ascii="Times New Roman" w:eastAsia="標楷體" w:hAnsi="Times New Roman" w:cs="Times New Roman"/>
      <w:sz w:val="16"/>
      <w:szCs w:val="20"/>
    </w:rPr>
  </w:style>
  <w:style w:type="paragraph" w:styleId="21">
    <w:name w:val="Body Text Indent 2"/>
    <w:basedOn w:val="a"/>
    <w:link w:val="22"/>
    <w:rsid w:val="00177136"/>
    <w:pPr>
      <w:spacing w:line="360" w:lineRule="auto"/>
      <w:ind w:left="800"/>
      <w:jc w:val="both"/>
    </w:pPr>
    <w:rPr>
      <w:rFonts w:ascii="標楷體" w:eastAsia="標楷體"/>
      <w:spacing w:val="20"/>
      <w:sz w:val="30"/>
    </w:rPr>
  </w:style>
  <w:style w:type="character" w:customStyle="1" w:styleId="22">
    <w:name w:val="本文縮排 2 字元"/>
    <w:basedOn w:val="a0"/>
    <w:link w:val="21"/>
    <w:rsid w:val="00177136"/>
    <w:rPr>
      <w:rFonts w:ascii="標楷體" w:eastAsia="標楷體" w:hAnsi="Times New Roman" w:cs="Times New Roman"/>
      <w:spacing w:val="20"/>
      <w:sz w:val="30"/>
      <w:szCs w:val="20"/>
    </w:rPr>
  </w:style>
  <w:style w:type="paragraph" w:styleId="3">
    <w:name w:val="Body Text Indent 3"/>
    <w:basedOn w:val="a"/>
    <w:link w:val="30"/>
    <w:rsid w:val="00177136"/>
    <w:pPr>
      <w:spacing w:line="360" w:lineRule="auto"/>
      <w:ind w:left="800"/>
      <w:jc w:val="both"/>
    </w:pPr>
    <w:rPr>
      <w:rFonts w:ascii="標楷體" w:eastAsia="標楷體"/>
      <w:color w:val="000000"/>
      <w:spacing w:val="20"/>
      <w:sz w:val="30"/>
    </w:rPr>
  </w:style>
  <w:style w:type="character" w:customStyle="1" w:styleId="30">
    <w:name w:val="本文縮排 3 字元"/>
    <w:basedOn w:val="a0"/>
    <w:link w:val="3"/>
    <w:rsid w:val="00177136"/>
    <w:rPr>
      <w:rFonts w:ascii="標楷體" w:eastAsia="標楷體" w:hAnsi="Times New Roman" w:cs="Times New Roman"/>
      <w:color w:val="000000"/>
      <w:spacing w:val="20"/>
      <w:sz w:val="30"/>
      <w:szCs w:val="20"/>
    </w:rPr>
  </w:style>
  <w:style w:type="character" w:styleId="ac">
    <w:name w:val="annotation reference"/>
    <w:semiHidden/>
    <w:rsid w:val="00177136"/>
    <w:rPr>
      <w:sz w:val="18"/>
    </w:rPr>
  </w:style>
  <w:style w:type="paragraph" w:styleId="ad">
    <w:name w:val="annotation text"/>
    <w:basedOn w:val="a"/>
    <w:link w:val="ae"/>
    <w:semiHidden/>
    <w:rsid w:val="00177136"/>
  </w:style>
  <w:style w:type="character" w:customStyle="1" w:styleId="ae">
    <w:name w:val="註解文字 字元"/>
    <w:basedOn w:val="a0"/>
    <w:link w:val="ad"/>
    <w:semiHidden/>
    <w:rsid w:val="00177136"/>
    <w:rPr>
      <w:rFonts w:ascii="Times New Roman" w:eastAsia="華康楷書體W5" w:hAnsi="Times New Roman" w:cs="Times New Roman"/>
      <w:szCs w:val="20"/>
    </w:rPr>
  </w:style>
  <w:style w:type="paragraph" w:styleId="31">
    <w:name w:val="Body Text 3"/>
    <w:basedOn w:val="a"/>
    <w:link w:val="32"/>
    <w:rsid w:val="00177136"/>
    <w:rPr>
      <w:rFonts w:eastAsia="標楷體"/>
      <w:sz w:val="20"/>
    </w:rPr>
  </w:style>
  <w:style w:type="character" w:customStyle="1" w:styleId="32">
    <w:name w:val="本文 3 字元"/>
    <w:basedOn w:val="a0"/>
    <w:link w:val="31"/>
    <w:rsid w:val="00177136"/>
    <w:rPr>
      <w:rFonts w:ascii="Times New Roman" w:eastAsia="標楷體" w:hAnsi="Times New Roman" w:cs="Times New Roman"/>
      <w:sz w:val="20"/>
      <w:szCs w:val="20"/>
    </w:rPr>
  </w:style>
  <w:style w:type="paragraph" w:styleId="af">
    <w:name w:val="Date"/>
    <w:basedOn w:val="a"/>
    <w:next w:val="a"/>
    <w:link w:val="af0"/>
    <w:rsid w:val="00177136"/>
    <w:pPr>
      <w:jc w:val="right"/>
    </w:pPr>
    <w:rPr>
      <w:rFonts w:eastAsia="標楷體"/>
      <w:sz w:val="20"/>
    </w:rPr>
  </w:style>
  <w:style w:type="character" w:customStyle="1" w:styleId="af0">
    <w:name w:val="日期 字元"/>
    <w:basedOn w:val="a0"/>
    <w:link w:val="af"/>
    <w:rsid w:val="00177136"/>
    <w:rPr>
      <w:rFonts w:ascii="Times New Roman" w:eastAsia="標楷體" w:hAnsi="Times New Roman" w:cs="Times New Roman"/>
      <w:sz w:val="20"/>
      <w:szCs w:val="20"/>
    </w:rPr>
  </w:style>
  <w:style w:type="paragraph" w:styleId="af1">
    <w:name w:val="Balloon Text"/>
    <w:basedOn w:val="a"/>
    <w:link w:val="af2"/>
    <w:semiHidden/>
    <w:rsid w:val="00177136"/>
    <w:rPr>
      <w:rFonts w:ascii="Arial" w:eastAsia="新細明體" w:hAnsi="Arial"/>
      <w:sz w:val="18"/>
      <w:szCs w:val="18"/>
    </w:rPr>
  </w:style>
  <w:style w:type="character" w:customStyle="1" w:styleId="af2">
    <w:name w:val="註解方塊文字 字元"/>
    <w:basedOn w:val="a0"/>
    <w:link w:val="af1"/>
    <w:semiHidden/>
    <w:rsid w:val="00177136"/>
    <w:rPr>
      <w:rFonts w:ascii="Arial" w:eastAsia="新細明體" w:hAnsi="Arial" w:cs="Times New Roman"/>
      <w:sz w:val="18"/>
      <w:szCs w:val="18"/>
    </w:rPr>
  </w:style>
  <w:style w:type="table" w:styleId="af3">
    <w:name w:val="Table Grid"/>
    <w:basedOn w:val="a1"/>
    <w:rsid w:val="0017713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38474D"/>
    <w:pPr>
      <w:ind w:leftChars="200" w:left="480"/>
    </w:pPr>
  </w:style>
  <w:style w:type="paragraph" w:styleId="Web">
    <w:name w:val="Normal (Web)"/>
    <w:basedOn w:val="a"/>
    <w:uiPriority w:val="99"/>
    <w:semiHidden/>
    <w:unhideWhenUsed/>
    <w:rsid w:val="00E70C5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2256">
      <w:bodyDiv w:val="1"/>
      <w:marLeft w:val="0"/>
      <w:marRight w:val="0"/>
      <w:marTop w:val="0"/>
      <w:marBottom w:val="0"/>
      <w:divBdr>
        <w:top w:val="none" w:sz="0" w:space="0" w:color="auto"/>
        <w:left w:val="none" w:sz="0" w:space="0" w:color="auto"/>
        <w:bottom w:val="none" w:sz="0" w:space="0" w:color="auto"/>
        <w:right w:val="none" w:sz="0" w:space="0" w:color="auto"/>
      </w:divBdr>
    </w:div>
    <w:div w:id="229966175">
      <w:bodyDiv w:val="1"/>
      <w:marLeft w:val="0"/>
      <w:marRight w:val="0"/>
      <w:marTop w:val="0"/>
      <w:marBottom w:val="0"/>
      <w:divBdr>
        <w:top w:val="none" w:sz="0" w:space="0" w:color="auto"/>
        <w:left w:val="none" w:sz="0" w:space="0" w:color="auto"/>
        <w:bottom w:val="none" w:sz="0" w:space="0" w:color="auto"/>
        <w:right w:val="none" w:sz="0" w:space="0" w:color="auto"/>
      </w:divBdr>
    </w:div>
    <w:div w:id="255941511">
      <w:bodyDiv w:val="1"/>
      <w:marLeft w:val="0"/>
      <w:marRight w:val="0"/>
      <w:marTop w:val="0"/>
      <w:marBottom w:val="0"/>
      <w:divBdr>
        <w:top w:val="none" w:sz="0" w:space="0" w:color="auto"/>
        <w:left w:val="none" w:sz="0" w:space="0" w:color="auto"/>
        <w:bottom w:val="none" w:sz="0" w:space="0" w:color="auto"/>
        <w:right w:val="none" w:sz="0" w:space="0" w:color="auto"/>
      </w:divBdr>
    </w:div>
    <w:div w:id="298146879">
      <w:bodyDiv w:val="1"/>
      <w:marLeft w:val="0"/>
      <w:marRight w:val="0"/>
      <w:marTop w:val="0"/>
      <w:marBottom w:val="0"/>
      <w:divBdr>
        <w:top w:val="none" w:sz="0" w:space="0" w:color="auto"/>
        <w:left w:val="none" w:sz="0" w:space="0" w:color="auto"/>
        <w:bottom w:val="none" w:sz="0" w:space="0" w:color="auto"/>
        <w:right w:val="none" w:sz="0" w:space="0" w:color="auto"/>
      </w:divBdr>
    </w:div>
    <w:div w:id="482700783">
      <w:bodyDiv w:val="1"/>
      <w:marLeft w:val="0"/>
      <w:marRight w:val="0"/>
      <w:marTop w:val="0"/>
      <w:marBottom w:val="0"/>
      <w:divBdr>
        <w:top w:val="none" w:sz="0" w:space="0" w:color="auto"/>
        <w:left w:val="none" w:sz="0" w:space="0" w:color="auto"/>
        <w:bottom w:val="none" w:sz="0" w:space="0" w:color="auto"/>
        <w:right w:val="none" w:sz="0" w:space="0" w:color="auto"/>
      </w:divBdr>
    </w:div>
    <w:div w:id="716586934">
      <w:bodyDiv w:val="1"/>
      <w:marLeft w:val="0"/>
      <w:marRight w:val="0"/>
      <w:marTop w:val="0"/>
      <w:marBottom w:val="0"/>
      <w:divBdr>
        <w:top w:val="none" w:sz="0" w:space="0" w:color="auto"/>
        <w:left w:val="none" w:sz="0" w:space="0" w:color="auto"/>
        <w:bottom w:val="none" w:sz="0" w:space="0" w:color="auto"/>
        <w:right w:val="none" w:sz="0" w:space="0" w:color="auto"/>
      </w:divBdr>
    </w:div>
    <w:div w:id="785856653">
      <w:bodyDiv w:val="1"/>
      <w:marLeft w:val="0"/>
      <w:marRight w:val="0"/>
      <w:marTop w:val="0"/>
      <w:marBottom w:val="0"/>
      <w:divBdr>
        <w:top w:val="none" w:sz="0" w:space="0" w:color="auto"/>
        <w:left w:val="none" w:sz="0" w:space="0" w:color="auto"/>
        <w:bottom w:val="none" w:sz="0" w:space="0" w:color="auto"/>
        <w:right w:val="none" w:sz="0" w:space="0" w:color="auto"/>
      </w:divBdr>
    </w:div>
    <w:div w:id="997151418">
      <w:bodyDiv w:val="1"/>
      <w:marLeft w:val="0"/>
      <w:marRight w:val="0"/>
      <w:marTop w:val="0"/>
      <w:marBottom w:val="0"/>
      <w:divBdr>
        <w:top w:val="none" w:sz="0" w:space="0" w:color="auto"/>
        <w:left w:val="none" w:sz="0" w:space="0" w:color="auto"/>
        <w:bottom w:val="none" w:sz="0" w:space="0" w:color="auto"/>
        <w:right w:val="none" w:sz="0" w:space="0" w:color="auto"/>
      </w:divBdr>
    </w:div>
    <w:div w:id="1086924535">
      <w:bodyDiv w:val="1"/>
      <w:marLeft w:val="0"/>
      <w:marRight w:val="0"/>
      <w:marTop w:val="0"/>
      <w:marBottom w:val="0"/>
      <w:divBdr>
        <w:top w:val="none" w:sz="0" w:space="0" w:color="auto"/>
        <w:left w:val="none" w:sz="0" w:space="0" w:color="auto"/>
        <w:bottom w:val="none" w:sz="0" w:space="0" w:color="auto"/>
        <w:right w:val="none" w:sz="0" w:space="0" w:color="auto"/>
      </w:divBdr>
    </w:div>
    <w:div w:id="1097364271">
      <w:bodyDiv w:val="1"/>
      <w:marLeft w:val="0"/>
      <w:marRight w:val="0"/>
      <w:marTop w:val="0"/>
      <w:marBottom w:val="0"/>
      <w:divBdr>
        <w:top w:val="none" w:sz="0" w:space="0" w:color="auto"/>
        <w:left w:val="none" w:sz="0" w:space="0" w:color="auto"/>
        <w:bottom w:val="none" w:sz="0" w:space="0" w:color="auto"/>
        <w:right w:val="none" w:sz="0" w:space="0" w:color="auto"/>
      </w:divBdr>
    </w:div>
    <w:div w:id="1240214386">
      <w:bodyDiv w:val="1"/>
      <w:marLeft w:val="0"/>
      <w:marRight w:val="0"/>
      <w:marTop w:val="0"/>
      <w:marBottom w:val="0"/>
      <w:divBdr>
        <w:top w:val="none" w:sz="0" w:space="0" w:color="auto"/>
        <w:left w:val="none" w:sz="0" w:space="0" w:color="auto"/>
        <w:bottom w:val="none" w:sz="0" w:space="0" w:color="auto"/>
        <w:right w:val="none" w:sz="0" w:space="0" w:color="auto"/>
      </w:divBdr>
    </w:div>
    <w:div w:id="1619296085">
      <w:bodyDiv w:val="1"/>
      <w:marLeft w:val="0"/>
      <w:marRight w:val="0"/>
      <w:marTop w:val="0"/>
      <w:marBottom w:val="0"/>
      <w:divBdr>
        <w:top w:val="none" w:sz="0" w:space="0" w:color="auto"/>
        <w:left w:val="none" w:sz="0" w:space="0" w:color="auto"/>
        <w:bottom w:val="none" w:sz="0" w:space="0" w:color="auto"/>
        <w:right w:val="none" w:sz="0" w:space="0" w:color="auto"/>
      </w:divBdr>
    </w:div>
    <w:div w:id="1641381733">
      <w:bodyDiv w:val="1"/>
      <w:marLeft w:val="0"/>
      <w:marRight w:val="0"/>
      <w:marTop w:val="0"/>
      <w:marBottom w:val="0"/>
      <w:divBdr>
        <w:top w:val="none" w:sz="0" w:space="0" w:color="auto"/>
        <w:left w:val="none" w:sz="0" w:space="0" w:color="auto"/>
        <w:bottom w:val="none" w:sz="0" w:space="0" w:color="auto"/>
        <w:right w:val="none" w:sz="0" w:space="0" w:color="auto"/>
      </w:divBdr>
    </w:div>
    <w:div w:id="1745682440">
      <w:bodyDiv w:val="1"/>
      <w:marLeft w:val="0"/>
      <w:marRight w:val="0"/>
      <w:marTop w:val="0"/>
      <w:marBottom w:val="0"/>
      <w:divBdr>
        <w:top w:val="none" w:sz="0" w:space="0" w:color="auto"/>
        <w:left w:val="none" w:sz="0" w:space="0" w:color="auto"/>
        <w:bottom w:val="none" w:sz="0" w:space="0" w:color="auto"/>
        <w:right w:val="none" w:sz="0" w:space="0" w:color="auto"/>
      </w:divBdr>
    </w:div>
    <w:div w:id="1901090854">
      <w:bodyDiv w:val="1"/>
      <w:marLeft w:val="0"/>
      <w:marRight w:val="0"/>
      <w:marTop w:val="0"/>
      <w:marBottom w:val="0"/>
      <w:divBdr>
        <w:top w:val="none" w:sz="0" w:space="0" w:color="auto"/>
        <w:left w:val="none" w:sz="0" w:space="0" w:color="auto"/>
        <w:bottom w:val="none" w:sz="0" w:space="0" w:color="auto"/>
        <w:right w:val="none" w:sz="0" w:space="0" w:color="auto"/>
      </w:divBdr>
    </w:div>
    <w:div w:id="213590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F13895-732A-4F87-A9C3-DB011FCD144C}" type="doc">
      <dgm:prSet loTypeId="urn:microsoft.com/office/officeart/2005/8/layout/arrow6" loCatId="relationship" qsTypeId="urn:microsoft.com/office/officeart/2005/8/quickstyle/simple1" qsCatId="simple" csTypeId="urn:microsoft.com/office/officeart/2005/8/colors/accent1_2" csCatId="accent1" phldr="1"/>
      <dgm:spPr/>
      <dgm:t>
        <a:bodyPr/>
        <a:lstStyle/>
        <a:p>
          <a:endParaRPr lang="zh-TW" altLang="en-US"/>
        </a:p>
      </dgm:t>
    </dgm:pt>
    <dgm:pt modelId="{3BA943F9-495B-462D-A520-0D938CC76217}">
      <dgm:prSet phldrT="[文字]" custT="1"/>
      <dgm:spPr/>
      <dgm:t>
        <a:bodyPr/>
        <a:lstStyle/>
        <a:p>
          <a:r>
            <a:rPr lang="zh-TW" altLang="en-US" sz="1400" b="1">
              <a:solidFill>
                <a:schemeClr val="accent2">
                  <a:lumMod val="75000"/>
                </a:schemeClr>
              </a:solidFill>
              <a:latin typeface="標楷體" panose="03000509000000000000" pitchFamily="65" charset="-120"/>
              <a:ea typeface="標楷體" panose="03000509000000000000" pitchFamily="65" charset="-120"/>
            </a:rPr>
            <a:t>按分配項目分</a:t>
          </a:r>
        </a:p>
      </dgm:t>
    </dgm:pt>
    <dgm:pt modelId="{68449235-BEDC-4B44-BE07-EA219DC574C5}" type="parTrans" cxnId="{6E95CF93-FB49-4DB3-AF31-7F73D61C88F8}">
      <dgm:prSet/>
      <dgm:spPr/>
      <dgm:t>
        <a:bodyPr/>
        <a:lstStyle/>
        <a:p>
          <a:endParaRPr lang="zh-TW" altLang="en-US"/>
        </a:p>
      </dgm:t>
    </dgm:pt>
    <dgm:pt modelId="{BDB64CE4-2123-45EC-96EF-A394C6199D9F}" type="sibTrans" cxnId="{6E95CF93-FB49-4DB3-AF31-7F73D61C88F8}">
      <dgm:prSet/>
      <dgm:spPr/>
      <dgm:t>
        <a:bodyPr/>
        <a:lstStyle/>
        <a:p>
          <a:endParaRPr lang="zh-TW" altLang="en-US"/>
        </a:p>
      </dgm:t>
    </dgm:pt>
    <dgm:pt modelId="{E3FCDA4B-DE93-4376-A37C-BB2EA80BA98F}">
      <dgm:prSet phldrT="[文字]" custT="1"/>
      <dgm:spPr/>
      <dgm:t>
        <a:bodyPr/>
        <a:lstStyle/>
        <a:p>
          <a:pPr rtl="0"/>
          <a:r>
            <a:rPr lang="zh-TW" altLang="en-US" sz="1400" b="1" i="0" baseline="0">
              <a:solidFill>
                <a:schemeClr val="accent2">
                  <a:lumMod val="75000"/>
                </a:schemeClr>
              </a:solidFill>
              <a:effectLst/>
              <a:latin typeface="標楷體" panose="03000509000000000000" pitchFamily="65" charset="-120"/>
              <a:ea typeface="標楷體" panose="03000509000000000000" pitchFamily="65" charset="-120"/>
            </a:rPr>
            <a:t>按所得對象分</a:t>
          </a:r>
          <a:endParaRPr lang="zh-TW" altLang="en-US" sz="1400">
            <a:solidFill>
              <a:schemeClr val="accent2">
                <a:lumMod val="75000"/>
              </a:schemeClr>
            </a:solidFill>
          </a:endParaRPr>
        </a:p>
      </dgm:t>
    </dgm:pt>
    <dgm:pt modelId="{990ED276-083F-4F91-B330-06568EBB3DB5}" type="parTrans" cxnId="{D18AEFAB-63BF-46F5-8797-7327561D5B7C}">
      <dgm:prSet/>
      <dgm:spPr/>
      <dgm:t>
        <a:bodyPr/>
        <a:lstStyle/>
        <a:p>
          <a:endParaRPr lang="zh-TW" altLang="en-US"/>
        </a:p>
      </dgm:t>
    </dgm:pt>
    <dgm:pt modelId="{368FF589-98B9-4217-BFD6-1DC6D7AD4AC7}" type="sibTrans" cxnId="{D18AEFAB-63BF-46F5-8797-7327561D5B7C}">
      <dgm:prSet/>
      <dgm:spPr/>
      <dgm:t>
        <a:bodyPr/>
        <a:lstStyle/>
        <a:p>
          <a:endParaRPr lang="zh-TW" altLang="en-US"/>
        </a:p>
      </dgm:t>
    </dgm:pt>
    <dgm:pt modelId="{78CCB8E8-765A-4E1B-92B6-293C7EFDEEF7}" type="pres">
      <dgm:prSet presAssocID="{82F13895-732A-4F87-A9C3-DB011FCD144C}" presName="compositeShape" presStyleCnt="0">
        <dgm:presLayoutVars>
          <dgm:chMax val="2"/>
          <dgm:dir/>
          <dgm:resizeHandles val="exact"/>
        </dgm:presLayoutVars>
      </dgm:prSet>
      <dgm:spPr/>
      <dgm:t>
        <a:bodyPr/>
        <a:lstStyle/>
        <a:p>
          <a:endParaRPr lang="zh-TW" altLang="en-US"/>
        </a:p>
      </dgm:t>
    </dgm:pt>
    <dgm:pt modelId="{ED110DC2-B802-46FC-8A40-8DA6E325FCEB}" type="pres">
      <dgm:prSet presAssocID="{82F13895-732A-4F87-A9C3-DB011FCD144C}" presName="ribbon" presStyleLbl="node1" presStyleIdx="0" presStyleCnt="1" custAng="0" custScaleX="164275" custLinFactNeighborX="18427"/>
      <dgm:spPr>
        <a:solidFill>
          <a:schemeClr val="accent4">
            <a:lumMod val="40000"/>
            <a:lumOff val="60000"/>
          </a:schemeClr>
        </a:solidFill>
      </dgm:spPr>
      <dgm:t>
        <a:bodyPr/>
        <a:lstStyle/>
        <a:p>
          <a:endParaRPr lang="zh-TW" altLang="en-US"/>
        </a:p>
      </dgm:t>
    </dgm:pt>
    <dgm:pt modelId="{BC50166E-69E5-430F-AF51-8CB2EC048F1D}" type="pres">
      <dgm:prSet presAssocID="{82F13895-732A-4F87-A9C3-DB011FCD144C}" presName="leftArrowText" presStyleLbl="node1" presStyleIdx="0" presStyleCnt="1" custScaleX="202009" custLinFactNeighborX="-44944" custLinFactNeighborY="2293">
        <dgm:presLayoutVars>
          <dgm:chMax val="0"/>
          <dgm:bulletEnabled val="1"/>
        </dgm:presLayoutVars>
      </dgm:prSet>
      <dgm:spPr/>
      <dgm:t>
        <a:bodyPr/>
        <a:lstStyle/>
        <a:p>
          <a:endParaRPr lang="zh-TW" altLang="en-US"/>
        </a:p>
      </dgm:t>
    </dgm:pt>
    <dgm:pt modelId="{2B497B9E-C988-4611-B54D-3F3D98BFB1BB}" type="pres">
      <dgm:prSet presAssocID="{82F13895-732A-4F87-A9C3-DB011FCD144C}" presName="rightArrowText" presStyleLbl="node1" presStyleIdx="0" presStyleCnt="1" custScaleX="206540" custLinFactNeighborX="34572" custLinFactNeighborY="2293">
        <dgm:presLayoutVars>
          <dgm:chMax val="0"/>
          <dgm:bulletEnabled val="1"/>
        </dgm:presLayoutVars>
      </dgm:prSet>
      <dgm:spPr/>
      <dgm:t>
        <a:bodyPr/>
        <a:lstStyle/>
        <a:p>
          <a:endParaRPr lang="zh-TW" altLang="en-US"/>
        </a:p>
      </dgm:t>
    </dgm:pt>
  </dgm:ptLst>
  <dgm:cxnLst>
    <dgm:cxn modelId="{D18AEFAB-63BF-46F5-8797-7327561D5B7C}" srcId="{82F13895-732A-4F87-A9C3-DB011FCD144C}" destId="{E3FCDA4B-DE93-4376-A37C-BB2EA80BA98F}" srcOrd="1" destOrd="0" parTransId="{990ED276-083F-4F91-B330-06568EBB3DB5}" sibTransId="{368FF589-98B9-4217-BFD6-1DC6D7AD4AC7}"/>
    <dgm:cxn modelId="{6E95CF93-FB49-4DB3-AF31-7F73D61C88F8}" srcId="{82F13895-732A-4F87-A9C3-DB011FCD144C}" destId="{3BA943F9-495B-462D-A520-0D938CC76217}" srcOrd="0" destOrd="0" parTransId="{68449235-BEDC-4B44-BE07-EA219DC574C5}" sibTransId="{BDB64CE4-2123-45EC-96EF-A394C6199D9F}"/>
    <dgm:cxn modelId="{A00CC362-2764-45A0-AD85-7C14CE5057C4}" type="presOf" srcId="{3BA943F9-495B-462D-A520-0D938CC76217}" destId="{BC50166E-69E5-430F-AF51-8CB2EC048F1D}" srcOrd="0" destOrd="0" presId="urn:microsoft.com/office/officeart/2005/8/layout/arrow6"/>
    <dgm:cxn modelId="{5C317DF6-87B3-40C5-B204-ED8BC05F150A}" type="presOf" srcId="{E3FCDA4B-DE93-4376-A37C-BB2EA80BA98F}" destId="{2B497B9E-C988-4611-B54D-3F3D98BFB1BB}" srcOrd="0" destOrd="0" presId="urn:microsoft.com/office/officeart/2005/8/layout/arrow6"/>
    <dgm:cxn modelId="{7DA350B3-E1D8-44E7-A0FB-ED6E9ED6C60F}" type="presOf" srcId="{82F13895-732A-4F87-A9C3-DB011FCD144C}" destId="{78CCB8E8-765A-4E1B-92B6-293C7EFDEEF7}" srcOrd="0" destOrd="0" presId="urn:microsoft.com/office/officeart/2005/8/layout/arrow6"/>
    <dgm:cxn modelId="{E6DF5D69-7A2C-45B2-A984-C0AAD27F9252}" type="presParOf" srcId="{78CCB8E8-765A-4E1B-92B6-293C7EFDEEF7}" destId="{ED110DC2-B802-46FC-8A40-8DA6E325FCEB}" srcOrd="0" destOrd="0" presId="urn:microsoft.com/office/officeart/2005/8/layout/arrow6"/>
    <dgm:cxn modelId="{78617078-6B2B-4C5A-BC27-CEB8CA6905FB}" type="presParOf" srcId="{78CCB8E8-765A-4E1B-92B6-293C7EFDEEF7}" destId="{BC50166E-69E5-430F-AF51-8CB2EC048F1D}" srcOrd="1" destOrd="0" presId="urn:microsoft.com/office/officeart/2005/8/layout/arrow6"/>
    <dgm:cxn modelId="{FAE48885-B408-4284-96A0-D5038A22A9FD}" type="presParOf" srcId="{78CCB8E8-765A-4E1B-92B6-293C7EFDEEF7}" destId="{2B497B9E-C988-4611-B54D-3F3D98BFB1BB}" srcOrd="2" destOrd="0" presId="urn:microsoft.com/office/officeart/2005/8/layout/arrow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110DC2-B802-46FC-8A40-8DA6E325FCEB}">
      <dsp:nvSpPr>
        <dsp:cNvPr id="0" name=""/>
        <dsp:cNvSpPr/>
      </dsp:nvSpPr>
      <dsp:spPr>
        <a:xfrm>
          <a:off x="-340575" y="0"/>
          <a:ext cx="3481500" cy="847725"/>
        </a:xfrm>
        <a:prstGeom prst="leftRightRibbon">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C50166E-69E5-430F-AF51-8CB2EC048F1D}">
      <dsp:nvSpPr>
        <dsp:cNvPr id="0" name=""/>
        <dsp:cNvSpPr/>
      </dsp:nvSpPr>
      <dsp:spPr>
        <a:xfrm>
          <a:off x="0" y="157876"/>
          <a:ext cx="1412796" cy="41538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9784" rIns="0" bIns="53340" numCol="1" spcCol="1270" anchor="ctr" anchorCtr="0">
          <a:noAutofit/>
        </a:bodyPr>
        <a:lstStyle/>
        <a:p>
          <a:pPr lvl="0" algn="ctr" defTabSz="622300">
            <a:lnSpc>
              <a:spcPct val="90000"/>
            </a:lnSpc>
            <a:spcBef>
              <a:spcPct val="0"/>
            </a:spcBef>
            <a:spcAft>
              <a:spcPct val="35000"/>
            </a:spcAft>
          </a:pPr>
          <a:r>
            <a:rPr lang="zh-TW" altLang="en-US" sz="1400" b="1" kern="1200">
              <a:solidFill>
                <a:schemeClr val="accent2">
                  <a:lumMod val="75000"/>
                </a:schemeClr>
              </a:solidFill>
              <a:latin typeface="標楷體" panose="03000509000000000000" pitchFamily="65" charset="-120"/>
              <a:ea typeface="標楷體" panose="03000509000000000000" pitchFamily="65" charset="-120"/>
            </a:rPr>
            <a:t>按分配項目分</a:t>
          </a:r>
        </a:p>
      </dsp:txBody>
      <dsp:txXfrm>
        <a:off x="0" y="157876"/>
        <a:ext cx="1412796" cy="415385"/>
      </dsp:txXfrm>
    </dsp:sp>
    <dsp:sp modelId="{2B497B9E-C988-4611-B54D-3F3D98BFB1BB}">
      <dsp:nvSpPr>
        <dsp:cNvPr id="0" name=""/>
        <dsp:cNvSpPr/>
      </dsp:nvSpPr>
      <dsp:spPr>
        <a:xfrm>
          <a:off x="1093231" y="293512"/>
          <a:ext cx="1707118" cy="415385"/>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9784" rIns="0" bIns="53340" numCol="1" spcCol="1270" anchor="ctr" anchorCtr="0">
          <a:noAutofit/>
        </a:bodyPr>
        <a:lstStyle/>
        <a:p>
          <a:pPr lvl="0" algn="ctr" defTabSz="622300" rtl="0">
            <a:lnSpc>
              <a:spcPct val="90000"/>
            </a:lnSpc>
            <a:spcBef>
              <a:spcPct val="0"/>
            </a:spcBef>
            <a:spcAft>
              <a:spcPct val="35000"/>
            </a:spcAft>
          </a:pPr>
          <a:r>
            <a:rPr lang="zh-TW" altLang="en-US" sz="1400" b="1" i="0" kern="1200" baseline="0">
              <a:solidFill>
                <a:schemeClr val="accent2">
                  <a:lumMod val="75000"/>
                </a:schemeClr>
              </a:solidFill>
              <a:effectLst/>
              <a:latin typeface="標楷體" panose="03000509000000000000" pitchFamily="65" charset="-120"/>
              <a:ea typeface="標楷體" panose="03000509000000000000" pitchFamily="65" charset="-120"/>
            </a:rPr>
            <a:t>按所得對象分</a:t>
          </a:r>
          <a:endParaRPr lang="zh-TW" altLang="en-US" sz="1400" kern="1200">
            <a:solidFill>
              <a:schemeClr val="accent2">
                <a:lumMod val="75000"/>
              </a:schemeClr>
            </a:solidFill>
          </a:endParaRPr>
        </a:p>
      </dsp:txBody>
      <dsp:txXfrm>
        <a:off x="1093231" y="293512"/>
        <a:ext cx="1707118" cy="415385"/>
      </dsp:txXfrm>
    </dsp:sp>
  </dsp:spTree>
</dsp:drawing>
</file>

<file path=word/diagrams/layout1.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自訂 2">
      <a:dk1>
        <a:sysClr val="windowText" lastClr="000000"/>
      </a:dk1>
      <a:lt1>
        <a:sysClr val="window" lastClr="FFFFFF"/>
      </a:lt1>
      <a:dk2>
        <a:srgbClr val="1F497D"/>
      </a:dk2>
      <a:lt2>
        <a:srgbClr val="EEECE1"/>
      </a:lt2>
      <a:accent1>
        <a:srgbClr val="8DB3E2"/>
      </a:accent1>
      <a:accent2>
        <a:srgbClr val="D99694"/>
      </a:accent2>
      <a:accent3>
        <a:srgbClr val="C3D69B"/>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7A4FF-55A5-4C58-9A8C-946BF753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1731</Words>
  <Characters>9869</Characters>
  <Application>Microsoft Office Word</Application>
  <DocSecurity>0</DocSecurity>
  <Lines>82</Lines>
  <Paragraphs>23</Paragraphs>
  <ScaleCrop>false</ScaleCrop>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會計決算處基金會計科王文坦</dc:creator>
  <cp:keywords/>
  <dc:description/>
  <cp:lastModifiedBy>潘霞翠</cp:lastModifiedBy>
  <cp:revision>7</cp:revision>
  <cp:lastPrinted>2023-04-18T02:18:00Z</cp:lastPrinted>
  <dcterms:created xsi:type="dcterms:W3CDTF">2023-04-19T08:13:00Z</dcterms:created>
  <dcterms:modified xsi:type="dcterms:W3CDTF">2023-04-28T09:05:00Z</dcterms:modified>
</cp:coreProperties>
</file>