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52" w:rsidRPr="00DE75D4" w:rsidRDefault="00640252" w:rsidP="00640252">
      <w:pPr>
        <w:adjustRightInd w:val="0"/>
        <w:spacing w:after="120" w:line="560" w:lineRule="exact"/>
        <w:jc w:val="center"/>
        <w:textAlignment w:val="baseline"/>
        <w:rPr>
          <w:rFonts w:ascii="標楷體" w:eastAsia="標楷體" w:hAnsi="標楷體"/>
          <w:b/>
          <w:kern w:val="0"/>
          <w:sz w:val="42"/>
          <w:szCs w:val="42"/>
        </w:rPr>
      </w:pPr>
      <w:r w:rsidRPr="00DE75D4">
        <w:rPr>
          <w:rFonts w:ascii="標楷體" w:eastAsia="標楷體" w:hAnsi="標楷體" w:hint="eastAsia"/>
          <w:b/>
          <w:kern w:val="0"/>
          <w:sz w:val="42"/>
          <w:szCs w:val="42"/>
        </w:rPr>
        <w:t>中華民國</w:t>
      </w:r>
      <w:proofErr w:type="gramStart"/>
      <w:r w:rsidR="00052B27">
        <w:rPr>
          <w:rFonts w:ascii="標楷體" w:eastAsia="標楷體" w:hAnsi="標楷體" w:hint="eastAsia"/>
          <w:b/>
          <w:kern w:val="0"/>
          <w:sz w:val="42"/>
          <w:szCs w:val="42"/>
        </w:rPr>
        <w:t>109</w:t>
      </w:r>
      <w:proofErr w:type="gramEnd"/>
      <w:r w:rsidR="00052B27">
        <w:rPr>
          <w:rFonts w:ascii="標楷體" w:eastAsia="標楷體" w:hAnsi="標楷體" w:hint="eastAsia"/>
          <w:b/>
          <w:kern w:val="0"/>
          <w:sz w:val="42"/>
          <w:szCs w:val="42"/>
        </w:rPr>
        <w:t>年度</w:t>
      </w:r>
    </w:p>
    <w:p w:rsidR="00640252" w:rsidRPr="00DE75D4" w:rsidRDefault="00640252" w:rsidP="00640252">
      <w:pPr>
        <w:adjustRightInd w:val="0"/>
        <w:spacing w:after="120" w:line="560" w:lineRule="exact"/>
        <w:jc w:val="center"/>
        <w:textAlignment w:val="baseline"/>
        <w:rPr>
          <w:rFonts w:ascii="標楷體" w:eastAsia="標楷體" w:hAnsi="標楷體"/>
          <w:b/>
          <w:kern w:val="0"/>
          <w:sz w:val="42"/>
          <w:szCs w:val="42"/>
        </w:rPr>
      </w:pPr>
      <w:r w:rsidRPr="00DE75D4">
        <w:rPr>
          <w:rFonts w:ascii="標楷體" w:eastAsia="標楷體" w:hAnsi="標楷體" w:hint="eastAsia"/>
          <w:b/>
          <w:kern w:val="0"/>
          <w:sz w:val="42"/>
          <w:szCs w:val="42"/>
        </w:rPr>
        <w:t>中央政府總預算附屬單位預算半年結算</w:t>
      </w:r>
      <w:r w:rsidR="00AD2D01" w:rsidRPr="00DE75D4">
        <w:rPr>
          <w:rFonts w:ascii="標楷體" w:eastAsia="標楷體" w:hAnsi="標楷體" w:hint="eastAsia"/>
          <w:b/>
          <w:kern w:val="0"/>
          <w:sz w:val="42"/>
          <w:szCs w:val="42"/>
        </w:rPr>
        <w:t>報告</w:t>
      </w:r>
      <w:r w:rsidR="006C13CF" w:rsidRPr="00DE75D4">
        <w:rPr>
          <w:rFonts w:ascii="標楷體" w:eastAsia="標楷體" w:hAnsi="標楷體" w:hint="eastAsia"/>
          <w:b/>
          <w:kern w:val="0"/>
          <w:sz w:val="42"/>
          <w:szCs w:val="42"/>
        </w:rPr>
        <w:t>及綜計表</w:t>
      </w:r>
    </w:p>
    <w:p w:rsidR="00640252" w:rsidRPr="00DE75D4" w:rsidRDefault="00640252" w:rsidP="00640252">
      <w:pPr>
        <w:adjustRightInd w:val="0"/>
        <w:spacing w:after="120" w:line="560" w:lineRule="exact"/>
        <w:jc w:val="center"/>
        <w:textAlignment w:val="baseline"/>
        <w:rPr>
          <w:rFonts w:ascii="標楷體" w:eastAsia="標楷體" w:hAnsi="標楷體"/>
          <w:b/>
          <w:kern w:val="0"/>
          <w:sz w:val="42"/>
          <w:szCs w:val="42"/>
        </w:rPr>
      </w:pPr>
      <w:r w:rsidRPr="00DE75D4">
        <w:rPr>
          <w:rFonts w:ascii="標楷體" w:eastAsia="標楷體" w:hAnsi="標楷體" w:hint="eastAsia"/>
          <w:b/>
          <w:kern w:val="0"/>
          <w:sz w:val="42"/>
          <w:szCs w:val="42"/>
        </w:rPr>
        <w:t>（營業部分）總說明</w:t>
      </w:r>
    </w:p>
    <w:p w:rsidR="008E5029" w:rsidRPr="00DE75D4" w:rsidRDefault="002F4B18" w:rsidP="004407A4">
      <w:pPr>
        <w:adjustRightInd w:val="0"/>
        <w:spacing w:line="500" w:lineRule="exact"/>
        <w:jc w:val="both"/>
        <w:textAlignment w:val="baseline"/>
        <w:rPr>
          <w:rFonts w:ascii="標楷體" w:eastAsia="標楷體" w:hAnsi="標楷體"/>
          <w:spacing w:val="16"/>
          <w:sz w:val="30"/>
        </w:rPr>
      </w:pPr>
      <w:r w:rsidRPr="00DE75D4">
        <w:rPr>
          <w:rFonts w:ascii="標楷體" w:eastAsia="標楷體" w:hAnsi="標楷體"/>
          <w:spacing w:val="20"/>
          <w:sz w:val="30"/>
        </w:rPr>
        <w:t xml:space="preserve">   </w:t>
      </w:r>
      <w:proofErr w:type="gramStart"/>
      <w:r w:rsidR="00052B27">
        <w:rPr>
          <w:rFonts w:ascii="標楷體" w:eastAsia="標楷體" w:hAnsi="標楷體" w:hint="eastAsia"/>
          <w:spacing w:val="16"/>
          <w:sz w:val="30"/>
        </w:rPr>
        <w:t>109</w:t>
      </w:r>
      <w:proofErr w:type="gramEnd"/>
      <w:r w:rsidR="00052B27">
        <w:rPr>
          <w:rFonts w:ascii="標楷體" w:eastAsia="標楷體" w:hAnsi="標楷體" w:hint="eastAsia"/>
          <w:spacing w:val="16"/>
          <w:sz w:val="30"/>
        </w:rPr>
        <w:t>年度</w:t>
      </w:r>
      <w:r w:rsidR="0072282D" w:rsidRPr="00DE75D4">
        <w:rPr>
          <w:rFonts w:ascii="標楷體" w:eastAsia="標楷體" w:hAnsi="標楷體" w:hint="eastAsia"/>
          <w:spacing w:val="16"/>
          <w:sz w:val="30"/>
        </w:rPr>
        <w:t>（以下簡稱本年度）</w:t>
      </w:r>
      <w:r w:rsidR="006B3266" w:rsidRPr="00DE75D4">
        <w:rPr>
          <w:rFonts w:ascii="標楷體" w:eastAsia="標楷體" w:hAnsi="標楷體" w:hint="eastAsia"/>
          <w:spacing w:val="16"/>
          <w:sz w:val="30"/>
        </w:rPr>
        <w:t>截至6月底</w:t>
      </w:r>
      <w:proofErr w:type="gramStart"/>
      <w:r w:rsidR="006B3266" w:rsidRPr="00DE75D4">
        <w:rPr>
          <w:rFonts w:ascii="標楷體" w:eastAsia="標楷體" w:hAnsi="標楷體" w:hint="eastAsia"/>
          <w:spacing w:val="16"/>
          <w:sz w:val="30"/>
        </w:rPr>
        <w:t>止</w:t>
      </w:r>
      <w:proofErr w:type="gramEnd"/>
      <w:r w:rsidR="004A4509" w:rsidRPr="00DE75D4">
        <w:rPr>
          <w:rFonts w:ascii="標楷體" w:eastAsia="標楷體" w:hAnsi="標楷體" w:hint="eastAsia"/>
          <w:spacing w:val="16"/>
          <w:sz w:val="30"/>
        </w:rPr>
        <w:t>營業基金</w:t>
      </w:r>
      <w:r w:rsidR="0072282D" w:rsidRPr="00DE75D4">
        <w:rPr>
          <w:rFonts w:ascii="標楷體" w:eastAsia="標楷體" w:hAnsi="標楷體" w:hint="eastAsia"/>
          <w:spacing w:val="16"/>
          <w:sz w:val="30"/>
        </w:rPr>
        <w:t>計有</w:t>
      </w:r>
      <w:r w:rsidR="0072282D" w:rsidRPr="007B7CEC">
        <w:rPr>
          <w:rFonts w:ascii="標楷體" w:eastAsia="標楷體" w:hAnsi="標楷體" w:hint="eastAsia"/>
          <w:spacing w:val="16"/>
          <w:sz w:val="30"/>
        </w:rPr>
        <w:t>2</w:t>
      </w:r>
      <w:r w:rsidR="00052B27" w:rsidRPr="007B7CEC">
        <w:rPr>
          <w:rFonts w:ascii="標楷體" w:eastAsia="標楷體" w:hAnsi="標楷體"/>
          <w:spacing w:val="16"/>
          <w:sz w:val="30"/>
        </w:rPr>
        <w:t>2</w:t>
      </w:r>
      <w:r w:rsidR="0072282D" w:rsidRPr="007B7CEC">
        <w:rPr>
          <w:rFonts w:ascii="標楷體" w:eastAsia="標楷體" w:hAnsi="標楷體" w:hint="eastAsia"/>
          <w:spacing w:val="16"/>
          <w:sz w:val="30"/>
        </w:rPr>
        <w:t>單位</w:t>
      </w:r>
      <w:r w:rsidR="00C23904" w:rsidRPr="007B7CEC">
        <w:rPr>
          <w:rFonts w:ascii="標楷體" w:eastAsia="標楷體" w:hAnsi="標楷體" w:hint="eastAsia"/>
          <w:spacing w:val="16"/>
          <w:sz w:val="30"/>
        </w:rPr>
        <w:t>（</w:t>
      </w:r>
      <w:r w:rsidR="00E86ECA" w:rsidRPr="007B7CEC">
        <w:rPr>
          <w:rFonts w:ascii="標楷體" w:eastAsia="標楷體" w:hAnsi="標楷體" w:hint="eastAsia"/>
          <w:spacing w:val="16"/>
          <w:sz w:val="30"/>
        </w:rPr>
        <w:t>含</w:t>
      </w:r>
      <w:r w:rsidR="00C23904" w:rsidRPr="007B7CEC">
        <w:rPr>
          <w:rFonts w:ascii="標楷體" w:eastAsia="標楷體" w:hAnsi="標楷體" w:hint="eastAsia"/>
          <w:spacing w:val="16"/>
          <w:sz w:val="30"/>
        </w:rPr>
        <w:t>分預算</w:t>
      </w:r>
      <w:r w:rsidR="00052B27" w:rsidRPr="007B7CEC">
        <w:rPr>
          <w:rFonts w:ascii="標楷體" w:eastAsia="標楷體" w:hAnsi="標楷體"/>
          <w:spacing w:val="16"/>
          <w:sz w:val="30"/>
        </w:rPr>
        <w:t>7</w:t>
      </w:r>
      <w:r w:rsidR="00C23904" w:rsidRPr="007B7CEC">
        <w:rPr>
          <w:rFonts w:ascii="標楷體" w:eastAsia="標楷體" w:hAnsi="標楷體" w:hint="eastAsia"/>
          <w:spacing w:val="16"/>
          <w:sz w:val="30"/>
        </w:rPr>
        <w:t>單位）</w:t>
      </w:r>
      <w:r w:rsidR="00E86ECA" w:rsidRPr="007B7CEC">
        <w:rPr>
          <w:rFonts w:ascii="標楷體" w:eastAsia="標楷體" w:hAnsi="標楷體" w:hint="eastAsia"/>
          <w:spacing w:val="16"/>
          <w:sz w:val="30"/>
        </w:rPr>
        <w:t>，依決算法第26條之1規定，將</w:t>
      </w:r>
      <w:r w:rsidR="00331F1E" w:rsidRPr="007B7CEC">
        <w:rPr>
          <w:rFonts w:ascii="標楷體" w:eastAsia="標楷體" w:hAnsi="標楷體" w:hint="eastAsia"/>
          <w:spacing w:val="16"/>
          <w:sz w:val="30"/>
        </w:rPr>
        <w:t>本年度</w:t>
      </w:r>
      <w:r w:rsidR="008A3938" w:rsidRPr="007B7CEC">
        <w:rPr>
          <w:rFonts w:ascii="標楷體" w:eastAsia="標楷體" w:hAnsi="標楷體" w:hint="eastAsia"/>
          <w:spacing w:val="16"/>
          <w:sz w:val="30"/>
        </w:rPr>
        <w:t>各附屬單位預算</w:t>
      </w:r>
      <w:r w:rsidR="00DA54DE" w:rsidRPr="007B7CEC">
        <w:rPr>
          <w:rFonts w:ascii="標楷體" w:eastAsia="標楷體" w:hAnsi="標楷體" w:hint="eastAsia"/>
          <w:spacing w:val="16"/>
          <w:sz w:val="30"/>
        </w:rPr>
        <w:t>半年結算</w:t>
      </w:r>
      <w:proofErr w:type="gramStart"/>
      <w:r w:rsidR="00DA54DE" w:rsidRPr="007B7CEC">
        <w:rPr>
          <w:rFonts w:ascii="標楷體" w:eastAsia="標楷體" w:hAnsi="標楷體" w:hint="eastAsia"/>
          <w:spacing w:val="16"/>
          <w:sz w:val="30"/>
        </w:rPr>
        <w:t>報告</w:t>
      </w:r>
      <w:r w:rsidR="008A3938" w:rsidRPr="007B7CEC">
        <w:rPr>
          <w:rFonts w:ascii="標楷體" w:eastAsia="標楷體" w:hAnsi="標楷體" w:hint="eastAsia"/>
          <w:spacing w:val="16"/>
          <w:sz w:val="30"/>
        </w:rPr>
        <w:t>彙案編成</w:t>
      </w:r>
      <w:proofErr w:type="gramEnd"/>
      <w:r w:rsidRPr="007B7CEC">
        <w:rPr>
          <w:rFonts w:ascii="標楷體" w:eastAsia="標楷體" w:hAnsi="標楷體" w:hint="eastAsia"/>
          <w:spacing w:val="16"/>
          <w:sz w:val="30"/>
        </w:rPr>
        <w:t>中央政府總預算附屬單位預算半年結算報告及綜計表（營業部分）</w:t>
      </w:r>
      <w:r w:rsidR="004A1D64" w:rsidRPr="007B7CEC">
        <w:rPr>
          <w:rFonts w:ascii="新細明體" w:eastAsia="新細明體" w:hAnsi="新細明體" w:hint="eastAsia"/>
          <w:spacing w:val="16"/>
          <w:sz w:val="30"/>
        </w:rPr>
        <w:t>。</w:t>
      </w:r>
      <w:r w:rsidR="004A1D64" w:rsidRPr="007B7CEC">
        <w:rPr>
          <w:rFonts w:ascii="標楷體" w:eastAsia="標楷體" w:hAnsi="標楷體" w:hint="eastAsia"/>
          <w:spacing w:val="16"/>
          <w:sz w:val="30"/>
        </w:rPr>
        <w:t>另辦理結束清理工作者計有</w:t>
      </w:r>
      <w:r w:rsidR="00052B27" w:rsidRPr="007B7CEC">
        <w:rPr>
          <w:rFonts w:ascii="標楷體" w:eastAsia="標楷體" w:hAnsi="標楷體"/>
          <w:spacing w:val="16"/>
          <w:sz w:val="30"/>
        </w:rPr>
        <w:t>4</w:t>
      </w:r>
      <w:r w:rsidR="004A1D64" w:rsidRPr="007B7CEC">
        <w:rPr>
          <w:rFonts w:ascii="標楷體" w:eastAsia="標楷體" w:hAnsi="標楷體" w:hint="eastAsia"/>
          <w:spacing w:val="16"/>
          <w:sz w:val="30"/>
        </w:rPr>
        <w:t>單位，其半年結算報告則以附錄表達。前開中央政府總預算附屬單位預</w:t>
      </w:r>
      <w:r w:rsidR="004A1D64" w:rsidRPr="00DE75D4">
        <w:rPr>
          <w:rFonts w:ascii="標楷體" w:eastAsia="標楷體" w:hAnsi="標楷體" w:hint="eastAsia"/>
          <w:spacing w:val="16"/>
          <w:sz w:val="30"/>
        </w:rPr>
        <w:t>算半年結算報告及綜計表（營業部分），隨同中央政府總預算半年結算報告函送審計部。</w:t>
      </w:r>
      <w:r w:rsidR="008A3938" w:rsidRPr="00DE75D4">
        <w:rPr>
          <w:rFonts w:ascii="標楷體" w:eastAsia="標楷體" w:hAnsi="標楷體" w:hint="eastAsia"/>
          <w:spacing w:val="16"/>
          <w:sz w:val="30"/>
        </w:rPr>
        <w:t>至各附屬單位預算之分預算</w:t>
      </w:r>
      <w:r w:rsidR="00DA54DE" w:rsidRPr="00DE75D4">
        <w:rPr>
          <w:rFonts w:ascii="標楷體" w:eastAsia="標楷體" w:hAnsi="標楷體" w:hint="eastAsia"/>
          <w:spacing w:val="16"/>
          <w:sz w:val="30"/>
        </w:rPr>
        <w:t>半年結算報告</w:t>
      </w:r>
      <w:r w:rsidR="008A3938" w:rsidRPr="00DE75D4">
        <w:rPr>
          <w:rFonts w:ascii="標楷體" w:eastAsia="標楷體" w:hAnsi="標楷體" w:hint="eastAsia"/>
          <w:spacing w:val="16"/>
          <w:sz w:val="30"/>
        </w:rPr>
        <w:t>，係以編製合併報表方式併入</w:t>
      </w:r>
      <w:r w:rsidR="004407A4" w:rsidRPr="00DE75D4">
        <w:rPr>
          <w:rFonts w:ascii="標楷體" w:eastAsia="標楷體" w:hAnsi="標楷體" w:hint="eastAsia"/>
          <w:spacing w:val="16"/>
          <w:sz w:val="30"/>
        </w:rPr>
        <w:t>原投資事業</w:t>
      </w:r>
      <w:r w:rsidR="00FC6EAF" w:rsidRPr="00DE75D4">
        <w:rPr>
          <w:rFonts w:ascii="標楷體" w:eastAsia="標楷體" w:hAnsi="標楷體" w:hint="eastAsia"/>
          <w:spacing w:val="16"/>
          <w:sz w:val="30"/>
        </w:rPr>
        <w:t>半年結算報告</w:t>
      </w:r>
      <w:r w:rsidR="004407A4" w:rsidRPr="00DE75D4">
        <w:rPr>
          <w:rFonts w:ascii="標楷體" w:eastAsia="標楷體" w:hAnsi="標楷體" w:hint="eastAsia"/>
          <w:spacing w:val="16"/>
          <w:sz w:val="30"/>
        </w:rPr>
        <w:t>，</w:t>
      </w:r>
      <w:proofErr w:type="gramStart"/>
      <w:r w:rsidR="004407A4" w:rsidRPr="00DE75D4">
        <w:rPr>
          <w:rFonts w:ascii="標楷體" w:eastAsia="標楷體" w:hAnsi="標楷體" w:hint="eastAsia"/>
          <w:spacing w:val="16"/>
          <w:sz w:val="30"/>
        </w:rPr>
        <w:t>不</w:t>
      </w:r>
      <w:proofErr w:type="gramEnd"/>
      <w:r w:rsidR="004407A4" w:rsidRPr="00DE75D4">
        <w:rPr>
          <w:rFonts w:ascii="標楷體" w:eastAsia="標楷體" w:hAnsi="標楷體" w:hint="eastAsia"/>
          <w:spacing w:val="16"/>
          <w:sz w:val="30"/>
        </w:rPr>
        <w:t>另單獨列示，其相關半年結算</w:t>
      </w:r>
      <w:proofErr w:type="gramStart"/>
      <w:r w:rsidR="004407A4" w:rsidRPr="00DE75D4">
        <w:rPr>
          <w:rFonts w:ascii="標楷體" w:eastAsia="標楷體" w:hAnsi="標楷體" w:hint="eastAsia"/>
          <w:spacing w:val="16"/>
          <w:sz w:val="30"/>
        </w:rPr>
        <w:t>內容仍附於</w:t>
      </w:r>
      <w:proofErr w:type="gramEnd"/>
      <w:r w:rsidR="004407A4" w:rsidRPr="00DE75D4">
        <w:rPr>
          <w:rFonts w:ascii="標楷體" w:eastAsia="標楷體" w:hAnsi="標楷體" w:hint="eastAsia"/>
          <w:spacing w:val="16"/>
          <w:sz w:val="30"/>
        </w:rPr>
        <w:t>該事業</w:t>
      </w:r>
      <w:r w:rsidR="008A3938" w:rsidRPr="00DE75D4">
        <w:rPr>
          <w:rFonts w:ascii="標楷體" w:eastAsia="標楷體" w:hAnsi="標楷體" w:hint="eastAsia"/>
          <w:spacing w:val="16"/>
          <w:sz w:val="30"/>
        </w:rPr>
        <w:t>表達。</w:t>
      </w:r>
      <w:r w:rsidR="008E5029" w:rsidRPr="00DE75D4">
        <w:rPr>
          <w:rFonts w:ascii="標楷體" w:eastAsia="標楷體" w:hAnsi="標楷體" w:hint="eastAsia"/>
          <w:spacing w:val="16"/>
          <w:sz w:val="30"/>
        </w:rPr>
        <w:t>茲</w:t>
      </w:r>
      <w:r w:rsidR="006E11AA" w:rsidRPr="00DE75D4">
        <w:rPr>
          <w:rFonts w:ascii="標楷體" w:eastAsia="標楷體" w:hAnsi="標楷體" w:hint="eastAsia"/>
          <w:spacing w:val="16"/>
          <w:sz w:val="30"/>
        </w:rPr>
        <w:t>就</w:t>
      </w:r>
      <w:r w:rsidR="000A10E2" w:rsidRPr="00DE75D4">
        <w:rPr>
          <w:rFonts w:ascii="標楷體" w:eastAsia="標楷體" w:hAnsi="標楷體" w:hint="eastAsia"/>
          <w:spacing w:val="16"/>
          <w:sz w:val="30"/>
        </w:rPr>
        <w:t>營業收支損益情形及資產負債實況，分述</w:t>
      </w:r>
      <w:r w:rsidR="008E5029" w:rsidRPr="00DE75D4">
        <w:rPr>
          <w:rFonts w:ascii="標楷體" w:eastAsia="標楷體" w:hAnsi="標楷體" w:hint="eastAsia"/>
          <w:spacing w:val="16"/>
          <w:sz w:val="30"/>
        </w:rPr>
        <w:t>如下：</w:t>
      </w:r>
    </w:p>
    <w:p w:rsidR="0072282D" w:rsidRPr="00DE75D4" w:rsidRDefault="0072282D" w:rsidP="00A278C6">
      <w:pPr>
        <w:numPr>
          <w:ilvl w:val="0"/>
          <w:numId w:val="42"/>
        </w:numPr>
        <w:spacing w:beforeLines="100" w:before="240" w:line="540" w:lineRule="exact"/>
        <w:jc w:val="both"/>
        <w:outlineLvl w:val="0"/>
        <w:rPr>
          <w:rFonts w:ascii="標楷體" w:eastAsia="標楷體" w:hAnsi="標楷體"/>
          <w:b/>
          <w:spacing w:val="20"/>
          <w:sz w:val="30"/>
        </w:rPr>
      </w:pPr>
      <w:r w:rsidRPr="00DE75D4">
        <w:rPr>
          <w:rFonts w:ascii="標楷體" w:eastAsia="標楷體" w:hAnsi="標楷體" w:hint="eastAsia"/>
          <w:b/>
          <w:spacing w:val="20"/>
          <w:sz w:val="30"/>
        </w:rPr>
        <w:t>營業收支損益情形</w:t>
      </w:r>
      <w:r w:rsidR="00DC640D" w:rsidRPr="00DE75D4">
        <w:rPr>
          <w:rFonts w:ascii="標楷體" w:eastAsia="標楷體" w:hAnsi="標楷體" w:hint="eastAsia"/>
          <w:b/>
          <w:spacing w:val="20"/>
          <w:sz w:val="30"/>
        </w:rPr>
        <w:t>（</w:t>
      </w:r>
      <w:r w:rsidR="00141489" w:rsidRPr="00DE75D4">
        <w:rPr>
          <w:rFonts w:ascii="標楷體" w:eastAsia="標楷體" w:hAnsi="標楷體" w:hint="eastAsia"/>
          <w:b/>
          <w:spacing w:val="20"/>
          <w:sz w:val="30"/>
        </w:rPr>
        <w:t>詳</w:t>
      </w:r>
      <w:r w:rsidR="00E373A0" w:rsidRPr="00DE75D4">
        <w:rPr>
          <w:rFonts w:ascii="標楷體" w:eastAsia="標楷體" w:hAnsi="標楷體" w:hint="eastAsia"/>
          <w:b/>
          <w:spacing w:val="20"/>
          <w:sz w:val="30"/>
        </w:rPr>
        <w:t>表及</w:t>
      </w:r>
      <w:r w:rsidR="00DC640D" w:rsidRPr="00DE75D4">
        <w:rPr>
          <w:rFonts w:ascii="標楷體" w:eastAsia="標楷體" w:hAnsi="標楷體" w:hint="eastAsia"/>
          <w:b/>
          <w:spacing w:val="20"/>
          <w:sz w:val="30"/>
        </w:rPr>
        <w:t>圖</w:t>
      </w:r>
      <w:r w:rsidR="007E62C1" w:rsidRPr="00DE75D4">
        <w:rPr>
          <w:rFonts w:ascii="標楷體" w:eastAsia="標楷體" w:hAnsi="標楷體" w:hint="eastAsia"/>
          <w:b/>
          <w:spacing w:val="20"/>
          <w:sz w:val="30"/>
        </w:rPr>
        <w:t>1</w:t>
      </w:r>
      <w:r w:rsidR="00DC640D" w:rsidRPr="00DE75D4">
        <w:rPr>
          <w:rFonts w:ascii="標楷體" w:eastAsia="標楷體" w:hAnsi="標楷體" w:hint="eastAsia"/>
          <w:b/>
          <w:spacing w:val="20"/>
          <w:sz w:val="30"/>
        </w:rPr>
        <w:t>）</w:t>
      </w:r>
    </w:p>
    <w:p w:rsidR="0072282D" w:rsidRPr="00DE75D4" w:rsidRDefault="006E11AA" w:rsidP="00277479">
      <w:pPr>
        <w:spacing w:beforeLines="50" w:before="120" w:line="500" w:lineRule="exact"/>
        <w:ind w:left="1520" w:hanging="1123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一、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收入部分</w:t>
      </w:r>
    </w:p>
    <w:p w:rsidR="0072282D" w:rsidRPr="00DE75D4" w:rsidRDefault="006E11AA" w:rsidP="00277479">
      <w:pPr>
        <w:spacing w:line="50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spacing w:val="12"/>
          <w:sz w:val="30"/>
        </w:rPr>
      </w:pPr>
      <w:r w:rsidRPr="00DE75D4">
        <w:rPr>
          <w:rFonts w:ascii="標楷體" w:eastAsia="標楷體" w:hAnsi="標楷體" w:hint="eastAsia"/>
          <w:spacing w:val="12"/>
          <w:sz w:val="30"/>
        </w:rPr>
        <w:t>（一）</w:t>
      </w:r>
      <w:bookmarkStart w:id="0" w:name="OLE_LINK1"/>
      <w:r w:rsidR="0072282D" w:rsidRPr="00DE75D4">
        <w:rPr>
          <w:rFonts w:ascii="標楷體" w:eastAsia="標楷體" w:hAnsi="標楷體" w:hint="eastAsia"/>
          <w:spacing w:val="12"/>
          <w:sz w:val="30"/>
        </w:rPr>
        <w:t>營業收入共列1兆</w:t>
      </w:r>
      <w:r w:rsidR="00355F73" w:rsidRPr="00355F73">
        <w:rPr>
          <w:rFonts w:ascii="標楷體" w:eastAsia="標楷體" w:hAnsi="標楷體"/>
          <w:spacing w:val="12"/>
          <w:sz w:val="30"/>
        </w:rPr>
        <w:t>2,850</w:t>
      </w:r>
      <w:r w:rsidR="00AF1032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2B117D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元，較分配預算數</w:t>
      </w:r>
      <w:r w:rsidR="00BD6E60" w:rsidRPr="00DE75D4">
        <w:rPr>
          <w:rFonts w:ascii="標楷體" w:eastAsia="標楷體" w:hAnsi="標楷體" w:hint="eastAsia"/>
          <w:spacing w:val="12"/>
          <w:sz w:val="30"/>
        </w:rPr>
        <w:t>增加</w:t>
      </w:r>
      <w:r w:rsidR="00355F73">
        <w:rPr>
          <w:rFonts w:ascii="標楷體" w:eastAsia="標楷體" w:hAnsi="標楷體"/>
          <w:spacing w:val="12"/>
          <w:sz w:val="30"/>
        </w:rPr>
        <w:t>60</w:t>
      </w:r>
      <w:r w:rsidR="00355F73" w:rsidRPr="00355F73">
        <w:rPr>
          <w:rFonts w:ascii="標楷體" w:eastAsia="標楷體" w:hAnsi="標楷體"/>
          <w:spacing w:val="12"/>
          <w:sz w:val="30"/>
        </w:rPr>
        <w:t>1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2B117D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元，約</w:t>
      </w:r>
      <w:r w:rsidR="00BD6E60" w:rsidRPr="00DE75D4">
        <w:rPr>
          <w:rFonts w:ascii="標楷體" w:eastAsia="標楷體" w:hAnsi="標楷體" w:hint="eastAsia"/>
          <w:spacing w:val="12"/>
          <w:sz w:val="30"/>
        </w:rPr>
        <w:t>增</w:t>
      </w:r>
      <w:r w:rsidR="00355F73">
        <w:rPr>
          <w:rFonts w:ascii="標楷體" w:eastAsia="標楷體" w:hAnsi="標楷體"/>
          <w:spacing w:val="12"/>
          <w:sz w:val="30"/>
        </w:rPr>
        <w:t>4</w:t>
      </w:r>
      <w:r w:rsidR="0034237D" w:rsidRPr="00DE75D4">
        <w:rPr>
          <w:rFonts w:ascii="標楷體" w:eastAsia="標楷體" w:hAnsi="標楷體" w:hint="eastAsia"/>
          <w:spacing w:val="12"/>
          <w:sz w:val="30"/>
        </w:rPr>
        <w:t>.</w:t>
      </w:r>
      <w:r w:rsidR="00355F73">
        <w:rPr>
          <w:rFonts w:ascii="標楷體" w:eastAsia="標楷體" w:hAnsi="標楷體"/>
          <w:spacing w:val="12"/>
          <w:sz w:val="30"/>
        </w:rPr>
        <w:t>9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％</w:t>
      </w:r>
      <w:bookmarkEnd w:id="0"/>
      <w:r w:rsidR="0072282D" w:rsidRPr="00DE75D4">
        <w:rPr>
          <w:rFonts w:ascii="標楷體" w:eastAsia="標楷體" w:hAnsi="標楷體" w:hint="eastAsia"/>
          <w:spacing w:val="12"/>
          <w:sz w:val="30"/>
        </w:rPr>
        <w:t>。</w:t>
      </w:r>
    </w:p>
    <w:p w:rsidR="0072282D" w:rsidRPr="00DE75D4" w:rsidRDefault="006E11AA" w:rsidP="00277479">
      <w:pPr>
        <w:spacing w:line="500" w:lineRule="exact"/>
        <w:ind w:leftChars="200" w:left="1468" w:hangingChars="305" w:hanging="988"/>
        <w:jc w:val="both"/>
        <w:outlineLvl w:val="0"/>
        <w:rPr>
          <w:rFonts w:ascii="標楷體" w:eastAsia="標楷體" w:hAnsi="標楷體"/>
          <w:spacing w:val="12"/>
          <w:sz w:val="30"/>
        </w:rPr>
      </w:pPr>
      <w:r w:rsidRPr="00DE75D4">
        <w:rPr>
          <w:rFonts w:ascii="標楷體" w:eastAsia="標楷體" w:hAnsi="標楷體" w:hint="eastAsia"/>
          <w:spacing w:val="12"/>
          <w:sz w:val="30"/>
        </w:rPr>
        <w:t>（二）</w:t>
      </w:r>
      <w:r w:rsidR="008C702C" w:rsidRPr="00DE75D4">
        <w:rPr>
          <w:rFonts w:ascii="標楷體" w:eastAsia="標楷體" w:hAnsi="標楷體" w:hint="eastAsia"/>
          <w:spacing w:val="12"/>
          <w:sz w:val="16"/>
          <w:szCs w:val="16"/>
        </w:rPr>
        <w:t xml:space="preserve"> </w:t>
      </w:r>
      <w:r w:rsidR="005F4A20" w:rsidRPr="00DE75D4">
        <w:rPr>
          <w:rFonts w:ascii="標楷體" w:eastAsia="標楷體" w:hAnsi="標楷體" w:hint="eastAsia"/>
          <w:spacing w:val="12"/>
          <w:sz w:val="30"/>
        </w:rPr>
        <w:t>營業外收入共列</w:t>
      </w:r>
      <w:r w:rsidR="00841670">
        <w:rPr>
          <w:rFonts w:ascii="標楷體" w:eastAsia="標楷體" w:hAnsi="標楷體"/>
          <w:spacing w:val="12"/>
          <w:sz w:val="30"/>
        </w:rPr>
        <w:t>16</w:t>
      </w:r>
      <w:r w:rsidR="00841670" w:rsidRPr="00841670">
        <w:rPr>
          <w:rFonts w:ascii="標楷體" w:eastAsia="標楷體" w:hAnsi="標楷體"/>
          <w:spacing w:val="12"/>
          <w:sz w:val="30"/>
        </w:rPr>
        <w:t>3</w:t>
      </w:r>
      <w:r w:rsidR="005F4A20" w:rsidRPr="00DE75D4">
        <w:rPr>
          <w:rFonts w:ascii="標楷體" w:eastAsia="標楷體" w:hAnsi="標楷體" w:hint="eastAsia"/>
          <w:spacing w:val="12"/>
          <w:sz w:val="30"/>
        </w:rPr>
        <w:t>億餘元，較分配預算數增加</w:t>
      </w:r>
      <w:r w:rsidR="00841670">
        <w:rPr>
          <w:rFonts w:ascii="標楷體" w:eastAsia="標楷體" w:hAnsi="標楷體"/>
          <w:spacing w:val="12"/>
          <w:sz w:val="30"/>
        </w:rPr>
        <w:t>59</w:t>
      </w:r>
      <w:r w:rsidR="005F4A20" w:rsidRPr="00DE75D4">
        <w:rPr>
          <w:rFonts w:ascii="標楷體" w:eastAsia="標楷體" w:hAnsi="標楷體" w:hint="eastAsia"/>
          <w:spacing w:val="12"/>
          <w:sz w:val="30"/>
        </w:rPr>
        <w:t>億餘元，約增</w:t>
      </w:r>
      <w:r w:rsidR="00841670" w:rsidRPr="00841670">
        <w:rPr>
          <w:rFonts w:ascii="標楷體" w:eastAsia="標楷體" w:hAnsi="標楷體"/>
          <w:spacing w:val="12"/>
          <w:sz w:val="30"/>
        </w:rPr>
        <w:t>57.2</w:t>
      </w:r>
      <w:r w:rsidR="005F4A20" w:rsidRPr="00DE75D4">
        <w:rPr>
          <w:rFonts w:ascii="標楷體" w:eastAsia="標楷體" w:hAnsi="標楷體" w:hint="eastAsia"/>
          <w:spacing w:val="12"/>
          <w:sz w:val="30"/>
        </w:rPr>
        <w:t>％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。</w:t>
      </w:r>
    </w:p>
    <w:p w:rsidR="0072282D" w:rsidRPr="00DE75D4" w:rsidRDefault="006E11AA" w:rsidP="00277479">
      <w:pPr>
        <w:spacing w:line="500" w:lineRule="exact"/>
        <w:ind w:leftChars="200" w:left="1468" w:hangingChars="305" w:hanging="988"/>
        <w:jc w:val="both"/>
        <w:outlineLvl w:val="0"/>
        <w:rPr>
          <w:rFonts w:ascii="標楷體" w:eastAsia="標楷體" w:hAnsi="標楷體"/>
          <w:spacing w:val="12"/>
          <w:sz w:val="30"/>
        </w:rPr>
      </w:pPr>
      <w:r w:rsidRPr="00DE75D4">
        <w:rPr>
          <w:rFonts w:ascii="標楷體" w:eastAsia="標楷體" w:hAnsi="標楷體" w:hint="eastAsia"/>
          <w:spacing w:val="12"/>
          <w:sz w:val="30"/>
        </w:rPr>
        <w:t>（</w:t>
      </w:r>
      <w:r w:rsidR="00A16E07" w:rsidRPr="00DE75D4">
        <w:rPr>
          <w:rFonts w:ascii="標楷體" w:eastAsia="標楷體" w:hAnsi="標楷體" w:hint="eastAsia"/>
          <w:spacing w:val="12"/>
          <w:sz w:val="30"/>
        </w:rPr>
        <w:t>三</w:t>
      </w:r>
      <w:r w:rsidRPr="00DE75D4">
        <w:rPr>
          <w:rFonts w:ascii="標楷體" w:eastAsia="標楷體" w:hAnsi="標楷體" w:hint="eastAsia"/>
          <w:spacing w:val="12"/>
          <w:sz w:val="30"/>
        </w:rPr>
        <w:t>）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以上收入部分共</w:t>
      </w:r>
      <w:r w:rsidR="005555D3" w:rsidRPr="00DE75D4">
        <w:rPr>
          <w:rFonts w:ascii="標楷體" w:eastAsia="標楷體" w:hAnsi="標楷體" w:hint="eastAsia"/>
          <w:spacing w:val="12"/>
          <w:sz w:val="30"/>
        </w:rPr>
        <w:t>列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1兆</w:t>
      </w:r>
      <w:r w:rsidR="00841670" w:rsidRPr="00841670">
        <w:rPr>
          <w:rFonts w:ascii="標楷體" w:eastAsia="標楷體" w:hAnsi="標楷體"/>
          <w:spacing w:val="12"/>
          <w:sz w:val="30"/>
        </w:rPr>
        <w:t>3,014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A60904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元，較分配預算數</w:t>
      </w:r>
      <w:r w:rsidR="00823A23" w:rsidRPr="00DE75D4">
        <w:rPr>
          <w:rFonts w:ascii="標楷體" w:eastAsia="標楷體" w:hAnsi="標楷體" w:hint="eastAsia"/>
          <w:spacing w:val="12"/>
          <w:sz w:val="30"/>
        </w:rPr>
        <w:t>增加</w:t>
      </w:r>
      <w:r w:rsidR="00841670">
        <w:rPr>
          <w:rFonts w:ascii="標楷體" w:eastAsia="標楷體" w:hAnsi="標楷體"/>
          <w:spacing w:val="12"/>
          <w:sz w:val="30"/>
        </w:rPr>
        <w:t>661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A60904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元，約</w:t>
      </w:r>
      <w:r w:rsidR="00185BA8" w:rsidRPr="00DE75D4">
        <w:rPr>
          <w:rFonts w:ascii="標楷體" w:eastAsia="標楷體" w:hAnsi="標楷體" w:hint="eastAsia"/>
          <w:spacing w:val="12"/>
          <w:sz w:val="30"/>
        </w:rPr>
        <w:t>增</w:t>
      </w:r>
      <w:r w:rsidR="00841670">
        <w:rPr>
          <w:rFonts w:ascii="標楷體" w:eastAsia="標楷體" w:hAnsi="標楷體"/>
          <w:spacing w:val="12"/>
          <w:sz w:val="30"/>
        </w:rPr>
        <w:t>5.4</w:t>
      </w:r>
      <w:r w:rsidR="00F6694C" w:rsidRPr="00DE75D4">
        <w:rPr>
          <w:rFonts w:ascii="標楷體" w:eastAsia="標楷體" w:hAnsi="標楷體" w:hint="eastAsia"/>
          <w:spacing w:val="12"/>
          <w:sz w:val="30"/>
        </w:rPr>
        <w:t>％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。</w:t>
      </w:r>
    </w:p>
    <w:p w:rsidR="0072282D" w:rsidRPr="00DE75D4" w:rsidRDefault="006E11AA" w:rsidP="00277479">
      <w:pPr>
        <w:spacing w:beforeLines="50" w:before="120" w:line="500" w:lineRule="exact"/>
        <w:ind w:left="1520" w:hanging="1123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二、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支出部分</w:t>
      </w:r>
    </w:p>
    <w:p w:rsidR="0072282D" w:rsidRPr="00DE75D4" w:rsidRDefault="006E11AA" w:rsidP="00277479">
      <w:pPr>
        <w:spacing w:line="50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spacing w:val="12"/>
          <w:sz w:val="30"/>
        </w:rPr>
      </w:pPr>
      <w:r w:rsidRPr="00DE75D4">
        <w:rPr>
          <w:rFonts w:ascii="標楷體" w:eastAsia="標楷體" w:hAnsi="標楷體" w:hint="eastAsia"/>
          <w:spacing w:val="12"/>
          <w:sz w:val="30"/>
        </w:rPr>
        <w:t>（一）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營業成本共列1兆</w:t>
      </w:r>
      <w:r w:rsidR="00841670" w:rsidRPr="00841670">
        <w:rPr>
          <w:rFonts w:ascii="標楷體" w:eastAsia="標楷體" w:hAnsi="標楷體"/>
          <w:spacing w:val="12"/>
          <w:sz w:val="30"/>
        </w:rPr>
        <w:t>1,503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821837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元，較分配預算數</w:t>
      </w:r>
      <w:r w:rsidR="003707AD" w:rsidRPr="00DE75D4">
        <w:rPr>
          <w:rFonts w:ascii="標楷體" w:eastAsia="標楷體" w:hAnsi="標楷體" w:hint="eastAsia"/>
          <w:spacing w:val="12"/>
          <w:sz w:val="30"/>
        </w:rPr>
        <w:t>增加</w:t>
      </w:r>
      <w:r w:rsidR="001C190C" w:rsidRPr="001C190C">
        <w:rPr>
          <w:rFonts w:ascii="標楷體" w:eastAsia="標楷體" w:hAnsi="標楷體"/>
          <w:spacing w:val="12"/>
          <w:sz w:val="30"/>
        </w:rPr>
        <w:t>915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821837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元，約</w:t>
      </w:r>
      <w:r w:rsidR="003707AD" w:rsidRPr="00DE75D4">
        <w:rPr>
          <w:rFonts w:ascii="標楷體" w:eastAsia="標楷體" w:hAnsi="標楷體" w:hint="eastAsia"/>
          <w:spacing w:val="12"/>
          <w:sz w:val="30"/>
        </w:rPr>
        <w:t>增</w:t>
      </w:r>
      <w:r w:rsidR="001C190C">
        <w:rPr>
          <w:rFonts w:ascii="標楷體" w:eastAsia="標楷體" w:hAnsi="標楷體"/>
          <w:spacing w:val="12"/>
          <w:sz w:val="30"/>
        </w:rPr>
        <w:t>8.6</w:t>
      </w:r>
      <w:r w:rsidR="00F6694C" w:rsidRPr="00DE75D4">
        <w:rPr>
          <w:rFonts w:ascii="標楷體" w:eastAsia="標楷體" w:hAnsi="標楷體" w:hint="eastAsia"/>
          <w:spacing w:val="12"/>
          <w:sz w:val="30"/>
        </w:rPr>
        <w:t>％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。</w:t>
      </w:r>
    </w:p>
    <w:p w:rsidR="0072282D" w:rsidRPr="00DE75D4" w:rsidRDefault="006E11AA" w:rsidP="00277479">
      <w:pPr>
        <w:kinsoku w:val="0"/>
        <w:overflowPunct w:val="0"/>
        <w:autoSpaceDE w:val="0"/>
        <w:autoSpaceDN w:val="0"/>
        <w:spacing w:line="50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spacing w:val="12"/>
          <w:sz w:val="30"/>
        </w:rPr>
      </w:pPr>
      <w:r w:rsidRPr="00DE75D4">
        <w:rPr>
          <w:rFonts w:ascii="標楷體" w:eastAsia="標楷體" w:hAnsi="標楷體" w:hint="eastAsia"/>
          <w:spacing w:val="12"/>
          <w:sz w:val="30"/>
        </w:rPr>
        <w:t>（二）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營業費用共列</w:t>
      </w:r>
      <w:r w:rsidR="001C190C" w:rsidRPr="001C190C">
        <w:rPr>
          <w:rFonts w:ascii="標楷體" w:eastAsia="標楷體" w:hAnsi="標楷體"/>
          <w:spacing w:val="12"/>
          <w:sz w:val="30"/>
        </w:rPr>
        <w:t>598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31145F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元，較分配預算數</w:t>
      </w:r>
      <w:r w:rsidR="00C940BF" w:rsidRPr="00DE75D4">
        <w:rPr>
          <w:rFonts w:ascii="標楷體" w:eastAsia="標楷體" w:hAnsi="標楷體" w:hint="eastAsia"/>
          <w:spacing w:val="12"/>
          <w:sz w:val="30"/>
        </w:rPr>
        <w:t>減少</w:t>
      </w:r>
      <w:r w:rsidR="001C190C" w:rsidRPr="001C190C">
        <w:rPr>
          <w:rFonts w:ascii="標楷體" w:eastAsia="標楷體" w:hAnsi="標楷體"/>
          <w:spacing w:val="12"/>
          <w:sz w:val="30"/>
        </w:rPr>
        <w:t>58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31145F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29494F" w:rsidRPr="00DE75D4">
        <w:rPr>
          <w:rFonts w:ascii="標楷體" w:eastAsia="標楷體" w:hAnsi="標楷體" w:hint="eastAsia"/>
          <w:spacing w:val="12"/>
          <w:sz w:val="30"/>
        </w:rPr>
        <w:t>元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，約</w:t>
      </w:r>
      <w:r w:rsidR="00C940BF" w:rsidRPr="00DE75D4">
        <w:rPr>
          <w:rFonts w:ascii="標楷體" w:eastAsia="標楷體" w:hAnsi="標楷體" w:hint="eastAsia"/>
          <w:spacing w:val="12"/>
          <w:sz w:val="30"/>
        </w:rPr>
        <w:t>減</w:t>
      </w:r>
      <w:r w:rsidR="001C190C">
        <w:rPr>
          <w:rFonts w:ascii="標楷體" w:eastAsia="標楷體" w:hAnsi="標楷體"/>
          <w:spacing w:val="12"/>
          <w:sz w:val="30"/>
        </w:rPr>
        <w:t>8.9</w:t>
      </w:r>
      <w:r w:rsidR="00F6694C" w:rsidRPr="00DE75D4">
        <w:rPr>
          <w:rFonts w:ascii="標楷體" w:eastAsia="標楷體" w:hAnsi="標楷體" w:hint="eastAsia"/>
          <w:spacing w:val="12"/>
          <w:sz w:val="30"/>
        </w:rPr>
        <w:t>％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。</w:t>
      </w:r>
    </w:p>
    <w:p w:rsidR="0072282D" w:rsidRPr="00DE75D4" w:rsidRDefault="006E11AA" w:rsidP="00A0276C">
      <w:pPr>
        <w:kinsoku w:val="0"/>
        <w:overflowPunct w:val="0"/>
        <w:autoSpaceDE w:val="0"/>
        <w:autoSpaceDN w:val="0"/>
        <w:spacing w:line="46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spacing w:val="12"/>
          <w:sz w:val="30"/>
        </w:rPr>
      </w:pPr>
      <w:r w:rsidRPr="00DE75D4">
        <w:rPr>
          <w:rFonts w:ascii="標楷體" w:eastAsia="標楷體" w:hAnsi="標楷體" w:hint="eastAsia"/>
          <w:spacing w:val="12"/>
          <w:sz w:val="30"/>
        </w:rPr>
        <w:lastRenderedPageBreak/>
        <w:t>（三）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營業外費用共列</w:t>
      </w:r>
      <w:r w:rsidR="006F2275" w:rsidRPr="006F2275">
        <w:rPr>
          <w:rFonts w:ascii="標楷體" w:eastAsia="標楷體" w:hAnsi="標楷體"/>
          <w:spacing w:val="12"/>
          <w:sz w:val="30"/>
        </w:rPr>
        <w:t>267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31145F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元，較分配預算數</w:t>
      </w:r>
      <w:r w:rsidR="00A6402F" w:rsidRPr="00DE75D4">
        <w:rPr>
          <w:rFonts w:ascii="標楷體" w:eastAsia="標楷體" w:hAnsi="標楷體" w:hint="eastAsia"/>
          <w:spacing w:val="12"/>
          <w:sz w:val="30"/>
        </w:rPr>
        <w:t>增加</w:t>
      </w:r>
      <w:r w:rsidR="006F2275" w:rsidRPr="006F2275">
        <w:rPr>
          <w:rFonts w:ascii="標楷體" w:eastAsia="標楷體" w:hAnsi="標楷體"/>
          <w:spacing w:val="12"/>
          <w:sz w:val="30"/>
        </w:rPr>
        <w:t>4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31145F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元，約</w:t>
      </w:r>
      <w:r w:rsidR="003A0BB4" w:rsidRPr="00DE75D4">
        <w:rPr>
          <w:rFonts w:ascii="標楷體" w:eastAsia="標楷體" w:hAnsi="標楷體" w:hint="eastAsia"/>
          <w:spacing w:val="12"/>
          <w:sz w:val="30"/>
        </w:rPr>
        <w:t>增</w:t>
      </w:r>
      <w:r w:rsidR="006F2275">
        <w:rPr>
          <w:rFonts w:ascii="標楷體" w:eastAsia="標楷體" w:hAnsi="標楷體"/>
          <w:spacing w:val="12"/>
          <w:sz w:val="30"/>
        </w:rPr>
        <w:t>1.5</w:t>
      </w:r>
      <w:r w:rsidR="00F6694C" w:rsidRPr="00DE75D4">
        <w:rPr>
          <w:rFonts w:ascii="標楷體" w:eastAsia="標楷體" w:hAnsi="標楷體" w:hint="eastAsia"/>
          <w:spacing w:val="12"/>
          <w:sz w:val="30"/>
        </w:rPr>
        <w:t>％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。</w:t>
      </w:r>
    </w:p>
    <w:p w:rsidR="0072282D" w:rsidRDefault="006E11AA" w:rsidP="00A0276C">
      <w:pPr>
        <w:kinsoku w:val="0"/>
        <w:overflowPunct w:val="0"/>
        <w:autoSpaceDE w:val="0"/>
        <w:autoSpaceDN w:val="0"/>
        <w:spacing w:line="46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spacing w:val="12"/>
          <w:sz w:val="30"/>
        </w:rPr>
      </w:pPr>
      <w:r w:rsidRPr="00DE75D4">
        <w:rPr>
          <w:rFonts w:ascii="標楷體" w:eastAsia="標楷體" w:hAnsi="標楷體" w:hint="eastAsia"/>
          <w:spacing w:val="12"/>
          <w:sz w:val="30"/>
        </w:rPr>
        <w:t>（四）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所得稅</w:t>
      </w:r>
      <w:r w:rsidR="006F2275">
        <w:rPr>
          <w:rFonts w:ascii="標楷體" w:eastAsia="標楷體" w:hAnsi="標楷體" w:hint="eastAsia"/>
          <w:spacing w:val="12"/>
          <w:sz w:val="30"/>
        </w:rPr>
        <w:t>利益</w:t>
      </w:r>
      <w:r w:rsidR="00914D0E" w:rsidRPr="00DE75D4">
        <w:rPr>
          <w:rFonts w:ascii="標楷體" w:eastAsia="標楷體" w:hAnsi="標楷體" w:hint="eastAsia"/>
          <w:spacing w:val="12"/>
          <w:sz w:val="30"/>
        </w:rPr>
        <w:t>共列</w:t>
      </w:r>
      <w:r w:rsidR="006F2275">
        <w:rPr>
          <w:rFonts w:ascii="標楷體" w:eastAsia="標楷體" w:hAnsi="標楷體" w:hint="eastAsia"/>
          <w:spacing w:val="12"/>
          <w:sz w:val="30"/>
        </w:rPr>
        <w:t>5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億</w:t>
      </w:r>
      <w:r w:rsidR="0031145F" w:rsidRPr="00DE75D4">
        <w:rPr>
          <w:rFonts w:ascii="標楷體" w:eastAsia="標楷體" w:hAnsi="標楷體" w:hint="eastAsia"/>
          <w:spacing w:val="12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元，</w:t>
      </w:r>
      <w:r w:rsidR="00A345A5" w:rsidRPr="00DE75D4">
        <w:rPr>
          <w:rFonts w:ascii="標楷體" w:eastAsia="標楷體" w:hAnsi="標楷體" w:hint="eastAsia"/>
          <w:spacing w:val="12"/>
          <w:sz w:val="30"/>
        </w:rPr>
        <w:t>較</w:t>
      </w:r>
      <w:r w:rsidR="0072282D" w:rsidRPr="00DE75D4">
        <w:rPr>
          <w:rFonts w:ascii="標楷體" w:eastAsia="標楷體" w:hAnsi="標楷體" w:hint="eastAsia"/>
          <w:spacing w:val="12"/>
          <w:sz w:val="30"/>
        </w:rPr>
        <w:t>分配預算</w:t>
      </w:r>
      <w:r w:rsidR="00B31483" w:rsidRPr="00DE75D4">
        <w:rPr>
          <w:rFonts w:ascii="標楷體" w:eastAsia="標楷體" w:hAnsi="標楷體" w:hint="eastAsia"/>
          <w:spacing w:val="12"/>
          <w:sz w:val="30"/>
        </w:rPr>
        <w:t>數</w:t>
      </w:r>
      <w:r w:rsidR="00D34D72" w:rsidRPr="00D34D72">
        <w:rPr>
          <w:rFonts w:ascii="標楷體" w:eastAsia="標楷體" w:hAnsi="標楷體" w:hint="eastAsia"/>
          <w:spacing w:val="12"/>
          <w:sz w:val="30"/>
        </w:rPr>
        <w:t>所得稅費用</w:t>
      </w:r>
      <w:r w:rsidR="006F2275">
        <w:rPr>
          <w:rFonts w:ascii="標楷體" w:eastAsia="標楷體" w:hAnsi="標楷體" w:hint="eastAsia"/>
          <w:spacing w:val="12"/>
          <w:sz w:val="30"/>
        </w:rPr>
        <w:t>減少</w:t>
      </w:r>
      <w:r w:rsidR="006F2275">
        <w:rPr>
          <w:rFonts w:ascii="標楷體" w:eastAsia="標楷體" w:hAnsi="標楷體"/>
          <w:spacing w:val="12"/>
          <w:sz w:val="30"/>
        </w:rPr>
        <w:t>67</w:t>
      </w:r>
      <w:r w:rsidR="00A345A5" w:rsidRPr="00DE75D4">
        <w:rPr>
          <w:rFonts w:ascii="標楷體" w:eastAsia="標楷體" w:hAnsi="標楷體" w:hint="eastAsia"/>
          <w:spacing w:val="12"/>
          <w:sz w:val="30"/>
        </w:rPr>
        <w:t>億餘元</w:t>
      </w:r>
      <w:r w:rsidR="00914D0E" w:rsidRPr="00DE75D4">
        <w:rPr>
          <w:rFonts w:ascii="標楷體" w:eastAsia="標楷體" w:hAnsi="標楷體" w:hint="eastAsia"/>
          <w:spacing w:val="12"/>
          <w:sz w:val="30"/>
        </w:rPr>
        <w:t>，</w:t>
      </w:r>
      <w:r w:rsidR="00A345A5" w:rsidRPr="00DE75D4">
        <w:rPr>
          <w:rFonts w:ascii="標楷體" w:eastAsia="標楷體" w:hAnsi="標楷體" w:hint="eastAsia"/>
          <w:spacing w:val="12"/>
          <w:sz w:val="30"/>
        </w:rPr>
        <w:t>約</w:t>
      </w:r>
      <w:r w:rsidR="006F2275">
        <w:rPr>
          <w:rFonts w:ascii="標楷體" w:eastAsia="標楷體" w:hAnsi="標楷體" w:hint="eastAsia"/>
          <w:spacing w:val="12"/>
          <w:sz w:val="30"/>
        </w:rPr>
        <w:t>減</w:t>
      </w:r>
      <w:r w:rsidR="005D6FB5" w:rsidRPr="00DE75D4">
        <w:rPr>
          <w:rFonts w:ascii="標楷體" w:eastAsia="標楷體" w:hAnsi="標楷體" w:hint="eastAsia"/>
          <w:spacing w:val="12"/>
          <w:sz w:val="30"/>
        </w:rPr>
        <w:t>1</w:t>
      </w:r>
      <w:r w:rsidR="00D34D72">
        <w:rPr>
          <w:rFonts w:ascii="標楷體" w:eastAsia="標楷體" w:hAnsi="標楷體"/>
          <w:spacing w:val="12"/>
          <w:sz w:val="30"/>
        </w:rPr>
        <w:t>09</w:t>
      </w:r>
      <w:r w:rsidR="00A345A5" w:rsidRPr="00DE75D4">
        <w:rPr>
          <w:rFonts w:ascii="標楷體" w:eastAsia="標楷體" w:hAnsi="標楷體" w:hint="eastAsia"/>
          <w:spacing w:val="12"/>
          <w:sz w:val="30"/>
        </w:rPr>
        <w:t>％</w:t>
      </w:r>
      <w:r w:rsidR="00914D0E" w:rsidRPr="00DE75D4">
        <w:rPr>
          <w:rFonts w:ascii="標楷體" w:eastAsia="標楷體" w:hAnsi="標楷體" w:hint="eastAsia"/>
          <w:spacing w:val="12"/>
          <w:sz w:val="30"/>
        </w:rPr>
        <w:t>。</w:t>
      </w:r>
    </w:p>
    <w:p w:rsidR="00FD22E7" w:rsidRDefault="009F20C4" w:rsidP="00FD22E7">
      <w:pPr>
        <w:kinsoku w:val="0"/>
        <w:overflowPunct w:val="0"/>
        <w:autoSpaceDE w:val="0"/>
        <w:autoSpaceDN w:val="0"/>
        <w:spacing w:line="460" w:lineRule="exact"/>
        <w:ind w:leftChars="200" w:left="1452" w:hangingChars="300" w:hanging="972"/>
        <w:jc w:val="both"/>
        <w:outlineLvl w:val="0"/>
        <w:rPr>
          <w:rFonts w:ascii="標楷體" w:eastAsia="標楷體" w:hAnsi="標楷體"/>
          <w:spacing w:val="12"/>
          <w:sz w:val="30"/>
        </w:rPr>
      </w:pPr>
      <w:r w:rsidRPr="00DE75D4">
        <w:rPr>
          <w:rFonts w:ascii="標楷體" w:eastAsia="標楷體" w:hAnsi="標楷體" w:hint="eastAsia"/>
          <w:spacing w:val="12"/>
          <w:sz w:val="30"/>
        </w:rPr>
        <w:t>（五）</w:t>
      </w:r>
      <w:r w:rsidR="00FD22E7" w:rsidRPr="00FD22E7">
        <w:rPr>
          <w:rFonts w:ascii="標楷體" w:eastAsia="標楷體" w:hAnsi="標楷體" w:hint="eastAsia"/>
          <w:spacing w:val="12"/>
          <w:sz w:val="30"/>
        </w:rPr>
        <w:t>以上支出部分共列</w:t>
      </w:r>
      <w:r w:rsidR="00841670" w:rsidRPr="00DE75D4">
        <w:rPr>
          <w:rFonts w:ascii="標楷體" w:eastAsia="標楷體" w:hAnsi="標楷體" w:hint="eastAsia"/>
          <w:spacing w:val="12"/>
          <w:sz w:val="30"/>
        </w:rPr>
        <w:t>1兆</w:t>
      </w:r>
      <w:r w:rsidR="00841670" w:rsidRPr="00841670">
        <w:rPr>
          <w:rFonts w:ascii="標楷體" w:eastAsia="標楷體" w:hAnsi="標楷體"/>
          <w:spacing w:val="12"/>
          <w:sz w:val="30"/>
        </w:rPr>
        <w:t>2,362</w:t>
      </w:r>
      <w:r w:rsidR="00FD22E7" w:rsidRPr="00FD22E7">
        <w:rPr>
          <w:rFonts w:ascii="標楷體" w:eastAsia="標楷體" w:hAnsi="標楷體" w:hint="eastAsia"/>
          <w:spacing w:val="12"/>
          <w:sz w:val="30"/>
        </w:rPr>
        <w:t>億餘元，較分配預算數增加</w:t>
      </w:r>
      <w:r w:rsidR="007C43BE">
        <w:rPr>
          <w:rFonts w:ascii="標楷體" w:eastAsia="標楷體" w:hAnsi="標楷體"/>
          <w:spacing w:val="12"/>
          <w:sz w:val="30"/>
        </w:rPr>
        <w:t>793</w:t>
      </w:r>
      <w:r w:rsidR="00FD22E7" w:rsidRPr="00FD22E7">
        <w:rPr>
          <w:rFonts w:ascii="標楷體" w:eastAsia="標楷體" w:hAnsi="標楷體" w:hint="eastAsia"/>
          <w:spacing w:val="12"/>
          <w:sz w:val="30"/>
        </w:rPr>
        <w:t>億餘元，約增</w:t>
      </w:r>
      <w:r w:rsidR="007C43BE">
        <w:rPr>
          <w:rFonts w:ascii="標楷體" w:eastAsia="標楷體" w:hAnsi="標楷體"/>
          <w:spacing w:val="12"/>
          <w:sz w:val="30"/>
        </w:rPr>
        <w:t>6.9</w:t>
      </w:r>
      <w:r w:rsidR="00FD22E7">
        <w:rPr>
          <w:rFonts w:ascii="標楷體" w:eastAsia="標楷體" w:hAnsi="標楷體" w:hint="eastAsia"/>
          <w:spacing w:val="12"/>
          <w:sz w:val="30"/>
        </w:rPr>
        <w:t>％</w:t>
      </w:r>
      <w:r w:rsidR="00FD22E7" w:rsidRPr="00DE75D4">
        <w:rPr>
          <w:rFonts w:ascii="標楷體" w:eastAsia="標楷體" w:hAnsi="標楷體" w:hint="eastAsia"/>
          <w:spacing w:val="12"/>
          <w:sz w:val="30"/>
        </w:rPr>
        <w:t>。</w:t>
      </w:r>
    </w:p>
    <w:p w:rsidR="0072282D" w:rsidRPr="00DE75D4" w:rsidRDefault="009F20C4" w:rsidP="00A0276C">
      <w:pPr>
        <w:spacing w:beforeLines="20" w:before="48" w:line="500" w:lineRule="exact"/>
        <w:ind w:left="1520" w:hanging="1123"/>
        <w:jc w:val="both"/>
        <w:outlineLvl w:val="0"/>
        <w:rPr>
          <w:rFonts w:ascii="標楷體" w:eastAsia="標楷體" w:hAnsi="標楷體"/>
          <w:spacing w:val="20"/>
          <w:sz w:val="30"/>
        </w:rPr>
      </w:pPr>
      <w:r>
        <w:rPr>
          <w:rFonts w:ascii="標楷體" w:eastAsia="標楷體" w:hAnsi="標楷體" w:hint="eastAsia"/>
          <w:spacing w:val="20"/>
          <w:sz w:val="30"/>
        </w:rPr>
        <w:t>三</w:t>
      </w:r>
      <w:r w:rsidR="00386E40" w:rsidRPr="00DE75D4">
        <w:rPr>
          <w:rFonts w:ascii="標楷體" w:eastAsia="標楷體" w:hAnsi="標楷體" w:hint="eastAsia"/>
          <w:spacing w:val="20"/>
          <w:sz w:val="30"/>
        </w:rPr>
        <w:t>、</w:t>
      </w:r>
      <w:r w:rsidR="0066045A" w:rsidRPr="00DE75D4">
        <w:rPr>
          <w:rFonts w:ascii="標楷體" w:eastAsia="標楷體" w:hAnsi="標楷體" w:hint="eastAsia"/>
          <w:spacing w:val="20"/>
          <w:sz w:val="30"/>
        </w:rPr>
        <w:t>本期淨利</w:t>
      </w:r>
    </w:p>
    <w:p w:rsidR="0072282D" w:rsidRPr="00DE75D4" w:rsidRDefault="0072282D" w:rsidP="00A0276C">
      <w:pPr>
        <w:spacing w:line="460" w:lineRule="exact"/>
        <w:ind w:left="1077" w:firstLineChars="200" w:firstLine="68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以上收支</w:t>
      </w:r>
      <w:r w:rsidR="00D174FD" w:rsidRPr="00DE75D4">
        <w:rPr>
          <w:rFonts w:ascii="標楷體" w:eastAsia="標楷體" w:hAnsi="標楷體" w:hint="eastAsia"/>
          <w:spacing w:val="20"/>
          <w:sz w:val="30"/>
        </w:rPr>
        <w:t>互</w:t>
      </w:r>
      <w:r w:rsidRPr="00DE75D4">
        <w:rPr>
          <w:rFonts w:ascii="標楷體" w:eastAsia="標楷體" w:hAnsi="標楷體" w:hint="eastAsia"/>
          <w:spacing w:val="20"/>
          <w:sz w:val="30"/>
        </w:rPr>
        <w:t>抵後，</w:t>
      </w:r>
      <w:r w:rsidR="00446065">
        <w:rPr>
          <w:rFonts w:ascii="標楷體" w:eastAsia="標楷體" w:hAnsi="標楷體" w:hint="eastAsia"/>
          <w:spacing w:val="20"/>
          <w:sz w:val="30"/>
        </w:rPr>
        <w:t>獲</w:t>
      </w:r>
      <w:r w:rsidR="00EB5BE2" w:rsidRPr="00DE75D4">
        <w:rPr>
          <w:rFonts w:ascii="標楷體" w:eastAsia="標楷體" w:hAnsi="標楷體" w:hint="eastAsia"/>
          <w:spacing w:val="20"/>
          <w:sz w:val="30"/>
        </w:rPr>
        <w:t>本期</w:t>
      </w:r>
      <w:r w:rsidR="00806351" w:rsidRPr="00DE75D4">
        <w:rPr>
          <w:rFonts w:ascii="標楷體" w:eastAsia="標楷體" w:hAnsi="標楷體" w:hint="eastAsia"/>
          <w:spacing w:val="20"/>
          <w:sz w:val="30"/>
        </w:rPr>
        <w:t>淨利</w:t>
      </w:r>
      <w:r w:rsidR="00F40D0B" w:rsidRPr="00F40D0B">
        <w:rPr>
          <w:rFonts w:ascii="標楷體" w:eastAsia="標楷體" w:hAnsi="標楷體"/>
          <w:spacing w:val="20"/>
          <w:sz w:val="30"/>
        </w:rPr>
        <w:t>651</w:t>
      </w:r>
      <w:r w:rsidRPr="00DE75D4">
        <w:rPr>
          <w:rFonts w:ascii="標楷體" w:eastAsia="標楷體" w:hAnsi="標楷體" w:hint="eastAsia"/>
          <w:spacing w:val="20"/>
          <w:sz w:val="30"/>
        </w:rPr>
        <w:t>億</w:t>
      </w:r>
      <w:r w:rsidR="00A65D5E" w:rsidRPr="00DE75D4">
        <w:rPr>
          <w:rFonts w:ascii="標楷體" w:eastAsia="標楷體" w:hAnsi="標楷體" w:hint="eastAsia"/>
          <w:spacing w:val="20"/>
          <w:sz w:val="30"/>
        </w:rPr>
        <w:t>餘</w:t>
      </w:r>
      <w:r w:rsidRPr="00DE75D4">
        <w:rPr>
          <w:rFonts w:ascii="標楷體" w:eastAsia="標楷體" w:hAnsi="標楷體" w:hint="eastAsia"/>
          <w:spacing w:val="20"/>
          <w:sz w:val="30"/>
        </w:rPr>
        <w:t>元，</w:t>
      </w:r>
      <w:r w:rsidR="00A6402F" w:rsidRPr="00DE75D4">
        <w:rPr>
          <w:rFonts w:ascii="標楷體" w:eastAsia="標楷體" w:hAnsi="標楷體" w:hint="eastAsia"/>
          <w:spacing w:val="20"/>
          <w:sz w:val="30"/>
        </w:rPr>
        <w:t>較</w:t>
      </w:r>
      <w:r w:rsidRPr="00DE75D4">
        <w:rPr>
          <w:rFonts w:ascii="標楷體" w:eastAsia="標楷體" w:hAnsi="標楷體" w:hint="eastAsia"/>
          <w:spacing w:val="20"/>
          <w:sz w:val="30"/>
        </w:rPr>
        <w:t>分配預算</w:t>
      </w:r>
      <w:r w:rsidR="00806351" w:rsidRPr="00DE75D4">
        <w:rPr>
          <w:rFonts w:ascii="標楷體" w:eastAsia="標楷體" w:hAnsi="標楷體" w:hint="eastAsia"/>
          <w:spacing w:val="12"/>
          <w:sz w:val="30"/>
        </w:rPr>
        <w:t>數</w:t>
      </w:r>
      <w:r w:rsidR="00F40D0B">
        <w:rPr>
          <w:rFonts w:ascii="標楷體" w:eastAsia="標楷體" w:hAnsi="標楷體" w:hint="eastAsia"/>
          <w:spacing w:val="12"/>
          <w:sz w:val="30"/>
        </w:rPr>
        <w:t>減少</w:t>
      </w:r>
      <w:r w:rsidR="00F40D0B" w:rsidRPr="00F40D0B">
        <w:rPr>
          <w:rFonts w:ascii="標楷體" w:eastAsia="標楷體" w:hAnsi="標楷體"/>
          <w:spacing w:val="12"/>
          <w:sz w:val="30"/>
        </w:rPr>
        <w:t>132</w:t>
      </w:r>
      <w:r w:rsidR="0001577A" w:rsidRPr="00DE75D4">
        <w:rPr>
          <w:rFonts w:ascii="標楷體" w:eastAsia="標楷體" w:hAnsi="標楷體" w:hint="eastAsia"/>
          <w:spacing w:val="20"/>
          <w:sz w:val="30"/>
        </w:rPr>
        <w:t>億餘元</w:t>
      </w:r>
      <w:r w:rsidR="00DF5A5A" w:rsidRPr="00DE75D4">
        <w:rPr>
          <w:rFonts w:ascii="標楷體" w:eastAsia="標楷體" w:hAnsi="標楷體" w:hint="eastAsia"/>
          <w:spacing w:val="20"/>
          <w:sz w:val="30"/>
        </w:rPr>
        <w:t>，</w:t>
      </w:r>
      <w:r w:rsidR="005555D3" w:rsidRPr="00DE75D4">
        <w:rPr>
          <w:rFonts w:ascii="標楷體" w:eastAsia="標楷體" w:hAnsi="標楷體" w:hint="eastAsia"/>
          <w:spacing w:val="20"/>
          <w:sz w:val="30"/>
        </w:rPr>
        <w:t>約</w:t>
      </w:r>
      <w:r w:rsidR="00C706D4">
        <w:rPr>
          <w:rFonts w:ascii="標楷體" w:eastAsia="標楷體" w:hAnsi="標楷體" w:hint="eastAsia"/>
          <w:spacing w:val="12"/>
          <w:sz w:val="30"/>
        </w:rPr>
        <w:t>減</w:t>
      </w:r>
      <w:r w:rsidR="00F40D0B">
        <w:rPr>
          <w:rFonts w:ascii="標楷體" w:eastAsia="標楷體" w:hAnsi="標楷體"/>
          <w:spacing w:val="20"/>
          <w:sz w:val="30"/>
        </w:rPr>
        <w:t>16.9</w:t>
      </w:r>
      <w:r w:rsidR="005555D3" w:rsidRPr="00DE75D4">
        <w:rPr>
          <w:rFonts w:ascii="標楷體" w:eastAsia="標楷體" w:hAnsi="標楷體" w:hint="eastAsia"/>
          <w:spacing w:val="20"/>
          <w:sz w:val="30"/>
        </w:rPr>
        <w:t>％，</w:t>
      </w:r>
      <w:r w:rsidRPr="00DE75D4">
        <w:rPr>
          <w:rFonts w:ascii="標楷體" w:eastAsia="標楷體" w:hAnsi="標楷體" w:hint="eastAsia"/>
          <w:spacing w:val="20"/>
          <w:sz w:val="30"/>
        </w:rPr>
        <w:t>主要係</w:t>
      </w:r>
      <w:r w:rsidR="003344FE" w:rsidRPr="00DE75D4">
        <w:rPr>
          <w:rFonts w:ascii="標楷體" w:eastAsia="標楷體" w:hAnsi="標楷體" w:hint="eastAsia"/>
          <w:spacing w:val="20"/>
          <w:sz w:val="30"/>
        </w:rPr>
        <w:t>台灣中油股份有限公司因國際原油價格</w:t>
      </w:r>
      <w:r w:rsidR="003344FE">
        <w:rPr>
          <w:rFonts w:ascii="標楷體" w:eastAsia="標楷體" w:hAnsi="標楷體" w:hint="eastAsia"/>
          <w:spacing w:val="20"/>
          <w:sz w:val="30"/>
        </w:rPr>
        <w:t>下跌</w:t>
      </w:r>
      <w:r w:rsidR="000A27BD">
        <w:rPr>
          <w:rFonts w:ascii="標楷體" w:eastAsia="標楷體" w:hAnsi="標楷體" w:hint="eastAsia"/>
          <w:spacing w:val="20"/>
          <w:sz w:val="30"/>
        </w:rPr>
        <w:t>使</w:t>
      </w:r>
      <w:r w:rsidR="003344FE" w:rsidRPr="00DE75D4">
        <w:rPr>
          <w:rFonts w:ascii="標楷體" w:eastAsia="標楷體" w:hAnsi="標楷體" w:hint="eastAsia"/>
          <w:spacing w:val="20"/>
          <w:sz w:val="30"/>
        </w:rPr>
        <w:t>產品售價</w:t>
      </w:r>
      <w:r w:rsidR="00D57375">
        <w:rPr>
          <w:rFonts w:ascii="標楷體" w:eastAsia="標楷體" w:hAnsi="標楷體" w:hint="eastAsia"/>
          <w:spacing w:val="20"/>
          <w:sz w:val="30"/>
        </w:rPr>
        <w:t>調降</w:t>
      </w:r>
      <w:r w:rsidR="000A27BD">
        <w:rPr>
          <w:rFonts w:ascii="標楷體" w:eastAsia="標楷體" w:hAnsi="標楷體" w:hint="eastAsia"/>
          <w:spacing w:val="20"/>
          <w:sz w:val="30"/>
        </w:rPr>
        <w:t>，但</w:t>
      </w:r>
      <w:r w:rsidR="003344FE" w:rsidRPr="00DE75D4">
        <w:rPr>
          <w:rFonts w:ascii="標楷體" w:eastAsia="標楷體" w:hAnsi="標楷體" w:hint="eastAsia"/>
          <w:spacing w:val="20"/>
          <w:sz w:val="30"/>
        </w:rPr>
        <w:t>成本延後反映使毛利</w:t>
      </w:r>
      <w:r w:rsidR="003344FE">
        <w:rPr>
          <w:rFonts w:ascii="標楷體" w:eastAsia="標楷體" w:hAnsi="標楷體" w:hint="eastAsia"/>
          <w:spacing w:val="20"/>
          <w:sz w:val="30"/>
        </w:rPr>
        <w:t>減少</w:t>
      </w:r>
      <w:r w:rsidR="00C50864" w:rsidRPr="00DE75D4">
        <w:rPr>
          <w:rFonts w:ascii="標楷體" w:eastAsia="標楷體" w:hAnsi="標楷體" w:hint="eastAsia"/>
          <w:spacing w:val="20"/>
          <w:sz w:val="30"/>
        </w:rPr>
        <w:t>等</w:t>
      </w:r>
      <w:r w:rsidR="0031654E" w:rsidRPr="00DE75D4">
        <w:rPr>
          <w:rFonts w:ascii="標楷體" w:eastAsia="標楷體" w:hAnsi="標楷體" w:hint="eastAsia"/>
          <w:spacing w:val="20"/>
          <w:sz w:val="30"/>
        </w:rPr>
        <w:t>所致</w:t>
      </w:r>
      <w:r w:rsidRPr="00DE75D4">
        <w:rPr>
          <w:rFonts w:ascii="標楷體" w:eastAsia="標楷體" w:hAnsi="標楷體" w:hint="eastAsia"/>
          <w:spacing w:val="20"/>
          <w:sz w:val="30"/>
        </w:rPr>
        <w:t>。</w:t>
      </w:r>
    </w:p>
    <w:p w:rsidR="00003DEF" w:rsidRPr="00DE75D4" w:rsidRDefault="00003DEF" w:rsidP="00A0276C">
      <w:pPr>
        <w:pStyle w:val="Standard"/>
        <w:spacing w:afterLines="20" w:after="48"/>
        <w:ind w:firstLineChars="900" w:firstLine="3060"/>
        <w:outlineLvl w:val="0"/>
        <w:rPr>
          <w:rFonts w:eastAsia="標楷體"/>
          <w:spacing w:val="20"/>
          <w:sz w:val="30"/>
          <w:szCs w:val="30"/>
        </w:rPr>
      </w:pPr>
      <w:r w:rsidRPr="00DE75D4">
        <w:rPr>
          <w:rFonts w:eastAsia="標楷體" w:hint="eastAsia"/>
          <w:spacing w:val="20"/>
          <w:sz w:val="30"/>
          <w:szCs w:val="30"/>
        </w:rPr>
        <w:t>表</w:t>
      </w:r>
      <w:r w:rsidRPr="00DE75D4">
        <w:rPr>
          <w:rFonts w:eastAsia="標楷體"/>
          <w:spacing w:val="20"/>
          <w:sz w:val="30"/>
          <w:szCs w:val="30"/>
        </w:rPr>
        <w:t xml:space="preserve"> </w:t>
      </w:r>
      <w:r w:rsidRPr="00DE75D4">
        <w:rPr>
          <w:rFonts w:eastAsia="標楷體"/>
          <w:sz w:val="30"/>
          <w:szCs w:val="30"/>
        </w:rPr>
        <w:t>國營事業收入與支出</w:t>
      </w:r>
      <w:r w:rsidRPr="00DE75D4">
        <w:rPr>
          <w:rFonts w:eastAsia="標楷體" w:hint="eastAsia"/>
          <w:sz w:val="30"/>
          <w:szCs w:val="30"/>
        </w:rPr>
        <w:t>情形</w:t>
      </w:r>
    </w:p>
    <w:p w:rsidR="002F47D3" w:rsidRDefault="00003DEF" w:rsidP="007B7CEC">
      <w:pPr>
        <w:spacing w:afterLines="10" w:after="24" w:line="200" w:lineRule="exact"/>
        <w:jc w:val="center"/>
        <w:rPr>
          <w:rFonts w:ascii="標楷體" w:eastAsia="標楷體" w:hAnsi="標楷體"/>
          <w:sz w:val="20"/>
        </w:rPr>
      </w:pPr>
      <w:r w:rsidRPr="00DE75D4">
        <w:rPr>
          <w:rFonts w:eastAsia="標楷體"/>
          <w:spacing w:val="20"/>
          <w:szCs w:val="24"/>
        </w:rPr>
        <w:t xml:space="preserve">                  </w:t>
      </w:r>
      <w:r w:rsidR="00FF5A95" w:rsidRPr="00DE75D4">
        <w:rPr>
          <w:rFonts w:eastAsia="標楷體"/>
          <w:spacing w:val="20"/>
          <w:szCs w:val="24"/>
        </w:rPr>
        <w:t xml:space="preserve">                              </w:t>
      </w:r>
      <w:r w:rsidR="00FF5A95" w:rsidRPr="00DE75D4">
        <w:rPr>
          <w:rFonts w:ascii="標楷體" w:eastAsia="標楷體" w:hAnsi="標楷體" w:hint="eastAsia"/>
          <w:sz w:val="20"/>
        </w:rPr>
        <w:t>單位：新臺幣億元</w:t>
      </w:r>
    </w:p>
    <w:tbl>
      <w:tblPr>
        <w:tblW w:w="9494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0"/>
        <w:gridCol w:w="1696"/>
        <w:gridCol w:w="1559"/>
        <w:gridCol w:w="1559"/>
        <w:gridCol w:w="1840"/>
      </w:tblGrid>
      <w:tr w:rsidR="002F47D3" w:rsidRPr="002F47D3" w:rsidTr="002F47D3">
        <w:trPr>
          <w:trHeight w:val="281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項目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實際數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分配預算數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比較增減</w:t>
            </w:r>
            <w:r w:rsidRPr="002F47D3">
              <w:rPr>
                <w:rFonts w:eastAsia="標楷體"/>
                <w:kern w:val="0"/>
                <w:szCs w:val="24"/>
              </w:rPr>
              <w:t>(1)-(2)</w:t>
            </w:r>
          </w:p>
        </w:tc>
      </w:tr>
      <w:tr w:rsidR="002F47D3" w:rsidRPr="002F47D3" w:rsidTr="002F47D3">
        <w:trPr>
          <w:trHeight w:val="281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7D3" w:rsidRPr="002F47D3" w:rsidRDefault="002F47D3" w:rsidP="002F47D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D3" w:rsidRPr="002F47D3" w:rsidRDefault="002F47D3" w:rsidP="002F47D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金額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D3" w:rsidRPr="002F47D3" w:rsidRDefault="002F47D3" w:rsidP="002F47D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占分配預算數％</w:t>
            </w:r>
          </w:p>
        </w:tc>
      </w:tr>
      <w:tr w:rsidR="002F47D3" w:rsidRPr="002F47D3" w:rsidTr="002F47D3">
        <w:trPr>
          <w:trHeight w:val="28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總收入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13,014.50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12,353.02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661.48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5.4 </w:t>
            </w:r>
          </w:p>
        </w:tc>
      </w:tr>
      <w:tr w:rsidR="002F47D3" w:rsidRPr="002F47D3" w:rsidTr="002F47D3">
        <w:trPr>
          <w:trHeight w:val="28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營業收入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12,850.56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12,248.75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601.81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4.9 </w:t>
            </w:r>
          </w:p>
        </w:tc>
      </w:tr>
      <w:tr w:rsidR="002F47D3" w:rsidRPr="002F47D3" w:rsidTr="002F47D3">
        <w:trPr>
          <w:trHeight w:val="28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營業外收入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163.94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104.27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59.67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57.2 </w:t>
            </w:r>
          </w:p>
        </w:tc>
      </w:tr>
      <w:tr w:rsidR="002F47D3" w:rsidRPr="002F47D3" w:rsidTr="002F47D3">
        <w:trPr>
          <w:trHeight w:val="28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總支出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12,362.92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82B5D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>11,569.0</w:t>
            </w:r>
            <w:r w:rsidR="00282B5D">
              <w:rPr>
                <w:rFonts w:eastAsia="新細明體"/>
                <w:kern w:val="0"/>
                <w:szCs w:val="24"/>
              </w:rPr>
              <w:t>4</w:t>
            </w:r>
            <w:r w:rsidRPr="002F47D3">
              <w:rPr>
                <w:rFonts w:eastAsia="新細明體"/>
                <w:kern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82B5D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>793.8</w:t>
            </w:r>
            <w:r w:rsidR="00282B5D">
              <w:rPr>
                <w:rFonts w:eastAsia="新細明體"/>
                <w:kern w:val="0"/>
                <w:szCs w:val="24"/>
              </w:rPr>
              <w:t>8</w:t>
            </w:r>
            <w:r w:rsidRPr="002F47D3">
              <w:rPr>
                <w:rFonts w:eastAsia="新細明體"/>
                <w:kern w:val="0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6.9 </w:t>
            </w:r>
          </w:p>
        </w:tc>
      </w:tr>
      <w:tr w:rsidR="002F47D3" w:rsidRPr="002F47D3" w:rsidTr="002F47D3">
        <w:trPr>
          <w:trHeight w:val="28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營業成本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11,503.38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10,587.85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915.53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8.6 </w:t>
            </w:r>
          </w:p>
        </w:tc>
      </w:tr>
      <w:tr w:rsidR="002F47D3" w:rsidRPr="002F47D3" w:rsidTr="002F47D3">
        <w:trPr>
          <w:trHeight w:val="28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營業費用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598.05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82B5D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>656.1</w:t>
            </w:r>
            <w:r w:rsidR="00282B5D">
              <w:rPr>
                <w:rFonts w:eastAsia="新細明體"/>
                <w:kern w:val="0"/>
                <w:szCs w:val="24"/>
              </w:rPr>
              <w:t>7</w:t>
            </w:r>
            <w:r w:rsidRPr="002F47D3">
              <w:rPr>
                <w:rFonts w:eastAsia="新細明體"/>
                <w:kern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82B5D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>-58.1</w:t>
            </w:r>
            <w:r w:rsidR="00282B5D">
              <w:rPr>
                <w:rFonts w:eastAsia="新細明體"/>
                <w:kern w:val="0"/>
                <w:szCs w:val="24"/>
              </w:rPr>
              <w:t>2</w:t>
            </w:r>
            <w:r w:rsidRPr="002F47D3">
              <w:rPr>
                <w:rFonts w:eastAsia="新細明體"/>
                <w:kern w:val="0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8.9 </w:t>
            </w:r>
          </w:p>
        </w:tc>
      </w:tr>
      <w:tr w:rsidR="002F47D3" w:rsidRPr="002F47D3" w:rsidTr="002F47D3">
        <w:trPr>
          <w:trHeight w:val="28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營業外費用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267.07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263.05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4.02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1.5 </w:t>
            </w:r>
          </w:p>
        </w:tc>
      </w:tr>
      <w:tr w:rsidR="002F47D3" w:rsidRPr="002F47D3" w:rsidTr="002F47D3">
        <w:trPr>
          <w:trHeight w:val="28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所得稅費用（利益）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-5.58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61.97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-67.55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109.0 </w:t>
            </w:r>
          </w:p>
        </w:tc>
      </w:tr>
      <w:tr w:rsidR="002F47D3" w:rsidRPr="002F47D3" w:rsidTr="002F47D3">
        <w:trPr>
          <w:trHeight w:val="28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rPr>
                <w:rFonts w:eastAsia="標楷體"/>
                <w:kern w:val="0"/>
                <w:szCs w:val="24"/>
              </w:rPr>
            </w:pPr>
            <w:r w:rsidRPr="002F47D3">
              <w:rPr>
                <w:rFonts w:eastAsia="標楷體"/>
                <w:kern w:val="0"/>
                <w:szCs w:val="24"/>
              </w:rPr>
              <w:t>本期淨利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651.58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82B5D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>783.9</w:t>
            </w:r>
            <w:r w:rsidR="00282B5D">
              <w:rPr>
                <w:rFonts w:eastAsia="新細明體"/>
                <w:kern w:val="0"/>
                <w:szCs w:val="24"/>
              </w:rPr>
              <w:t>8</w:t>
            </w:r>
            <w:r w:rsidRPr="002F47D3">
              <w:rPr>
                <w:rFonts w:eastAsia="新細明體"/>
                <w:kern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D3" w:rsidRPr="002F47D3" w:rsidRDefault="002F47D3" w:rsidP="00282B5D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>-132.</w:t>
            </w:r>
            <w:r w:rsidR="00282B5D">
              <w:rPr>
                <w:rFonts w:eastAsia="新細明體"/>
                <w:kern w:val="0"/>
                <w:szCs w:val="24"/>
              </w:rPr>
              <w:t>40</w:t>
            </w:r>
            <w:r w:rsidRPr="002F47D3">
              <w:rPr>
                <w:rFonts w:eastAsia="新細明體"/>
                <w:kern w:val="0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D3" w:rsidRPr="002F47D3" w:rsidRDefault="002F47D3" w:rsidP="002F47D3">
            <w:pPr>
              <w:widowControl/>
              <w:jc w:val="right"/>
              <w:rPr>
                <w:rFonts w:eastAsia="新細明體"/>
                <w:kern w:val="0"/>
                <w:szCs w:val="24"/>
              </w:rPr>
            </w:pPr>
            <w:r w:rsidRPr="002F47D3">
              <w:rPr>
                <w:rFonts w:eastAsia="新細明體"/>
                <w:kern w:val="0"/>
                <w:szCs w:val="24"/>
              </w:rPr>
              <w:t xml:space="preserve">16.9 </w:t>
            </w:r>
          </w:p>
        </w:tc>
      </w:tr>
    </w:tbl>
    <w:p w:rsidR="0072282D" w:rsidRPr="00D5002E" w:rsidRDefault="0080691F" w:rsidP="00046485">
      <w:pPr>
        <w:pStyle w:val="Standard"/>
        <w:spacing w:before="120" w:after="120"/>
        <w:jc w:val="center"/>
        <w:outlineLvl w:val="0"/>
        <w:rPr>
          <w:noProof/>
          <w:color w:val="000000"/>
        </w:rPr>
      </w:pPr>
      <w:bookmarkStart w:id="1" w:name="_1553874691"/>
      <w:bookmarkStart w:id="2" w:name="_1522505183"/>
      <w:bookmarkStart w:id="3" w:name="_1522425911"/>
      <w:bookmarkStart w:id="4" w:name="_1522425889"/>
      <w:bookmarkStart w:id="5" w:name="_1522063850"/>
      <w:bookmarkStart w:id="6" w:name="_1491122794"/>
      <w:bookmarkStart w:id="7" w:name="_1491053391"/>
      <w:bookmarkStart w:id="8" w:name="_1491053343"/>
      <w:bookmarkStart w:id="9" w:name="_1491053316"/>
      <w:bookmarkStart w:id="10" w:name="_1491053277"/>
      <w:bookmarkStart w:id="11" w:name="_1491053153"/>
      <w:bookmarkStart w:id="12" w:name="_1491026583"/>
      <w:bookmarkStart w:id="13" w:name="_1491025486"/>
      <w:bookmarkStart w:id="14" w:name="_1491025455"/>
      <w:bookmarkStart w:id="15" w:name="_1491025433"/>
      <w:bookmarkStart w:id="16" w:name="_1490877315"/>
      <w:bookmarkStart w:id="17" w:name="_1490877294"/>
      <w:bookmarkStart w:id="18" w:name="_1490877177"/>
      <w:bookmarkStart w:id="19" w:name="_1490877085"/>
      <w:bookmarkStart w:id="20" w:name="_1490876980"/>
      <w:bookmarkStart w:id="21" w:name="_1490876731"/>
      <w:bookmarkStart w:id="22" w:name="_1459361362"/>
      <w:bookmarkStart w:id="23" w:name="_1459361164"/>
      <w:bookmarkStart w:id="24" w:name="_1459319570"/>
      <w:bookmarkStart w:id="25" w:name="_1459319381"/>
      <w:bookmarkStart w:id="26" w:name="_1459318693"/>
      <w:bookmarkStart w:id="27" w:name="_1427215741"/>
      <w:bookmarkStart w:id="28" w:name="_1427215733"/>
      <w:bookmarkStart w:id="29" w:name="_1395994319"/>
      <w:bookmarkStart w:id="30" w:name="_1395994289"/>
      <w:bookmarkStart w:id="31" w:name="_1395994244"/>
      <w:bookmarkStart w:id="32" w:name="_1395994039"/>
      <w:bookmarkStart w:id="33" w:name="_1395994030"/>
      <w:bookmarkStart w:id="34" w:name="_1364826689"/>
      <w:bookmarkStart w:id="35" w:name="_1364318261"/>
      <w:bookmarkStart w:id="36" w:name="_1364303446"/>
      <w:bookmarkStart w:id="37" w:name="_136430331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noProof/>
        </w:rPr>
        <w:drawing>
          <wp:inline distT="0" distB="0" distL="0" distR="0" wp14:anchorId="4EA59CC9" wp14:editId="427CA981">
            <wp:extent cx="6229350" cy="3203575"/>
            <wp:effectExtent l="0" t="0" r="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6485" w:rsidRPr="00DE75D4" w:rsidRDefault="00046485" w:rsidP="00046485">
      <w:pPr>
        <w:spacing w:beforeLines="50" w:before="120" w:line="500" w:lineRule="exact"/>
        <w:ind w:left="715" w:hanging="687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b/>
          <w:spacing w:val="20"/>
          <w:sz w:val="30"/>
        </w:rPr>
        <w:lastRenderedPageBreak/>
        <w:t>貳、資產負債實況</w:t>
      </w:r>
      <w:r w:rsidR="007E62C1" w:rsidRPr="00DE75D4">
        <w:rPr>
          <w:rFonts w:ascii="標楷體" w:eastAsia="標楷體" w:hAnsi="標楷體" w:hint="eastAsia"/>
          <w:b/>
          <w:spacing w:val="20"/>
          <w:sz w:val="30"/>
        </w:rPr>
        <w:t>（詳圖2）</w:t>
      </w:r>
    </w:p>
    <w:p w:rsidR="0072282D" w:rsidRPr="00DE75D4" w:rsidRDefault="00A92F5E" w:rsidP="00277479">
      <w:pPr>
        <w:spacing w:beforeLines="50" w:before="120" w:line="500" w:lineRule="exact"/>
        <w:ind w:left="715" w:hanging="318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一、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資產總額</w:t>
      </w:r>
      <w:r w:rsidR="00717CB3" w:rsidRPr="00DE75D4">
        <w:rPr>
          <w:rFonts w:ascii="標楷體" w:eastAsia="標楷體" w:hAnsi="標楷體" w:hint="eastAsia"/>
          <w:spacing w:val="20"/>
          <w:sz w:val="30"/>
        </w:rPr>
        <w:t>3</w:t>
      </w:r>
      <w:r w:rsidR="00BE42C4" w:rsidRPr="00DE75D4">
        <w:rPr>
          <w:rFonts w:ascii="標楷體" w:eastAsia="標楷體" w:hAnsi="標楷體" w:hint="eastAsia"/>
          <w:spacing w:val="20"/>
          <w:sz w:val="30"/>
        </w:rPr>
        <w:t>7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兆</w:t>
      </w:r>
      <w:r w:rsidR="008F65C1" w:rsidRPr="008F65C1">
        <w:rPr>
          <w:rFonts w:ascii="標楷體" w:eastAsia="標楷體" w:hAnsi="標楷體"/>
          <w:spacing w:val="20"/>
          <w:sz w:val="30"/>
        </w:rPr>
        <w:t>8,53</w:t>
      </w:r>
      <w:r w:rsidR="000F6D6A">
        <w:rPr>
          <w:rFonts w:ascii="標楷體" w:eastAsia="標楷體" w:hAnsi="標楷體" w:hint="eastAsia"/>
          <w:spacing w:val="20"/>
          <w:sz w:val="30"/>
        </w:rPr>
        <w:t>8</w:t>
      </w:r>
      <w:r w:rsidR="007445A9" w:rsidRPr="00DE75D4">
        <w:rPr>
          <w:rFonts w:ascii="標楷體" w:eastAsia="標楷體" w:hAnsi="標楷體" w:hint="eastAsia"/>
          <w:spacing w:val="20"/>
          <w:sz w:val="30"/>
        </w:rPr>
        <w:t>億餘元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，包括：</w:t>
      </w:r>
    </w:p>
    <w:p w:rsidR="0072282D" w:rsidRPr="00DE75D4" w:rsidRDefault="00A92F5E" w:rsidP="00277479">
      <w:pPr>
        <w:spacing w:line="500" w:lineRule="exact"/>
        <w:ind w:leftChars="200" w:left="48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（一）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流動資產</w:t>
      </w:r>
      <w:r w:rsidR="008F65C1" w:rsidRPr="008F65C1">
        <w:rPr>
          <w:rFonts w:ascii="標楷體" w:eastAsia="標楷體" w:hAnsi="標楷體"/>
          <w:spacing w:val="20"/>
          <w:sz w:val="30"/>
        </w:rPr>
        <w:t>10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兆</w:t>
      </w:r>
      <w:r w:rsidR="008F65C1" w:rsidRPr="008F65C1">
        <w:rPr>
          <w:rFonts w:ascii="標楷體" w:eastAsia="標楷體" w:hAnsi="標楷體"/>
          <w:spacing w:val="20"/>
          <w:sz w:val="30"/>
        </w:rPr>
        <w:t>1</w:t>
      </w:r>
      <w:r w:rsidR="00FE411E">
        <w:rPr>
          <w:rFonts w:ascii="標楷體" w:eastAsia="標楷體" w:hAnsi="標楷體" w:hint="eastAsia"/>
          <w:spacing w:val="20"/>
          <w:sz w:val="30"/>
        </w:rPr>
        <w:t>20</w:t>
      </w:r>
      <w:r w:rsidR="000F6D6A" w:rsidRPr="000F6D6A">
        <w:rPr>
          <w:rFonts w:ascii="標楷體" w:eastAsia="標楷體" w:hAnsi="標楷體" w:hint="eastAsia"/>
          <w:spacing w:val="20"/>
          <w:sz w:val="30"/>
        </w:rPr>
        <w:t>億餘元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，占資產總額之</w:t>
      </w:r>
      <w:r w:rsidR="0092695A" w:rsidRPr="00DE75D4">
        <w:rPr>
          <w:rFonts w:ascii="標楷體" w:eastAsia="標楷體" w:hAnsi="標楷體" w:hint="eastAsia"/>
          <w:spacing w:val="20"/>
          <w:sz w:val="30"/>
        </w:rPr>
        <w:t>2</w:t>
      </w:r>
      <w:r w:rsidR="008F65C1">
        <w:rPr>
          <w:rFonts w:ascii="標楷體" w:eastAsia="標楷體" w:hAnsi="標楷體"/>
          <w:spacing w:val="20"/>
          <w:sz w:val="30"/>
        </w:rPr>
        <w:t>6</w:t>
      </w:r>
      <w:r w:rsidR="00CE7BC0" w:rsidRPr="00DE75D4">
        <w:rPr>
          <w:rFonts w:ascii="標楷體" w:eastAsia="標楷體" w:hAnsi="標楷體" w:hint="eastAsia"/>
          <w:spacing w:val="20"/>
          <w:sz w:val="30"/>
        </w:rPr>
        <w:t>.</w:t>
      </w:r>
      <w:r w:rsidR="008F65C1">
        <w:rPr>
          <w:rFonts w:ascii="標楷體" w:eastAsia="標楷體" w:hAnsi="標楷體"/>
          <w:spacing w:val="20"/>
          <w:sz w:val="30"/>
        </w:rPr>
        <w:t>4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％。</w:t>
      </w:r>
    </w:p>
    <w:p w:rsidR="0072282D" w:rsidRPr="00DE75D4" w:rsidRDefault="00A92F5E" w:rsidP="00277479">
      <w:pPr>
        <w:spacing w:line="500" w:lineRule="exact"/>
        <w:ind w:leftChars="200" w:left="480"/>
        <w:jc w:val="both"/>
        <w:outlineLvl w:val="0"/>
        <w:rPr>
          <w:rFonts w:ascii="標楷體" w:eastAsia="標楷體" w:hAnsi="標楷體"/>
          <w:spacing w:val="15"/>
          <w:sz w:val="30"/>
        </w:rPr>
      </w:pPr>
      <w:r w:rsidRPr="00DE75D4">
        <w:rPr>
          <w:rFonts w:ascii="標楷體" w:eastAsia="標楷體" w:hAnsi="標楷體" w:hint="eastAsia"/>
          <w:spacing w:val="15"/>
          <w:sz w:val="30"/>
        </w:rPr>
        <w:t>（二）</w:t>
      </w:r>
      <w:r w:rsidR="001414F7" w:rsidRPr="00DE75D4">
        <w:rPr>
          <w:rFonts w:ascii="標楷體" w:eastAsia="標楷體" w:hAnsi="標楷體" w:hint="eastAsia"/>
          <w:spacing w:val="15"/>
          <w:sz w:val="2"/>
          <w:szCs w:val="2"/>
        </w:rPr>
        <w:t xml:space="preserve"> </w:t>
      </w:r>
      <w:r w:rsidR="00790A43" w:rsidRPr="00DE75D4">
        <w:rPr>
          <w:rFonts w:ascii="標楷體" w:eastAsia="標楷體" w:hAnsi="標楷體" w:hint="eastAsia"/>
          <w:spacing w:val="10"/>
          <w:sz w:val="30"/>
        </w:rPr>
        <w:t>押</w:t>
      </w:r>
      <w:r w:rsidR="0072282D" w:rsidRPr="00DE75D4">
        <w:rPr>
          <w:rFonts w:ascii="標楷體" w:eastAsia="標楷體" w:hAnsi="標楷體" w:hint="eastAsia"/>
          <w:spacing w:val="10"/>
          <w:sz w:val="30"/>
        </w:rPr>
        <w:t>匯貼現及放款</w:t>
      </w:r>
      <w:r w:rsidR="0092695A" w:rsidRPr="00DE75D4">
        <w:rPr>
          <w:rFonts w:ascii="標楷體" w:eastAsia="標楷體" w:hAnsi="標楷體"/>
          <w:spacing w:val="10"/>
          <w:sz w:val="30"/>
        </w:rPr>
        <w:t>5</w:t>
      </w:r>
      <w:r w:rsidR="0072282D" w:rsidRPr="00DE75D4">
        <w:rPr>
          <w:rFonts w:ascii="標楷體" w:eastAsia="標楷體" w:hAnsi="標楷體" w:hint="eastAsia"/>
          <w:spacing w:val="10"/>
          <w:sz w:val="30"/>
        </w:rPr>
        <w:t>兆</w:t>
      </w:r>
      <w:r w:rsidR="008F65C1" w:rsidRPr="008F65C1">
        <w:rPr>
          <w:rFonts w:ascii="標楷體" w:eastAsia="標楷體" w:hAnsi="標楷體"/>
          <w:spacing w:val="10"/>
          <w:sz w:val="30"/>
        </w:rPr>
        <w:t>3,457</w:t>
      </w:r>
      <w:r w:rsidR="0072282D" w:rsidRPr="00DE75D4">
        <w:rPr>
          <w:rFonts w:ascii="標楷體" w:eastAsia="標楷體" w:hAnsi="標楷體" w:hint="eastAsia"/>
          <w:spacing w:val="10"/>
          <w:sz w:val="30"/>
        </w:rPr>
        <w:t>億</w:t>
      </w:r>
      <w:r w:rsidR="00383150" w:rsidRPr="00DE75D4">
        <w:rPr>
          <w:rFonts w:ascii="標楷體" w:eastAsia="標楷體" w:hAnsi="標楷體" w:hint="eastAsia"/>
          <w:spacing w:val="10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0"/>
          <w:sz w:val="30"/>
        </w:rPr>
        <w:t>元，占資產總額之</w:t>
      </w:r>
      <w:r w:rsidR="0092695A" w:rsidRPr="00DE75D4">
        <w:rPr>
          <w:rFonts w:ascii="標楷體" w:eastAsia="標楷體" w:hAnsi="標楷體" w:hint="eastAsia"/>
          <w:spacing w:val="10"/>
          <w:sz w:val="30"/>
        </w:rPr>
        <w:t>1</w:t>
      </w:r>
      <w:r w:rsidR="008F65C1">
        <w:rPr>
          <w:rFonts w:ascii="標楷體" w:eastAsia="標楷體" w:hAnsi="標楷體"/>
          <w:spacing w:val="10"/>
          <w:sz w:val="30"/>
        </w:rPr>
        <w:t>4.1</w:t>
      </w:r>
      <w:r w:rsidR="0072282D" w:rsidRPr="00DE75D4">
        <w:rPr>
          <w:rFonts w:ascii="標楷體" w:eastAsia="標楷體" w:hAnsi="標楷體" w:hint="eastAsia"/>
          <w:spacing w:val="10"/>
          <w:sz w:val="30"/>
        </w:rPr>
        <w:t>％。</w:t>
      </w:r>
    </w:p>
    <w:p w:rsidR="0072282D" w:rsidRPr="00DE75D4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（三）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基金</w:t>
      </w:r>
      <w:r w:rsidR="00790A43" w:rsidRPr="00DE75D4">
        <w:rPr>
          <w:rFonts w:ascii="標楷體" w:eastAsia="標楷體" w:hAnsi="標楷體" w:hint="eastAsia"/>
          <w:spacing w:val="20"/>
          <w:sz w:val="30"/>
        </w:rPr>
        <w:t>、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投資及</w:t>
      </w:r>
      <w:r w:rsidR="00790A43" w:rsidRPr="00DE75D4">
        <w:rPr>
          <w:rFonts w:ascii="標楷體" w:eastAsia="標楷體" w:hAnsi="標楷體" w:hint="eastAsia"/>
          <w:spacing w:val="20"/>
          <w:sz w:val="30"/>
        </w:rPr>
        <w:t>長期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應收款</w:t>
      </w:r>
      <w:r w:rsidR="00CE2EBE" w:rsidRPr="00DE75D4">
        <w:rPr>
          <w:rFonts w:ascii="標楷體" w:eastAsia="標楷體" w:hAnsi="標楷體" w:hint="eastAsia"/>
          <w:spacing w:val="20"/>
          <w:sz w:val="30"/>
        </w:rPr>
        <w:t>1</w:t>
      </w:r>
      <w:r w:rsidR="008F65C1">
        <w:rPr>
          <w:rFonts w:ascii="標楷體" w:eastAsia="標楷體" w:hAnsi="標楷體"/>
          <w:spacing w:val="20"/>
          <w:sz w:val="30"/>
        </w:rPr>
        <w:t>7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兆</w:t>
      </w:r>
      <w:r w:rsidR="008F65C1" w:rsidRPr="008F65C1">
        <w:rPr>
          <w:rFonts w:ascii="標楷體" w:eastAsia="標楷體" w:hAnsi="標楷體"/>
          <w:spacing w:val="20"/>
          <w:sz w:val="30"/>
        </w:rPr>
        <w:t>4,493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億</w:t>
      </w:r>
      <w:r w:rsidR="00383150" w:rsidRPr="00DE75D4">
        <w:rPr>
          <w:rFonts w:ascii="標楷體" w:eastAsia="標楷體" w:hAnsi="標楷體" w:hint="eastAsia"/>
          <w:spacing w:val="20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元，占資產總額之</w:t>
      </w:r>
      <w:r w:rsidR="00C86728" w:rsidRPr="00DE75D4">
        <w:rPr>
          <w:rFonts w:ascii="標楷體" w:eastAsia="標楷體" w:hAnsi="標楷體" w:hint="eastAsia"/>
          <w:spacing w:val="20"/>
          <w:sz w:val="30"/>
        </w:rPr>
        <w:t>4</w:t>
      </w:r>
      <w:r w:rsidR="008F65C1">
        <w:rPr>
          <w:rFonts w:ascii="標楷體" w:eastAsia="標楷體" w:hAnsi="標楷體"/>
          <w:spacing w:val="20"/>
          <w:sz w:val="30"/>
        </w:rPr>
        <w:t>6</w:t>
      </w:r>
      <w:r w:rsidR="0092695A" w:rsidRPr="00DE75D4">
        <w:rPr>
          <w:rFonts w:ascii="標楷體" w:eastAsia="標楷體" w:hAnsi="標楷體" w:hint="eastAsia"/>
          <w:spacing w:val="20"/>
          <w:sz w:val="30"/>
        </w:rPr>
        <w:t>.</w:t>
      </w:r>
      <w:r w:rsidR="008F65C1">
        <w:rPr>
          <w:rFonts w:ascii="標楷體" w:eastAsia="標楷體" w:hAnsi="標楷體"/>
          <w:spacing w:val="20"/>
          <w:sz w:val="30"/>
        </w:rPr>
        <w:t>1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％。</w:t>
      </w:r>
    </w:p>
    <w:p w:rsidR="00302255" w:rsidRPr="00DE75D4" w:rsidRDefault="00302255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（四）不動產、廠房及設備3兆</w:t>
      </w:r>
      <w:r w:rsidR="008A6E0D" w:rsidRPr="008A6E0D">
        <w:rPr>
          <w:rFonts w:ascii="標楷體" w:eastAsia="標楷體" w:hAnsi="標楷體"/>
          <w:spacing w:val="20"/>
          <w:sz w:val="30"/>
        </w:rPr>
        <w:t>8,073</w:t>
      </w:r>
      <w:r w:rsidRPr="00DE75D4">
        <w:rPr>
          <w:rFonts w:ascii="標楷體" w:eastAsia="標楷體" w:hAnsi="標楷體" w:hint="eastAsia"/>
          <w:spacing w:val="20"/>
          <w:sz w:val="30"/>
        </w:rPr>
        <w:t>億餘元，占資產總額之</w:t>
      </w:r>
      <w:r w:rsidR="0092695A" w:rsidRPr="00DE75D4">
        <w:rPr>
          <w:rFonts w:ascii="標楷體" w:eastAsia="標楷體" w:hAnsi="標楷體"/>
          <w:spacing w:val="20"/>
          <w:sz w:val="30"/>
        </w:rPr>
        <w:t>10</w:t>
      </w:r>
      <w:r w:rsidR="008A6E0D">
        <w:rPr>
          <w:rFonts w:ascii="標楷體" w:eastAsia="標楷體" w:hAnsi="標楷體"/>
          <w:spacing w:val="20"/>
          <w:sz w:val="30"/>
        </w:rPr>
        <w:t>.1</w:t>
      </w:r>
      <w:r w:rsidRPr="00DE75D4">
        <w:rPr>
          <w:rFonts w:ascii="標楷體" w:eastAsia="標楷體" w:hAnsi="標楷體" w:hint="eastAsia"/>
          <w:spacing w:val="20"/>
          <w:sz w:val="30"/>
        </w:rPr>
        <w:t>％。</w:t>
      </w:r>
    </w:p>
    <w:p w:rsidR="00302255" w:rsidRPr="00DE75D4" w:rsidRDefault="00302255" w:rsidP="00277479">
      <w:pPr>
        <w:spacing w:line="500" w:lineRule="exact"/>
        <w:ind w:leftChars="200" w:left="48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（五）投資性不動產</w:t>
      </w:r>
      <w:r w:rsidR="0092695A" w:rsidRPr="00DE75D4">
        <w:rPr>
          <w:rFonts w:ascii="標楷體" w:eastAsia="標楷體" w:hAnsi="標楷體" w:hint="eastAsia"/>
          <w:spacing w:val="20"/>
          <w:sz w:val="30"/>
        </w:rPr>
        <w:t>4,</w:t>
      </w:r>
      <w:r w:rsidR="008A6E0D" w:rsidRPr="008A6E0D">
        <w:rPr>
          <w:rFonts w:ascii="標楷體" w:eastAsia="標楷體" w:hAnsi="標楷體"/>
          <w:spacing w:val="20"/>
          <w:sz w:val="30"/>
        </w:rPr>
        <w:t>420</w:t>
      </w:r>
      <w:r w:rsidRPr="00DE75D4">
        <w:rPr>
          <w:rFonts w:ascii="標楷體" w:eastAsia="標楷體" w:hAnsi="標楷體" w:hint="eastAsia"/>
          <w:spacing w:val="20"/>
          <w:sz w:val="30"/>
        </w:rPr>
        <w:t>億餘元，占資產總額之1.2％。</w:t>
      </w:r>
    </w:p>
    <w:p w:rsidR="0072282D" w:rsidRDefault="00302255" w:rsidP="00277479">
      <w:pPr>
        <w:spacing w:line="500" w:lineRule="exact"/>
        <w:ind w:leftChars="204" w:left="1483" w:hangingChars="292" w:hanging="993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（六</w:t>
      </w:r>
      <w:r w:rsidR="00A92F5E" w:rsidRPr="00DE75D4">
        <w:rPr>
          <w:rFonts w:ascii="標楷體" w:eastAsia="標楷體" w:hAnsi="標楷體" w:hint="eastAsia"/>
          <w:spacing w:val="20"/>
          <w:sz w:val="30"/>
        </w:rPr>
        <w:t>）</w:t>
      </w:r>
      <w:r w:rsidR="008A6E0D" w:rsidRPr="008A6E0D">
        <w:rPr>
          <w:rFonts w:ascii="標楷體" w:eastAsia="標楷體" w:hAnsi="標楷體" w:hint="eastAsia"/>
          <w:spacing w:val="20"/>
          <w:sz w:val="30"/>
        </w:rPr>
        <w:t>使用權資產、</w:t>
      </w:r>
      <w:r w:rsidRPr="00DE75D4">
        <w:rPr>
          <w:rFonts w:ascii="標楷體" w:eastAsia="標楷體" w:hAnsi="標楷體" w:hint="eastAsia"/>
          <w:spacing w:val="20"/>
          <w:sz w:val="30"/>
        </w:rPr>
        <w:t>無形資產、生物資產及其他資產合共</w:t>
      </w:r>
      <w:r w:rsidR="008A6E0D" w:rsidRPr="008A6E0D">
        <w:rPr>
          <w:rFonts w:ascii="標楷體" w:eastAsia="標楷體" w:hAnsi="標楷體"/>
          <w:spacing w:val="20"/>
          <w:sz w:val="30"/>
        </w:rPr>
        <w:t>7,974</w:t>
      </w:r>
      <w:r w:rsidRPr="00DE75D4">
        <w:rPr>
          <w:rFonts w:ascii="標楷體" w:eastAsia="標楷體" w:hAnsi="標楷體" w:hint="eastAsia"/>
          <w:spacing w:val="20"/>
          <w:sz w:val="30"/>
        </w:rPr>
        <w:t>億餘元，占資產總額之</w:t>
      </w:r>
      <w:r w:rsidR="008A6E0D">
        <w:rPr>
          <w:rFonts w:ascii="標楷體" w:eastAsia="標楷體" w:hAnsi="標楷體"/>
          <w:spacing w:val="20"/>
          <w:sz w:val="30"/>
        </w:rPr>
        <w:t>2</w:t>
      </w:r>
      <w:r w:rsidR="00D17DAF" w:rsidRPr="00DE75D4">
        <w:rPr>
          <w:rFonts w:ascii="標楷體" w:eastAsia="標楷體" w:hAnsi="標楷體" w:hint="eastAsia"/>
          <w:spacing w:val="20"/>
          <w:sz w:val="30"/>
        </w:rPr>
        <w:t>.</w:t>
      </w:r>
      <w:r w:rsidR="008A6E0D">
        <w:rPr>
          <w:rFonts w:ascii="標楷體" w:eastAsia="標楷體" w:hAnsi="標楷體"/>
          <w:spacing w:val="20"/>
          <w:sz w:val="30"/>
        </w:rPr>
        <w:t>1</w:t>
      </w:r>
      <w:r w:rsidRPr="00DE75D4">
        <w:rPr>
          <w:rFonts w:ascii="標楷體" w:eastAsia="標楷體" w:hAnsi="標楷體" w:hint="eastAsia"/>
          <w:spacing w:val="20"/>
          <w:sz w:val="30"/>
        </w:rPr>
        <w:t>％。</w:t>
      </w:r>
    </w:p>
    <w:p w:rsidR="0072282D" w:rsidRPr="00DE75D4" w:rsidRDefault="00A92F5E" w:rsidP="00277479">
      <w:pPr>
        <w:spacing w:beforeLines="50" w:before="120" w:line="500" w:lineRule="exact"/>
        <w:ind w:left="800" w:hanging="318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二、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負債總額</w:t>
      </w:r>
      <w:r w:rsidR="0037197F" w:rsidRPr="00DE75D4">
        <w:rPr>
          <w:rFonts w:ascii="標楷體" w:eastAsia="標楷體" w:hAnsi="標楷體" w:hint="eastAsia"/>
          <w:spacing w:val="20"/>
          <w:sz w:val="30"/>
        </w:rPr>
        <w:t>33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兆</w:t>
      </w:r>
      <w:r w:rsidR="008A6E0D" w:rsidRPr="008A6E0D">
        <w:rPr>
          <w:rFonts w:ascii="標楷體" w:eastAsia="標楷體" w:hAnsi="標楷體"/>
          <w:spacing w:val="20"/>
          <w:sz w:val="30"/>
        </w:rPr>
        <w:t>9,72</w:t>
      </w:r>
      <w:r w:rsidR="00FE411E">
        <w:rPr>
          <w:rFonts w:ascii="標楷體" w:eastAsia="標楷體" w:hAnsi="標楷體" w:hint="eastAsia"/>
          <w:spacing w:val="20"/>
          <w:sz w:val="30"/>
        </w:rPr>
        <w:t>6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20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元，包括：</w:t>
      </w:r>
    </w:p>
    <w:p w:rsidR="0072282D" w:rsidRPr="00DE75D4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（一）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流動負債</w:t>
      </w:r>
      <w:r w:rsidR="001D61D8" w:rsidRPr="00DE75D4">
        <w:rPr>
          <w:rFonts w:ascii="標楷體" w:eastAsia="標楷體" w:hAnsi="標楷體" w:hint="eastAsia"/>
          <w:spacing w:val="8"/>
          <w:sz w:val="30"/>
        </w:rPr>
        <w:t>1</w:t>
      </w:r>
      <w:r w:rsidR="0037197F" w:rsidRPr="00DE75D4">
        <w:rPr>
          <w:rFonts w:ascii="標楷體" w:eastAsia="標楷體" w:hAnsi="標楷體" w:hint="eastAsia"/>
          <w:spacing w:val="8"/>
          <w:sz w:val="30"/>
        </w:rPr>
        <w:t>6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兆</w:t>
      </w:r>
      <w:r w:rsidR="008A6E0D" w:rsidRPr="008A6E0D">
        <w:rPr>
          <w:rFonts w:ascii="標楷體" w:eastAsia="標楷體" w:hAnsi="標楷體"/>
          <w:spacing w:val="8"/>
          <w:sz w:val="30"/>
        </w:rPr>
        <w:t>7,03</w:t>
      </w:r>
      <w:r w:rsidR="007E75C1">
        <w:rPr>
          <w:rFonts w:ascii="標楷體" w:eastAsia="標楷體" w:hAnsi="標楷體"/>
          <w:spacing w:val="8"/>
          <w:sz w:val="30"/>
        </w:rPr>
        <w:t>4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8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元，占負債及權益總額之</w:t>
      </w:r>
      <w:r w:rsidR="001D61D8" w:rsidRPr="00DE75D4">
        <w:rPr>
          <w:rFonts w:ascii="標楷體" w:eastAsia="標楷體" w:hAnsi="標楷體" w:hint="eastAsia"/>
          <w:spacing w:val="8"/>
          <w:sz w:val="30"/>
        </w:rPr>
        <w:t>4</w:t>
      </w:r>
      <w:r w:rsidR="008A6E0D">
        <w:rPr>
          <w:rFonts w:ascii="標楷體" w:eastAsia="標楷體" w:hAnsi="標楷體" w:hint="eastAsia"/>
          <w:spacing w:val="8"/>
          <w:sz w:val="30"/>
        </w:rPr>
        <w:t>4</w:t>
      </w:r>
      <w:r w:rsidR="00E70D7A" w:rsidRPr="00DE75D4">
        <w:rPr>
          <w:rFonts w:ascii="標楷體" w:eastAsia="標楷體" w:hAnsi="標楷體" w:hint="eastAsia"/>
          <w:spacing w:val="8"/>
          <w:sz w:val="30"/>
        </w:rPr>
        <w:t>.1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％。</w:t>
      </w:r>
    </w:p>
    <w:p w:rsidR="0072282D" w:rsidRPr="00DE75D4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（二）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存款、匯款及金融債券</w:t>
      </w:r>
      <w:r w:rsidR="00776A37" w:rsidRPr="00DE75D4">
        <w:rPr>
          <w:rFonts w:ascii="標楷體" w:eastAsia="標楷體" w:hAnsi="標楷體" w:hint="eastAsia"/>
          <w:spacing w:val="20"/>
          <w:sz w:val="30"/>
        </w:rPr>
        <w:t>13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兆</w:t>
      </w:r>
      <w:r w:rsidR="008A6E0D" w:rsidRPr="008A6E0D">
        <w:rPr>
          <w:rFonts w:ascii="標楷體" w:eastAsia="標楷體" w:hAnsi="標楷體"/>
          <w:spacing w:val="20"/>
          <w:sz w:val="30"/>
        </w:rPr>
        <w:t>2,943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20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元，占負債及</w:t>
      </w:r>
      <w:r w:rsidR="00485D22" w:rsidRPr="00DE75D4">
        <w:rPr>
          <w:rFonts w:ascii="標楷體" w:eastAsia="標楷體" w:hAnsi="標楷體" w:hint="eastAsia"/>
          <w:spacing w:val="20"/>
          <w:sz w:val="30"/>
        </w:rPr>
        <w:t>權益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總額之</w:t>
      </w:r>
      <w:r w:rsidR="00E80962" w:rsidRPr="00DE75D4">
        <w:rPr>
          <w:rFonts w:ascii="標楷體" w:eastAsia="標楷體" w:hAnsi="標楷體" w:hint="eastAsia"/>
          <w:spacing w:val="20"/>
          <w:sz w:val="30"/>
        </w:rPr>
        <w:t>35</w:t>
      </w:r>
      <w:r w:rsidR="008A6E0D">
        <w:rPr>
          <w:rFonts w:ascii="標楷體" w:eastAsia="標楷體" w:hAnsi="標楷體"/>
          <w:spacing w:val="20"/>
          <w:sz w:val="30"/>
        </w:rPr>
        <w:t>.1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％。</w:t>
      </w:r>
    </w:p>
    <w:p w:rsidR="0072282D" w:rsidRPr="00DE75D4" w:rsidRDefault="00A92F5E" w:rsidP="00277479">
      <w:pPr>
        <w:spacing w:line="500" w:lineRule="exact"/>
        <w:ind w:leftChars="199" w:left="1498" w:hangingChars="300" w:hanging="102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（三）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央行及同業融資</w:t>
      </w:r>
      <w:r w:rsidR="008E49C2" w:rsidRPr="00DE75D4">
        <w:rPr>
          <w:rFonts w:ascii="標楷體" w:eastAsia="標楷體" w:hAnsi="標楷體" w:hint="eastAsia"/>
          <w:spacing w:val="14"/>
          <w:sz w:val="30"/>
        </w:rPr>
        <w:t>與長期負債</w:t>
      </w:r>
      <w:r w:rsidR="00422C05" w:rsidRPr="00DE75D4">
        <w:rPr>
          <w:rFonts w:ascii="標楷體" w:eastAsia="標楷體" w:hAnsi="標楷體" w:hint="eastAsia"/>
          <w:spacing w:val="14"/>
          <w:sz w:val="30"/>
        </w:rPr>
        <w:t>合共</w:t>
      </w:r>
      <w:r w:rsidR="00E70D7A" w:rsidRPr="00DE75D4">
        <w:rPr>
          <w:rFonts w:ascii="標楷體" w:eastAsia="標楷體" w:hAnsi="標楷體" w:hint="eastAsia"/>
          <w:spacing w:val="14"/>
          <w:sz w:val="30"/>
        </w:rPr>
        <w:t>1兆</w:t>
      </w:r>
      <w:r w:rsidR="008A6E0D" w:rsidRPr="008A6E0D">
        <w:rPr>
          <w:rFonts w:ascii="標楷體" w:eastAsia="標楷體" w:hAnsi="標楷體"/>
          <w:spacing w:val="14"/>
          <w:sz w:val="30"/>
        </w:rPr>
        <w:t>525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14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元，占負債及</w:t>
      </w:r>
      <w:r w:rsidR="00485D22" w:rsidRPr="00DE75D4">
        <w:rPr>
          <w:rFonts w:ascii="標楷體" w:eastAsia="標楷體" w:hAnsi="標楷體" w:hint="eastAsia"/>
          <w:spacing w:val="14"/>
          <w:sz w:val="30"/>
        </w:rPr>
        <w:t>權益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總額之</w:t>
      </w:r>
      <w:r w:rsidR="00E70D7A" w:rsidRPr="00DE75D4">
        <w:rPr>
          <w:rFonts w:ascii="標楷體" w:eastAsia="標楷體" w:hAnsi="標楷體" w:hint="eastAsia"/>
          <w:spacing w:val="14"/>
          <w:sz w:val="30"/>
        </w:rPr>
        <w:t>2.</w:t>
      </w:r>
      <w:r w:rsidR="008A6E0D">
        <w:rPr>
          <w:rFonts w:ascii="標楷體" w:eastAsia="標楷體" w:hAnsi="標楷體"/>
          <w:spacing w:val="14"/>
          <w:sz w:val="30"/>
        </w:rPr>
        <w:t>8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％。</w:t>
      </w:r>
    </w:p>
    <w:p w:rsidR="0072282D" w:rsidRPr="00DE75D4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</w:t>
      </w:r>
      <w:r w:rsidR="008E49C2" w:rsidRPr="00DE75D4">
        <w:rPr>
          <w:rFonts w:ascii="標楷體" w:eastAsia="標楷體" w:hAnsi="標楷體" w:hint="eastAsia"/>
          <w:spacing w:val="20"/>
          <w:sz w:val="30"/>
        </w:rPr>
        <w:t>四</w:t>
      </w:r>
      <w:r w:rsidRPr="00DE75D4">
        <w:rPr>
          <w:rFonts w:ascii="標楷體" w:eastAsia="標楷體" w:hAnsi="標楷體" w:hint="eastAsia"/>
          <w:spacing w:val="20"/>
          <w:sz w:val="30"/>
        </w:rPr>
        <w:t>）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其他負債</w:t>
      </w:r>
      <w:r w:rsidR="008A6E0D" w:rsidRPr="008A6E0D">
        <w:rPr>
          <w:rFonts w:ascii="標楷體" w:eastAsia="標楷體" w:hAnsi="標楷體"/>
          <w:spacing w:val="14"/>
          <w:sz w:val="30"/>
        </w:rPr>
        <w:t>2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兆</w:t>
      </w:r>
      <w:r w:rsidR="008A6E0D" w:rsidRPr="008A6E0D">
        <w:rPr>
          <w:rFonts w:ascii="標楷體" w:eastAsia="標楷體" w:hAnsi="標楷體"/>
          <w:spacing w:val="14"/>
          <w:sz w:val="30"/>
        </w:rPr>
        <w:t>9,223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14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元，占負債及</w:t>
      </w:r>
      <w:r w:rsidR="00485D22" w:rsidRPr="00DE75D4">
        <w:rPr>
          <w:rFonts w:ascii="標楷體" w:eastAsia="標楷體" w:hAnsi="標楷體" w:hint="eastAsia"/>
          <w:spacing w:val="14"/>
          <w:sz w:val="30"/>
        </w:rPr>
        <w:t>權益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總額之</w:t>
      </w:r>
      <w:r w:rsidR="008A6E0D">
        <w:rPr>
          <w:rFonts w:ascii="標楷體" w:eastAsia="標楷體" w:hAnsi="標楷體"/>
          <w:spacing w:val="14"/>
          <w:sz w:val="30"/>
        </w:rPr>
        <w:t>7.7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％。</w:t>
      </w:r>
    </w:p>
    <w:p w:rsidR="0072282D" w:rsidRPr="00DE75D4" w:rsidRDefault="00A92F5E" w:rsidP="00277479">
      <w:pPr>
        <w:spacing w:beforeLines="50" w:before="120" w:line="500" w:lineRule="exact"/>
        <w:ind w:left="715" w:hanging="318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三、</w:t>
      </w:r>
      <w:r w:rsidR="00485D22" w:rsidRPr="00DE75D4">
        <w:rPr>
          <w:rFonts w:ascii="標楷體" w:eastAsia="標楷體" w:hAnsi="標楷體" w:hint="eastAsia"/>
          <w:spacing w:val="20"/>
          <w:sz w:val="30"/>
        </w:rPr>
        <w:t>權益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總額</w:t>
      </w:r>
      <w:r w:rsidR="001D61D8" w:rsidRPr="00DE75D4">
        <w:rPr>
          <w:rFonts w:ascii="標楷體" w:eastAsia="標楷體" w:hAnsi="標楷體" w:hint="eastAsia"/>
          <w:spacing w:val="20"/>
          <w:sz w:val="30"/>
        </w:rPr>
        <w:t>3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兆</w:t>
      </w:r>
      <w:r w:rsidR="008A6E0D" w:rsidRPr="008A6E0D">
        <w:rPr>
          <w:rFonts w:ascii="標楷體" w:eastAsia="標楷體" w:hAnsi="標楷體"/>
          <w:spacing w:val="20"/>
          <w:sz w:val="30"/>
        </w:rPr>
        <w:t>8,812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20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元，包括：</w:t>
      </w:r>
    </w:p>
    <w:p w:rsidR="0072282D" w:rsidRPr="00DE75D4" w:rsidRDefault="00A92F5E" w:rsidP="00277479">
      <w:pPr>
        <w:spacing w:line="500" w:lineRule="exact"/>
        <w:ind w:leftChars="200" w:left="1438" w:hangingChars="292" w:hanging="958"/>
        <w:jc w:val="both"/>
        <w:outlineLvl w:val="0"/>
        <w:rPr>
          <w:rFonts w:ascii="標楷體" w:eastAsia="標楷體" w:hAnsi="標楷體"/>
          <w:spacing w:val="14"/>
          <w:sz w:val="30"/>
        </w:rPr>
      </w:pPr>
      <w:r w:rsidRPr="00DE75D4">
        <w:rPr>
          <w:rFonts w:ascii="標楷體" w:eastAsia="標楷體" w:hAnsi="標楷體" w:hint="eastAsia"/>
          <w:spacing w:val="14"/>
          <w:sz w:val="30"/>
        </w:rPr>
        <w:t>（一）</w:t>
      </w:r>
      <w:r w:rsidR="00680174" w:rsidRPr="00DE75D4">
        <w:rPr>
          <w:rFonts w:ascii="標楷體" w:eastAsia="標楷體" w:hAnsi="標楷體" w:hint="eastAsia"/>
          <w:spacing w:val="14"/>
          <w:sz w:val="2"/>
          <w:szCs w:val="2"/>
        </w:rPr>
        <w:t xml:space="preserve"> 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資本1兆</w:t>
      </w:r>
      <w:r w:rsidR="008A6E0D" w:rsidRPr="008A6E0D">
        <w:rPr>
          <w:rFonts w:ascii="標楷體" w:eastAsia="標楷體" w:hAnsi="標楷體"/>
          <w:spacing w:val="14"/>
          <w:sz w:val="30"/>
        </w:rPr>
        <w:t>3,818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14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元，占負債及</w:t>
      </w:r>
      <w:r w:rsidR="00485D22" w:rsidRPr="00DE75D4">
        <w:rPr>
          <w:rFonts w:ascii="標楷體" w:eastAsia="標楷體" w:hAnsi="標楷體" w:hint="eastAsia"/>
          <w:spacing w:val="14"/>
          <w:sz w:val="30"/>
        </w:rPr>
        <w:t>權益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總額之</w:t>
      </w:r>
      <w:r w:rsidR="00F80032" w:rsidRPr="00DE75D4">
        <w:rPr>
          <w:rFonts w:ascii="標楷體" w:eastAsia="標楷體" w:hAnsi="標楷體" w:hint="eastAsia"/>
          <w:spacing w:val="14"/>
          <w:sz w:val="30"/>
        </w:rPr>
        <w:t>3.</w:t>
      </w:r>
      <w:r w:rsidR="002270A6">
        <w:rPr>
          <w:rFonts w:ascii="標楷體" w:eastAsia="標楷體" w:hAnsi="標楷體"/>
          <w:spacing w:val="14"/>
          <w:sz w:val="30"/>
        </w:rPr>
        <w:t>6</w:t>
      </w:r>
      <w:r w:rsidR="0072282D" w:rsidRPr="00DE75D4">
        <w:rPr>
          <w:rFonts w:ascii="標楷體" w:eastAsia="標楷體" w:hAnsi="標楷體" w:hint="eastAsia"/>
          <w:spacing w:val="14"/>
          <w:sz w:val="30"/>
        </w:rPr>
        <w:t>％。</w:t>
      </w:r>
    </w:p>
    <w:p w:rsidR="0072282D" w:rsidRPr="00DE75D4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（二）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資本公積</w:t>
      </w:r>
      <w:r w:rsidR="008A6E0D" w:rsidRPr="008A6E0D">
        <w:rPr>
          <w:rFonts w:ascii="標楷體" w:eastAsia="標楷體" w:hAnsi="標楷體"/>
          <w:spacing w:val="20"/>
          <w:sz w:val="30"/>
        </w:rPr>
        <w:t>2,497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20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元，占負債及</w:t>
      </w:r>
      <w:r w:rsidR="00485D22" w:rsidRPr="00DE75D4">
        <w:rPr>
          <w:rFonts w:ascii="標楷體" w:eastAsia="標楷體" w:hAnsi="標楷體" w:hint="eastAsia"/>
          <w:spacing w:val="20"/>
          <w:sz w:val="30"/>
        </w:rPr>
        <w:t>權益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總額之</w:t>
      </w:r>
      <w:r w:rsidR="001D61D8" w:rsidRPr="00DE75D4">
        <w:rPr>
          <w:rFonts w:ascii="標楷體" w:eastAsia="標楷體" w:hAnsi="標楷體" w:hint="eastAsia"/>
          <w:spacing w:val="20"/>
          <w:sz w:val="30"/>
        </w:rPr>
        <w:t>0.</w:t>
      </w:r>
      <w:r w:rsidR="008A6E0D">
        <w:rPr>
          <w:rFonts w:ascii="標楷體" w:eastAsia="標楷體" w:hAnsi="標楷體"/>
          <w:spacing w:val="20"/>
          <w:sz w:val="30"/>
        </w:rPr>
        <w:t>7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％。</w:t>
      </w:r>
    </w:p>
    <w:p w:rsidR="0072282D" w:rsidRPr="00DE75D4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20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（三）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保留盈餘</w:t>
      </w:r>
      <w:r w:rsidR="00F80032" w:rsidRPr="00DE75D4">
        <w:rPr>
          <w:rFonts w:ascii="標楷體" w:eastAsia="標楷體" w:hAnsi="標楷體" w:hint="eastAsia"/>
          <w:spacing w:val="20"/>
          <w:sz w:val="30"/>
        </w:rPr>
        <w:t>1兆</w:t>
      </w:r>
      <w:r w:rsidR="008A6E0D" w:rsidRPr="008A6E0D">
        <w:rPr>
          <w:rFonts w:ascii="標楷體" w:eastAsia="標楷體" w:hAnsi="標楷體"/>
          <w:spacing w:val="20"/>
          <w:sz w:val="30"/>
        </w:rPr>
        <w:t>1,318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20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元，占負債及</w:t>
      </w:r>
      <w:r w:rsidR="00485D22" w:rsidRPr="00DE75D4">
        <w:rPr>
          <w:rFonts w:ascii="標楷體" w:eastAsia="標楷體" w:hAnsi="標楷體" w:hint="eastAsia"/>
          <w:spacing w:val="20"/>
          <w:sz w:val="30"/>
        </w:rPr>
        <w:t>權益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總額之</w:t>
      </w:r>
      <w:r w:rsidR="00F80032" w:rsidRPr="00DE75D4">
        <w:rPr>
          <w:rFonts w:ascii="標楷體" w:eastAsia="標楷體" w:hAnsi="標楷體" w:hint="eastAsia"/>
          <w:spacing w:val="20"/>
          <w:sz w:val="30"/>
        </w:rPr>
        <w:t>3</w:t>
      </w:r>
      <w:r w:rsidR="0072282D" w:rsidRPr="00DE75D4">
        <w:rPr>
          <w:rFonts w:ascii="標楷體" w:eastAsia="標楷體" w:hAnsi="標楷體" w:hint="eastAsia"/>
          <w:spacing w:val="20"/>
          <w:sz w:val="30"/>
        </w:rPr>
        <w:t>％。</w:t>
      </w:r>
    </w:p>
    <w:p w:rsidR="00883881" w:rsidRDefault="00A92F5E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8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（四）</w:t>
      </w:r>
      <w:r w:rsidR="00485D22" w:rsidRPr="00DE75D4">
        <w:rPr>
          <w:rFonts w:ascii="標楷體" w:eastAsia="標楷體" w:hAnsi="標楷體" w:hint="eastAsia"/>
          <w:spacing w:val="8"/>
          <w:sz w:val="30"/>
        </w:rPr>
        <w:t>累積其他綜合損益</w:t>
      </w:r>
      <w:r w:rsidR="00556F7C" w:rsidRPr="00DE75D4">
        <w:rPr>
          <w:rFonts w:ascii="標楷體" w:eastAsia="標楷體" w:hAnsi="標楷體" w:hint="eastAsia"/>
          <w:spacing w:val="8"/>
          <w:sz w:val="30"/>
        </w:rPr>
        <w:t>及非控制權益</w:t>
      </w:r>
      <w:r w:rsidR="00E25A48" w:rsidRPr="00DE75D4">
        <w:rPr>
          <w:rFonts w:ascii="標楷體" w:eastAsia="標楷體" w:hAnsi="標楷體" w:hint="eastAsia"/>
          <w:spacing w:val="8"/>
          <w:sz w:val="30"/>
        </w:rPr>
        <w:t>合共</w:t>
      </w:r>
      <w:r w:rsidR="00A362C5" w:rsidRPr="00DE75D4">
        <w:rPr>
          <w:rFonts w:ascii="標楷體" w:eastAsia="標楷體" w:hAnsi="標楷體" w:hint="eastAsia"/>
          <w:spacing w:val="8"/>
          <w:sz w:val="30"/>
        </w:rPr>
        <w:t>1</w:t>
      </w:r>
      <w:r w:rsidR="00A362C5" w:rsidRPr="00DE75D4">
        <w:rPr>
          <w:rFonts w:ascii="標楷體" w:eastAsia="標楷體" w:hAnsi="標楷體"/>
          <w:spacing w:val="8"/>
          <w:sz w:val="30"/>
        </w:rPr>
        <w:t>,</w:t>
      </w:r>
      <w:r w:rsidR="00F80032" w:rsidRPr="00DE75D4">
        <w:rPr>
          <w:rFonts w:ascii="標楷體" w:eastAsia="標楷體" w:hAnsi="標楷體" w:hint="eastAsia"/>
          <w:spacing w:val="8"/>
          <w:sz w:val="30"/>
        </w:rPr>
        <w:t>4</w:t>
      </w:r>
      <w:r w:rsidR="008A6E0D">
        <w:rPr>
          <w:rFonts w:ascii="標楷體" w:eastAsia="標楷體" w:hAnsi="標楷體"/>
          <w:spacing w:val="8"/>
          <w:sz w:val="30"/>
        </w:rPr>
        <w:t>13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億</w:t>
      </w:r>
      <w:r w:rsidR="00814428" w:rsidRPr="00DE75D4">
        <w:rPr>
          <w:rFonts w:ascii="標楷體" w:eastAsia="標楷體" w:hAnsi="標楷體" w:hint="eastAsia"/>
          <w:spacing w:val="8"/>
          <w:sz w:val="30"/>
        </w:rPr>
        <w:t>餘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元，占負債及</w:t>
      </w:r>
      <w:r w:rsidR="00485D22" w:rsidRPr="00DE75D4">
        <w:rPr>
          <w:rFonts w:ascii="標楷體" w:eastAsia="標楷體" w:hAnsi="標楷體" w:hint="eastAsia"/>
          <w:spacing w:val="8"/>
          <w:sz w:val="30"/>
        </w:rPr>
        <w:t>權益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總額之</w:t>
      </w:r>
      <w:r w:rsidR="00F80032" w:rsidRPr="00DE75D4">
        <w:rPr>
          <w:rFonts w:ascii="標楷體" w:eastAsia="標楷體" w:hAnsi="標楷體" w:hint="eastAsia"/>
          <w:spacing w:val="8"/>
          <w:sz w:val="30"/>
        </w:rPr>
        <w:t>0.4</w:t>
      </w:r>
      <w:r w:rsidR="0072282D" w:rsidRPr="00DE75D4">
        <w:rPr>
          <w:rFonts w:ascii="標楷體" w:eastAsia="標楷體" w:hAnsi="標楷體" w:hint="eastAsia"/>
          <w:spacing w:val="8"/>
          <w:sz w:val="30"/>
        </w:rPr>
        <w:t>％。</w:t>
      </w:r>
    </w:p>
    <w:p w:rsidR="0072282D" w:rsidRPr="00DE75D4" w:rsidRDefault="00883881" w:rsidP="00277479">
      <w:pPr>
        <w:spacing w:line="500" w:lineRule="exact"/>
        <w:ind w:leftChars="200" w:left="1500" w:hangingChars="300" w:hanging="1020"/>
        <w:jc w:val="both"/>
        <w:outlineLvl w:val="0"/>
        <w:rPr>
          <w:rFonts w:ascii="標楷體" w:eastAsia="標楷體" w:hAnsi="標楷體"/>
          <w:spacing w:val="8"/>
          <w:sz w:val="30"/>
        </w:rPr>
      </w:pPr>
      <w:r w:rsidRPr="00DE75D4">
        <w:rPr>
          <w:rFonts w:ascii="標楷體" w:eastAsia="標楷體" w:hAnsi="標楷體" w:hint="eastAsia"/>
          <w:spacing w:val="20"/>
          <w:sz w:val="30"/>
        </w:rPr>
        <w:t>（五）</w:t>
      </w:r>
      <w:r w:rsidRPr="00DE75D4">
        <w:rPr>
          <w:rFonts w:ascii="標楷體" w:eastAsia="標楷體" w:hAnsi="標楷體" w:hint="eastAsia"/>
          <w:spacing w:val="16"/>
          <w:sz w:val="30"/>
        </w:rPr>
        <w:t>首次採用國際財務報導準則調整數9,7</w:t>
      </w:r>
      <w:r>
        <w:rPr>
          <w:rFonts w:ascii="標楷體" w:eastAsia="標楷體" w:hAnsi="標楷體"/>
          <w:spacing w:val="16"/>
          <w:sz w:val="30"/>
        </w:rPr>
        <w:t>65</w:t>
      </w:r>
      <w:r w:rsidRPr="00DE75D4">
        <w:rPr>
          <w:rFonts w:ascii="標楷體" w:eastAsia="標楷體" w:hAnsi="標楷體" w:hint="eastAsia"/>
          <w:spacing w:val="16"/>
          <w:sz w:val="30"/>
        </w:rPr>
        <w:t>億餘元，占負債及權益總額之2.6％。</w:t>
      </w:r>
    </w:p>
    <w:p w:rsidR="00E730D6" w:rsidRPr="00E730D6" w:rsidRDefault="00946B19" w:rsidP="006E1A6C">
      <w:pPr>
        <w:spacing w:line="240" w:lineRule="exact"/>
        <w:ind w:leftChars="295" w:left="1466" w:hangingChars="316" w:hanging="758"/>
        <w:jc w:val="both"/>
        <w:outlineLvl w:val="0"/>
        <w:rPr>
          <w:rFonts w:ascii="標楷體" w:eastAsia="標楷體" w:hAnsi="標楷體"/>
          <w:spacing w:val="16"/>
          <w:sz w:val="30"/>
        </w:rPr>
      </w:pPr>
      <w:r w:rsidRPr="00FF6A61"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570865</wp:posOffset>
            </wp:positionH>
            <wp:positionV relativeFrom="paragraph">
              <wp:posOffset>4407535</wp:posOffset>
            </wp:positionV>
            <wp:extent cx="5238750" cy="3895725"/>
            <wp:effectExtent l="0" t="0" r="0" b="0"/>
            <wp:wrapTight wrapText="bothSides">
              <wp:wrapPolygon edited="0">
                <wp:start x="8876" y="1690"/>
                <wp:lineTo x="5027" y="2429"/>
                <wp:lineTo x="4791" y="3063"/>
                <wp:lineTo x="5420" y="3591"/>
                <wp:lineTo x="4084" y="5281"/>
                <wp:lineTo x="4084" y="5704"/>
                <wp:lineTo x="5105" y="6971"/>
                <wp:lineTo x="5420" y="6971"/>
                <wp:lineTo x="5420" y="8661"/>
                <wp:lineTo x="3220" y="10351"/>
                <wp:lineTo x="3142" y="11302"/>
                <wp:lineTo x="4163" y="12041"/>
                <wp:lineTo x="5420" y="12041"/>
                <wp:lineTo x="5420" y="17111"/>
                <wp:lineTo x="2042" y="17428"/>
                <wp:lineTo x="1964" y="18167"/>
                <wp:lineTo x="3063" y="18801"/>
                <wp:lineTo x="2985" y="19963"/>
                <wp:lineTo x="3770" y="20491"/>
                <wp:lineTo x="5420" y="20491"/>
                <wp:lineTo x="5420" y="21442"/>
                <wp:lineTo x="16652" y="21442"/>
                <wp:lineTo x="16652" y="15421"/>
                <wp:lineTo x="18772" y="15421"/>
                <wp:lineTo x="19636" y="14893"/>
                <wp:lineTo x="19558" y="13731"/>
                <wp:lineTo x="16652" y="12041"/>
                <wp:lineTo x="16652" y="8661"/>
                <wp:lineTo x="17123" y="7605"/>
                <wp:lineTo x="17123" y="7077"/>
                <wp:lineTo x="18144" y="6971"/>
                <wp:lineTo x="18615" y="6549"/>
                <wp:lineTo x="18458" y="4964"/>
                <wp:lineTo x="10682" y="3697"/>
                <wp:lineTo x="12332" y="3591"/>
                <wp:lineTo x="13039" y="3380"/>
                <wp:lineTo x="12803" y="1690"/>
                <wp:lineTo x="8876" y="1690"/>
              </wp:wrapPolygon>
            </wp:wrapTight>
            <wp:docPr id="17" name="圖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0</wp:posOffset>
            </wp:positionV>
            <wp:extent cx="5495925" cy="3581400"/>
            <wp:effectExtent l="0" t="0" r="0" b="0"/>
            <wp:wrapTight wrapText="bothSides">
              <wp:wrapPolygon edited="0">
                <wp:start x="4792" y="1953"/>
                <wp:lineTo x="4717" y="3677"/>
                <wp:lineTo x="5990" y="4021"/>
                <wp:lineTo x="7337" y="4136"/>
                <wp:lineTo x="3145" y="5055"/>
                <wp:lineTo x="2920" y="5974"/>
                <wp:lineTo x="3294" y="7123"/>
                <wp:lineTo x="5840" y="7698"/>
                <wp:lineTo x="5840" y="11374"/>
                <wp:lineTo x="2021" y="11719"/>
                <wp:lineTo x="1947" y="12294"/>
                <wp:lineTo x="2995" y="13213"/>
                <wp:lineTo x="2995" y="13328"/>
                <wp:lineTo x="5690" y="15051"/>
                <wp:lineTo x="5840" y="16889"/>
                <wp:lineTo x="5166" y="17694"/>
                <wp:lineTo x="4567" y="18498"/>
                <wp:lineTo x="4567" y="19187"/>
                <wp:lineTo x="5540" y="20566"/>
                <wp:lineTo x="5840" y="20566"/>
                <wp:lineTo x="5840" y="21485"/>
                <wp:lineTo x="16322" y="21485"/>
                <wp:lineTo x="16397" y="15051"/>
                <wp:lineTo x="19316" y="13213"/>
                <wp:lineTo x="19915" y="11834"/>
                <wp:lineTo x="20065" y="11374"/>
                <wp:lineTo x="20065" y="10570"/>
                <wp:lineTo x="16322" y="9536"/>
                <wp:lineTo x="16322" y="5860"/>
                <wp:lineTo x="13402" y="4021"/>
                <wp:lineTo x="14525" y="3332"/>
                <wp:lineTo x="14225" y="2643"/>
                <wp:lineTo x="10107" y="1953"/>
                <wp:lineTo x="4792" y="1953"/>
              </wp:wrapPolygon>
            </wp:wrapTight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91F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1167130</wp:posOffset>
                </wp:positionH>
                <wp:positionV relativeFrom="paragraph">
                  <wp:posOffset>8708390</wp:posOffset>
                </wp:positionV>
                <wp:extent cx="4051935" cy="339090"/>
                <wp:effectExtent l="0" t="0" r="5715" b="381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19A" w:rsidRPr="00FF6A61" w:rsidRDefault="0092719A" w:rsidP="0092719A">
                            <w:pPr>
                              <w:jc w:val="center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FF6A61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圖</w:t>
                            </w:r>
                            <w:r w:rsidRPr="00FF6A61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2</w:t>
                            </w:r>
                            <w:bookmarkStart w:id="38" w:name="_GoBack"/>
                            <w:bookmarkEnd w:id="38"/>
                            <w:r w:rsidR="00031A9E" w:rsidRPr="00031A9E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FF6A61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國營事業資產、負債及業主權益之組成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1.9pt;margin-top:685.7pt;width:319.05pt;height:26.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" stroked="f">
                <v:textbox style="mso-fit-shape-to-text:t">
                  <w:txbxContent>
                    <w:p w:rsidR="0092719A" w:rsidRPr="00FF6A61" w:rsidRDefault="0092719A" w:rsidP="0092719A">
                      <w:pPr>
                        <w:jc w:val="center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FF6A61">
                        <w:rPr>
                          <w:rFonts w:eastAsia="標楷體"/>
                          <w:sz w:val="30"/>
                          <w:szCs w:val="30"/>
                        </w:rPr>
                        <w:t>圖</w:t>
                      </w:r>
                      <w:r w:rsidRPr="00FF6A61">
                        <w:rPr>
                          <w:rFonts w:eastAsia="標楷體"/>
                          <w:sz w:val="30"/>
                          <w:szCs w:val="30"/>
                        </w:rPr>
                        <w:t>2</w:t>
                      </w:r>
                      <w:bookmarkStart w:id="39" w:name="_GoBack"/>
                      <w:bookmarkEnd w:id="39"/>
                      <w:r w:rsidR="00031A9E" w:rsidRPr="00031A9E"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</w:t>
                      </w:r>
                      <w:r w:rsidRPr="00FF6A61">
                        <w:rPr>
                          <w:rFonts w:eastAsia="標楷體"/>
                          <w:sz w:val="30"/>
                          <w:szCs w:val="30"/>
                        </w:rPr>
                        <w:t>國營事業資產、負債及業主權益之組成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30D6" w:rsidRPr="00E730D6" w:rsidSect="00A86C83">
      <w:headerReference w:type="even" r:id="rId11"/>
      <w:headerReference w:type="default" r:id="rId12"/>
      <w:footerReference w:type="default" r:id="rId13"/>
      <w:pgSz w:w="11906" w:h="16838" w:code="9"/>
      <w:pgMar w:top="1021" w:right="849" w:bottom="1021" w:left="1021" w:header="851" w:footer="992" w:gutter="0"/>
      <w:pgNumType w:start="1"/>
      <w:cols w:space="425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7C" w:rsidRDefault="00DE527C">
      <w:r>
        <w:separator/>
      </w:r>
    </w:p>
  </w:endnote>
  <w:endnote w:type="continuationSeparator" w:id="0">
    <w:p w:rsidR="00DE527C" w:rsidRDefault="00DE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新細明體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, 新細明體">
    <w:altName w:val="Pristina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31" w:rsidRDefault="006B4731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7C" w:rsidRDefault="00DE527C">
      <w:r>
        <w:separator/>
      </w:r>
    </w:p>
  </w:footnote>
  <w:footnote w:type="continuationSeparator" w:id="0">
    <w:p w:rsidR="00DE527C" w:rsidRDefault="00DE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31" w:rsidRDefault="006B4731">
    <w:pPr>
      <w:pStyle w:val="a4"/>
      <w:rPr>
        <w:sz w:val="28"/>
      </w:rPr>
    </w:pPr>
    <w:r>
      <w:rPr>
        <w:rStyle w:val="a6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31" w:rsidRDefault="006B4731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51"/>
    <w:multiLevelType w:val="singleLevel"/>
    <w:tmpl w:val="D034DD10"/>
    <w:lvl w:ilvl="0">
      <w:start w:val="6"/>
      <w:numFmt w:val="decimal"/>
      <w:lvlText w:val="(%1)"/>
      <w:legacy w:legacy="1" w:legacySpace="0" w:legacyIndent="360"/>
      <w:lvlJc w:val="left"/>
      <w:pPr>
        <w:ind w:left="1563" w:hanging="360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" w15:restartNumberingAfterBreak="0">
    <w:nsid w:val="04160000"/>
    <w:multiLevelType w:val="hybridMultilevel"/>
    <w:tmpl w:val="73340B04"/>
    <w:lvl w:ilvl="0" w:tplc="428AF59E">
      <w:start w:val="1"/>
      <w:numFmt w:val="ideographLegalTradition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9314830"/>
    <w:multiLevelType w:val="multilevel"/>
    <w:tmpl w:val="982C4AB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AB0340"/>
    <w:multiLevelType w:val="singleLevel"/>
    <w:tmpl w:val="D638C8C8"/>
    <w:lvl w:ilvl="0">
      <w:start w:val="1"/>
      <w:numFmt w:val="decimalFullWidth"/>
      <w:lvlText w:val="%1、"/>
      <w:lvlJc w:val="left"/>
      <w:pPr>
        <w:tabs>
          <w:tab w:val="num" w:pos="1484"/>
        </w:tabs>
        <w:ind w:left="1484" w:hanging="684"/>
      </w:pPr>
      <w:rPr>
        <w:rFonts w:ascii="標楷體" w:hint="eastAsia"/>
      </w:rPr>
    </w:lvl>
  </w:abstractNum>
  <w:abstractNum w:abstractNumId="4" w15:restartNumberingAfterBreak="0">
    <w:nsid w:val="14D017B5"/>
    <w:multiLevelType w:val="hybridMultilevel"/>
    <w:tmpl w:val="982C4AB2"/>
    <w:lvl w:ilvl="0" w:tplc="E62CDEF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C8275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828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7C2AC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80E77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59E44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EBA7B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070DB8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C38D0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6A0DE1"/>
    <w:multiLevelType w:val="singleLevel"/>
    <w:tmpl w:val="30F449D8"/>
    <w:lvl w:ilvl="0">
      <w:start w:val="1"/>
      <w:numFmt w:val="decimal"/>
      <w:lvlText w:val="%1."/>
      <w:lvlJc w:val="left"/>
      <w:pPr>
        <w:tabs>
          <w:tab w:val="num" w:pos="1169"/>
        </w:tabs>
        <w:ind w:left="1169" w:hanging="330"/>
      </w:pPr>
      <w:rPr>
        <w:rFonts w:ascii="華康楷書體W5" w:hint="eastAsia"/>
      </w:rPr>
    </w:lvl>
  </w:abstractNum>
  <w:abstractNum w:abstractNumId="6" w15:restartNumberingAfterBreak="0">
    <w:nsid w:val="179B5017"/>
    <w:multiLevelType w:val="singleLevel"/>
    <w:tmpl w:val="0A12A0F8"/>
    <w:lvl w:ilvl="0">
      <w:start w:val="1"/>
      <w:numFmt w:val="decimalFullWidth"/>
      <w:lvlText w:val="%1、"/>
      <w:lvlJc w:val="left"/>
      <w:pPr>
        <w:tabs>
          <w:tab w:val="num" w:pos="1484"/>
        </w:tabs>
        <w:ind w:left="1484" w:hanging="684"/>
      </w:pPr>
      <w:rPr>
        <w:rFonts w:hint="eastAsia"/>
        <w:lang w:val="en-US"/>
      </w:rPr>
    </w:lvl>
  </w:abstractNum>
  <w:abstractNum w:abstractNumId="7" w15:restartNumberingAfterBreak="0">
    <w:nsid w:val="1A707427"/>
    <w:multiLevelType w:val="multilevel"/>
    <w:tmpl w:val="982C4AB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F1AAF"/>
    <w:multiLevelType w:val="singleLevel"/>
    <w:tmpl w:val="641E4088"/>
    <w:lvl w:ilvl="0">
      <w:start w:val="4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9" w15:restartNumberingAfterBreak="0">
    <w:nsid w:val="1C244873"/>
    <w:multiLevelType w:val="singleLevel"/>
    <w:tmpl w:val="6CF8FD72"/>
    <w:lvl w:ilvl="0">
      <w:start w:val="1"/>
      <w:numFmt w:val="decimal"/>
      <w:lvlText w:val="(%1)"/>
      <w:lvlJc w:val="left"/>
      <w:pPr>
        <w:tabs>
          <w:tab w:val="num" w:pos="1773"/>
        </w:tabs>
        <w:ind w:left="1773" w:hanging="495"/>
      </w:pPr>
      <w:rPr>
        <w:rFonts w:hint="eastAsia"/>
      </w:rPr>
    </w:lvl>
  </w:abstractNum>
  <w:abstractNum w:abstractNumId="10" w15:restartNumberingAfterBreak="0">
    <w:nsid w:val="1D0E493D"/>
    <w:multiLevelType w:val="singleLevel"/>
    <w:tmpl w:val="DAEAD8E4"/>
    <w:lvl w:ilvl="0">
      <w:start w:val="1"/>
      <w:numFmt w:val="taiwaneseCountingThousand"/>
      <w:lvlText w:val="（%1）"/>
      <w:lvlJc w:val="left"/>
      <w:pPr>
        <w:tabs>
          <w:tab w:val="num" w:pos="1500"/>
        </w:tabs>
        <w:ind w:left="1500" w:hanging="1020"/>
      </w:pPr>
      <w:rPr>
        <w:rFonts w:hint="eastAsia"/>
      </w:rPr>
    </w:lvl>
  </w:abstractNum>
  <w:abstractNum w:abstractNumId="11" w15:restartNumberingAfterBreak="0">
    <w:nsid w:val="29293690"/>
    <w:multiLevelType w:val="singleLevel"/>
    <w:tmpl w:val="E3CA80D0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930"/>
      </w:pPr>
      <w:rPr>
        <w:rFonts w:hint="eastAsia"/>
        <w:sz w:val="28"/>
      </w:rPr>
    </w:lvl>
  </w:abstractNum>
  <w:abstractNum w:abstractNumId="12" w15:restartNumberingAfterBreak="0">
    <w:nsid w:val="2A400D71"/>
    <w:multiLevelType w:val="singleLevel"/>
    <w:tmpl w:val="C34CBC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13" w15:restartNumberingAfterBreak="0">
    <w:nsid w:val="364C3695"/>
    <w:multiLevelType w:val="singleLevel"/>
    <w:tmpl w:val="6DD85FCE"/>
    <w:lvl w:ilvl="0">
      <w:start w:val="4"/>
      <w:numFmt w:val="decimal"/>
      <w:lvlText w:val="%1."/>
      <w:legacy w:legacy="1" w:legacySpace="0" w:legacyIndent="255"/>
      <w:lvlJc w:val="left"/>
      <w:pPr>
        <w:ind w:left="1094" w:hanging="25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4" w15:restartNumberingAfterBreak="0">
    <w:nsid w:val="366C0098"/>
    <w:multiLevelType w:val="singleLevel"/>
    <w:tmpl w:val="F1A87E5C"/>
    <w:lvl w:ilvl="0">
      <w:start w:val="1"/>
      <w:numFmt w:val="taiwaneseCountingThousand"/>
      <w:lvlText w:val="%1、"/>
      <w:lvlJc w:val="left"/>
      <w:pPr>
        <w:tabs>
          <w:tab w:val="num" w:pos="1284"/>
        </w:tabs>
        <w:ind w:left="1284" w:hanging="804"/>
      </w:pPr>
      <w:rPr>
        <w:rFonts w:hint="eastAsia"/>
      </w:rPr>
    </w:lvl>
  </w:abstractNum>
  <w:abstractNum w:abstractNumId="15" w15:restartNumberingAfterBreak="0">
    <w:nsid w:val="36907AE7"/>
    <w:multiLevelType w:val="singleLevel"/>
    <w:tmpl w:val="99248718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945"/>
      </w:pPr>
      <w:rPr>
        <w:rFonts w:hint="eastAsia"/>
      </w:rPr>
    </w:lvl>
  </w:abstractNum>
  <w:abstractNum w:abstractNumId="16" w15:restartNumberingAfterBreak="0">
    <w:nsid w:val="38BD59C3"/>
    <w:multiLevelType w:val="singleLevel"/>
    <w:tmpl w:val="BF8ACC50"/>
    <w:lvl w:ilvl="0">
      <w:start w:val="1"/>
      <w:numFmt w:val="decimal"/>
      <w:lvlText w:val="(%1)"/>
      <w:lvlJc w:val="left"/>
      <w:pPr>
        <w:tabs>
          <w:tab w:val="num" w:pos="1524"/>
        </w:tabs>
        <w:ind w:left="1524" w:hanging="390"/>
      </w:pPr>
      <w:rPr>
        <w:rFonts w:hint="default"/>
      </w:rPr>
    </w:lvl>
  </w:abstractNum>
  <w:abstractNum w:abstractNumId="17" w15:restartNumberingAfterBreak="0">
    <w:nsid w:val="3B4636DA"/>
    <w:multiLevelType w:val="singleLevel"/>
    <w:tmpl w:val="1706B6A6"/>
    <w:lvl w:ilvl="0">
      <w:start w:val="7"/>
      <w:numFmt w:val="decimal"/>
      <w:lvlText w:val="(%1)"/>
      <w:legacy w:legacy="1" w:legacySpace="0" w:legacyIndent="405"/>
      <w:lvlJc w:val="left"/>
      <w:pPr>
        <w:ind w:left="1488" w:hanging="40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18" w15:restartNumberingAfterBreak="0">
    <w:nsid w:val="44FA5FD3"/>
    <w:multiLevelType w:val="singleLevel"/>
    <w:tmpl w:val="FC3AF24A"/>
    <w:lvl w:ilvl="0">
      <w:start w:val="1"/>
      <w:numFmt w:val="decimal"/>
      <w:lvlText w:val="(%1)"/>
      <w:lvlJc w:val="left"/>
      <w:pPr>
        <w:tabs>
          <w:tab w:val="num" w:pos="1175"/>
        </w:tabs>
        <w:ind w:left="1175" w:hanging="375"/>
      </w:pPr>
      <w:rPr>
        <w:rFonts w:hint="eastAsia"/>
      </w:rPr>
    </w:lvl>
  </w:abstractNum>
  <w:abstractNum w:abstractNumId="19" w15:restartNumberingAfterBreak="0">
    <w:nsid w:val="452C7697"/>
    <w:multiLevelType w:val="singleLevel"/>
    <w:tmpl w:val="FC3AF24A"/>
    <w:lvl w:ilvl="0">
      <w:start w:val="1"/>
      <w:numFmt w:val="decimal"/>
      <w:lvlText w:val="(%1)"/>
      <w:lvlJc w:val="left"/>
      <w:pPr>
        <w:tabs>
          <w:tab w:val="num" w:pos="1175"/>
        </w:tabs>
        <w:ind w:left="1175" w:hanging="375"/>
      </w:pPr>
      <w:rPr>
        <w:rFonts w:hint="eastAsia"/>
      </w:rPr>
    </w:lvl>
  </w:abstractNum>
  <w:abstractNum w:abstractNumId="20" w15:restartNumberingAfterBreak="0">
    <w:nsid w:val="50F64333"/>
    <w:multiLevelType w:val="singleLevel"/>
    <w:tmpl w:val="641E4088"/>
    <w:lvl w:ilvl="0">
      <w:start w:val="4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1" w15:restartNumberingAfterBreak="0">
    <w:nsid w:val="52D328F6"/>
    <w:multiLevelType w:val="singleLevel"/>
    <w:tmpl w:val="389AEA28"/>
    <w:lvl w:ilvl="0">
      <w:start w:val="1"/>
      <w:numFmt w:val="decimal"/>
      <w:lvlText w:val="(%1)"/>
      <w:lvlJc w:val="left"/>
      <w:pPr>
        <w:tabs>
          <w:tab w:val="num" w:pos="1175"/>
        </w:tabs>
        <w:ind w:left="1175" w:hanging="375"/>
      </w:pPr>
      <w:rPr>
        <w:rFonts w:hint="default"/>
      </w:rPr>
    </w:lvl>
  </w:abstractNum>
  <w:abstractNum w:abstractNumId="22" w15:restartNumberingAfterBreak="0">
    <w:nsid w:val="5B063C11"/>
    <w:multiLevelType w:val="singleLevel"/>
    <w:tmpl w:val="E412069E"/>
    <w:lvl w:ilvl="0">
      <w:start w:val="1"/>
      <w:numFmt w:val="decimalFullWidth"/>
      <w:lvlText w:val="%1、"/>
      <w:lvlJc w:val="left"/>
      <w:pPr>
        <w:tabs>
          <w:tab w:val="num" w:pos="1484"/>
        </w:tabs>
        <w:ind w:left="1484" w:hanging="684"/>
      </w:pPr>
      <w:rPr>
        <w:rFonts w:hint="eastAsia"/>
        <w:lang w:val="en-US"/>
      </w:rPr>
    </w:lvl>
  </w:abstractNum>
  <w:abstractNum w:abstractNumId="23" w15:restartNumberingAfterBreak="0">
    <w:nsid w:val="5BD37194"/>
    <w:multiLevelType w:val="singleLevel"/>
    <w:tmpl w:val="1D021ED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240"/>
      </w:pPr>
      <w:rPr>
        <w:rFonts w:hint="eastAsia"/>
      </w:rPr>
    </w:lvl>
  </w:abstractNum>
  <w:abstractNum w:abstractNumId="24" w15:restartNumberingAfterBreak="0">
    <w:nsid w:val="61FA0927"/>
    <w:multiLevelType w:val="singleLevel"/>
    <w:tmpl w:val="4BC664F4"/>
    <w:lvl w:ilvl="0">
      <w:start w:val="1"/>
      <w:numFmt w:val="decimalFullWidth"/>
      <w:lvlText w:val="%1、"/>
      <w:lvlJc w:val="left"/>
      <w:pPr>
        <w:tabs>
          <w:tab w:val="num" w:pos="1484"/>
        </w:tabs>
        <w:ind w:left="1484" w:hanging="684"/>
      </w:pPr>
      <w:rPr>
        <w:rFonts w:hint="eastAsia"/>
        <w:lang w:val="en-US"/>
      </w:rPr>
    </w:lvl>
  </w:abstractNum>
  <w:abstractNum w:abstractNumId="25" w15:restartNumberingAfterBreak="0">
    <w:nsid w:val="71DA7DA2"/>
    <w:multiLevelType w:val="singleLevel"/>
    <w:tmpl w:val="C7D8346E"/>
    <w:lvl w:ilvl="0">
      <w:start w:val="1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6" w15:restartNumberingAfterBreak="0">
    <w:nsid w:val="7A950864"/>
    <w:multiLevelType w:val="singleLevel"/>
    <w:tmpl w:val="055E229C"/>
    <w:lvl w:ilvl="0">
      <w:start w:val="5"/>
      <w:numFmt w:val="decimal"/>
      <w:lvlText w:val="%1."/>
      <w:legacy w:legacy="1" w:legacySpace="0" w:legacyIndent="255"/>
      <w:lvlJc w:val="left"/>
      <w:pPr>
        <w:ind w:left="1094" w:hanging="25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7" w15:restartNumberingAfterBreak="0">
    <w:nsid w:val="7BCA501E"/>
    <w:multiLevelType w:val="singleLevel"/>
    <w:tmpl w:val="CC2E98B6"/>
    <w:lvl w:ilvl="0">
      <w:start w:val="5"/>
      <w:numFmt w:val="decimal"/>
      <w:lvlText w:val="(%1)"/>
      <w:legacy w:legacy="1" w:legacySpace="0" w:legacyIndent="405"/>
      <w:lvlJc w:val="left"/>
      <w:pPr>
        <w:ind w:left="1488" w:hanging="40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abstractNum w:abstractNumId="28" w15:restartNumberingAfterBreak="0">
    <w:nsid w:val="7D057565"/>
    <w:multiLevelType w:val="hybridMultilevel"/>
    <w:tmpl w:val="E68C0474"/>
    <w:lvl w:ilvl="0" w:tplc="3644524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FF4786B"/>
    <w:multiLevelType w:val="singleLevel"/>
    <w:tmpl w:val="C7D8346E"/>
    <w:lvl w:ilvl="0">
      <w:start w:val="9"/>
      <w:numFmt w:val="decimal"/>
      <w:lvlText w:val="%1."/>
      <w:legacy w:legacy="1" w:legacySpace="0" w:legacyIndent="225"/>
      <w:lvlJc w:val="left"/>
      <w:pPr>
        <w:ind w:left="1064" w:hanging="225"/>
      </w:pPr>
      <w:rPr>
        <w:rFonts w:ascii="Times New Roman" w:hAnsi="Times New Roman" w:hint="default"/>
        <w:b w:val="0"/>
        <w:i w:val="0"/>
        <w:sz w:val="30"/>
        <w:u w:val="none"/>
      </w:r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3">
    <w:abstractNumId w:val="8"/>
  </w:num>
  <w:num w:numId="4">
    <w:abstractNumId w:val="17"/>
  </w:num>
  <w:num w:numId="5">
    <w:abstractNumId w:val="13"/>
  </w:num>
  <w:num w:numId="6">
    <w:abstractNumId w:val="27"/>
  </w:num>
  <w:num w:numId="7">
    <w:abstractNumId w:val="29"/>
  </w:num>
  <w:num w:numId="8">
    <w:abstractNumId w:val="29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9">
    <w:abstractNumId w:val="25"/>
  </w:num>
  <w:num w:numId="10">
    <w:abstractNumId w:val="26"/>
  </w:num>
  <w:num w:numId="11">
    <w:abstractNumId w:val="0"/>
  </w:num>
  <w:num w:numId="12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3">
    <w:abstractNumId w:val="20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4">
    <w:abstractNumId w:val="29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5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6">
    <w:abstractNumId w:val="20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8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20">
    <w:abstractNumId w:val="29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064" w:hanging="225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21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pPr>
          <w:ind w:left="1563" w:hanging="360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22">
    <w:abstractNumId w:val="5"/>
  </w:num>
  <w:num w:numId="23">
    <w:abstractNumId w:val="9"/>
  </w:num>
  <w:num w:numId="24">
    <w:abstractNumId w:val="16"/>
  </w:num>
  <w:num w:numId="25">
    <w:abstractNumId w:val="21"/>
  </w:num>
  <w:num w:numId="26">
    <w:abstractNumId w:val="18"/>
  </w:num>
  <w:num w:numId="27">
    <w:abstractNumId w:val="19"/>
  </w:num>
  <w:num w:numId="28">
    <w:abstractNumId w:val="23"/>
  </w:num>
  <w:num w:numId="29">
    <w:abstractNumId w:val="12"/>
  </w:num>
  <w:num w:numId="30">
    <w:abstractNumId w:val="4"/>
  </w:num>
  <w:num w:numId="31">
    <w:abstractNumId w:val="2"/>
  </w:num>
  <w:num w:numId="32">
    <w:abstractNumId w:val="7"/>
  </w:num>
  <w:num w:numId="33">
    <w:abstractNumId w:val="11"/>
  </w:num>
  <w:num w:numId="34">
    <w:abstractNumId w:val="10"/>
  </w:num>
  <w:num w:numId="35">
    <w:abstractNumId w:val="15"/>
  </w:num>
  <w:num w:numId="36">
    <w:abstractNumId w:val="6"/>
  </w:num>
  <w:num w:numId="37">
    <w:abstractNumId w:val="24"/>
  </w:num>
  <w:num w:numId="38">
    <w:abstractNumId w:val="22"/>
  </w:num>
  <w:num w:numId="39">
    <w:abstractNumId w:val="14"/>
  </w:num>
  <w:num w:numId="40">
    <w:abstractNumId w:val="3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evenAndOddHeaders/>
  <w:drawingGridHorizontalSpacing w:val="12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A"/>
    <w:rsid w:val="00002B4D"/>
    <w:rsid w:val="00003DEF"/>
    <w:rsid w:val="00006801"/>
    <w:rsid w:val="0001577A"/>
    <w:rsid w:val="00017314"/>
    <w:rsid w:val="0002489A"/>
    <w:rsid w:val="00025C22"/>
    <w:rsid w:val="00031A9E"/>
    <w:rsid w:val="000354DC"/>
    <w:rsid w:val="000376A8"/>
    <w:rsid w:val="000404A0"/>
    <w:rsid w:val="00043FE8"/>
    <w:rsid w:val="00046485"/>
    <w:rsid w:val="000473F8"/>
    <w:rsid w:val="00052B27"/>
    <w:rsid w:val="000554B3"/>
    <w:rsid w:val="000561A2"/>
    <w:rsid w:val="00064230"/>
    <w:rsid w:val="0006499C"/>
    <w:rsid w:val="0006605E"/>
    <w:rsid w:val="000748CF"/>
    <w:rsid w:val="00080FC6"/>
    <w:rsid w:val="00081B3A"/>
    <w:rsid w:val="00082066"/>
    <w:rsid w:val="00086D7F"/>
    <w:rsid w:val="00087FB7"/>
    <w:rsid w:val="00090A6B"/>
    <w:rsid w:val="000A10E2"/>
    <w:rsid w:val="000A27BD"/>
    <w:rsid w:val="000B0384"/>
    <w:rsid w:val="000C01E7"/>
    <w:rsid w:val="000C16CE"/>
    <w:rsid w:val="000D011E"/>
    <w:rsid w:val="000D2B84"/>
    <w:rsid w:val="000D55CF"/>
    <w:rsid w:val="000D5A12"/>
    <w:rsid w:val="000D6E7F"/>
    <w:rsid w:val="000E1597"/>
    <w:rsid w:val="000E564C"/>
    <w:rsid w:val="000E704D"/>
    <w:rsid w:val="000E74C8"/>
    <w:rsid w:val="000F3325"/>
    <w:rsid w:val="000F5D6E"/>
    <w:rsid w:val="000F6D6A"/>
    <w:rsid w:val="00100825"/>
    <w:rsid w:val="00111667"/>
    <w:rsid w:val="00112EDE"/>
    <w:rsid w:val="00116742"/>
    <w:rsid w:val="0011759D"/>
    <w:rsid w:val="00120C20"/>
    <w:rsid w:val="0012136E"/>
    <w:rsid w:val="00123917"/>
    <w:rsid w:val="001300CD"/>
    <w:rsid w:val="00134681"/>
    <w:rsid w:val="0013729A"/>
    <w:rsid w:val="00141489"/>
    <w:rsid w:val="001414F7"/>
    <w:rsid w:val="00145EE2"/>
    <w:rsid w:val="00152DB1"/>
    <w:rsid w:val="00155ED2"/>
    <w:rsid w:val="00163EA2"/>
    <w:rsid w:val="00166AC9"/>
    <w:rsid w:val="00175E0F"/>
    <w:rsid w:val="00180655"/>
    <w:rsid w:val="001810DF"/>
    <w:rsid w:val="00181284"/>
    <w:rsid w:val="001823E5"/>
    <w:rsid w:val="00185BA8"/>
    <w:rsid w:val="0019532C"/>
    <w:rsid w:val="00195B29"/>
    <w:rsid w:val="001A57DD"/>
    <w:rsid w:val="001B3AFA"/>
    <w:rsid w:val="001B6DF1"/>
    <w:rsid w:val="001C190C"/>
    <w:rsid w:val="001C298F"/>
    <w:rsid w:val="001D1192"/>
    <w:rsid w:val="001D2C30"/>
    <w:rsid w:val="001D61D8"/>
    <w:rsid w:val="001E06F7"/>
    <w:rsid w:val="001E4424"/>
    <w:rsid w:val="001E524E"/>
    <w:rsid w:val="001E599A"/>
    <w:rsid w:val="001E76D6"/>
    <w:rsid w:val="001F7BC9"/>
    <w:rsid w:val="002007EE"/>
    <w:rsid w:val="002054BF"/>
    <w:rsid w:val="00205F03"/>
    <w:rsid w:val="0020777E"/>
    <w:rsid w:val="002079D7"/>
    <w:rsid w:val="00207F86"/>
    <w:rsid w:val="00211215"/>
    <w:rsid w:val="002118BE"/>
    <w:rsid w:val="00211AF4"/>
    <w:rsid w:val="00216E48"/>
    <w:rsid w:val="0021788B"/>
    <w:rsid w:val="00217FA8"/>
    <w:rsid w:val="00221385"/>
    <w:rsid w:val="0022374D"/>
    <w:rsid w:val="00223A34"/>
    <w:rsid w:val="00224FE8"/>
    <w:rsid w:val="002268C9"/>
    <w:rsid w:val="002270A6"/>
    <w:rsid w:val="002276D5"/>
    <w:rsid w:val="00232721"/>
    <w:rsid w:val="0024088A"/>
    <w:rsid w:val="00242E49"/>
    <w:rsid w:val="0024457C"/>
    <w:rsid w:val="002502F0"/>
    <w:rsid w:val="00250BD2"/>
    <w:rsid w:val="002513F5"/>
    <w:rsid w:val="00251811"/>
    <w:rsid w:val="002573A4"/>
    <w:rsid w:val="00267803"/>
    <w:rsid w:val="00277479"/>
    <w:rsid w:val="00282773"/>
    <w:rsid w:val="00282B5D"/>
    <w:rsid w:val="00282C95"/>
    <w:rsid w:val="0028465E"/>
    <w:rsid w:val="0029076E"/>
    <w:rsid w:val="0029452E"/>
    <w:rsid w:val="0029494F"/>
    <w:rsid w:val="00295D3D"/>
    <w:rsid w:val="002A4791"/>
    <w:rsid w:val="002A7B79"/>
    <w:rsid w:val="002B117D"/>
    <w:rsid w:val="002B122E"/>
    <w:rsid w:val="002B3C22"/>
    <w:rsid w:val="002B5153"/>
    <w:rsid w:val="002B70E8"/>
    <w:rsid w:val="002C7A7C"/>
    <w:rsid w:val="002C7CCD"/>
    <w:rsid w:val="002D7A9A"/>
    <w:rsid w:val="002E2B0C"/>
    <w:rsid w:val="002E5B29"/>
    <w:rsid w:val="002E6AD3"/>
    <w:rsid w:val="002F47D3"/>
    <w:rsid w:val="002F4B18"/>
    <w:rsid w:val="002F7886"/>
    <w:rsid w:val="00302255"/>
    <w:rsid w:val="003024A9"/>
    <w:rsid w:val="003113E4"/>
    <w:rsid w:val="0031145F"/>
    <w:rsid w:val="003126C3"/>
    <w:rsid w:val="003139DD"/>
    <w:rsid w:val="00313BD5"/>
    <w:rsid w:val="0031654E"/>
    <w:rsid w:val="00327047"/>
    <w:rsid w:val="003270F5"/>
    <w:rsid w:val="00331F1E"/>
    <w:rsid w:val="003329D4"/>
    <w:rsid w:val="003344FE"/>
    <w:rsid w:val="00335877"/>
    <w:rsid w:val="0034237D"/>
    <w:rsid w:val="00342669"/>
    <w:rsid w:val="003479B6"/>
    <w:rsid w:val="0035115D"/>
    <w:rsid w:val="00355F73"/>
    <w:rsid w:val="00356CFA"/>
    <w:rsid w:val="003570BF"/>
    <w:rsid w:val="0036085A"/>
    <w:rsid w:val="00360EEF"/>
    <w:rsid w:val="00365BB8"/>
    <w:rsid w:val="003707AD"/>
    <w:rsid w:val="00371465"/>
    <w:rsid w:val="0037197F"/>
    <w:rsid w:val="00373BA6"/>
    <w:rsid w:val="00374791"/>
    <w:rsid w:val="00383150"/>
    <w:rsid w:val="00386499"/>
    <w:rsid w:val="00386E40"/>
    <w:rsid w:val="00387ABB"/>
    <w:rsid w:val="00391116"/>
    <w:rsid w:val="00392312"/>
    <w:rsid w:val="00392A9E"/>
    <w:rsid w:val="003A0BB4"/>
    <w:rsid w:val="003A3D1C"/>
    <w:rsid w:val="003A52C8"/>
    <w:rsid w:val="003B1737"/>
    <w:rsid w:val="003B2D0E"/>
    <w:rsid w:val="003B4B34"/>
    <w:rsid w:val="003B7A97"/>
    <w:rsid w:val="003B7B2E"/>
    <w:rsid w:val="003C1CEB"/>
    <w:rsid w:val="003C2230"/>
    <w:rsid w:val="003C426C"/>
    <w:rsid w:val="003D0DAB"/>
    <w:rsid w:val="003D1742"/>
    <w:rsid w:val="003D48D7"/>
    <w:rsid w:val="003E6899"/>
    <w:rsid w:val="003F0031"/>
    <w:rsid w:val="003F648E"/>
    <w:rsid w:val="004003E7"/>
    <w:rsid w:val="0040293E"/>
    <w:rsid w:val="00403A92"/>
    <w:rsid w:val="004076FB"/>
    <w:rsid w:val="00412081"/>
    <w:rsid w:val="00414229"/>
    <w:rsid w:val="00422C05"/>
    <w:rsid w:val="00424D0C"/>
    <w:rsid w:val="00427679"/>
    <w:rsid w:val="00430A8F"/>
    <w:rsid w:val="00430F40"/>
    <w:rsid w:val="00431C40"/>
    <w:rsid w:val="004407A4"/>
    <w:rsid w:val="0044516C"/>
    <w:rsid w:val="00446065"/>
    <w:rsid w:val="004545A8"/>
    <w:rsid w:val="00461403"/>
    <w:rsid w:val="004620B8"/>
    <w:rsid w:val="00464BBB"/>
    <w:rsid w:val="004726AF"/>
    <w:rsid w:val="00473BBA"/>
    <w:rsid w:val="004759F0"/>
    <w:rsid w:val="00475E13"/>
    <w:rsid w:val="00484640"/>
    <w:rsid w:val="00485D22"/>
    <w:rsid w:val="0048799B"/>
    <w:rsid w:val="004927F1"/>
    <w:rsid w:val="00493571"/>
    <w:rsid w:val="00494E40"/>
    <w:rsid w:val="004A1D64"/>
    <w:rsid w:val="004A3330"/>
    <w:rsid w:val="004A4509"/>
    <w:rsid w:val="004A52EF"/>
    <w:rsid w:val="004A682E"/>
    <w:rsid w:val="004B01C7"/>
    <w:rsid w:val="004B4E19"/>
    <w:rsid w:val="004B5D3B"/>
    <w:rsid w:val="004B75C8"/>
    <w:rsid w:val="004C7882"/>
    <w:rsid w:val="004D143D"/>
    <w:rsid w:val="004D2ADD"/>
    <w:rsid w:val="004D3983"/>
    <w:rsid w:val="004E61F7"/>
    <w:rsid w:val="004F14C3"/>
    <w:rsid w:val="004F2BEB"/>
    <w:rsid w:val="004F4398"/>
    <w:rsid w:val="004F593E"/>
    <w:rsid w:val="005071D2"/>
    <w:rsid w:val="005104F4"/>
    <w:rsid w:val="005150F2"/>
    <w:rsid w:val="00517E0C"/>
    <w:rsid w:val="00520FDB"/>
    <w:rsid w:val="00522FF3"/>
    <w:rsid w:val="00531003"/>
    <w:rsid w:val="00531D88"/>
    <w:rsid w:val="0053783A"/>
    <w:rsid w:val="005415FE"/>
    <w:rsid w:val="00544B43"/>
    <w:rsid w:val="005459DD"/>
    <w:rsid w:val="0054744F"/>
    <w:rsid w:val="00552A69"/>
    <w:rsid w:val="00553726"/>
    <w:rsid w:val="005555D3"/>
    <w:rsid w:val="00555BD9"/>
    <w:rsid w:val="00556F7C"/>
    <w:rsid w:val="00567EEF"/>
    <w:rsid w:val="0057222B"/>
    <w:rsid w:val="00575654"/>
    <w:rsid w:val="005808D5"/>
    <w:rsid w:val="00580E27"/>
    <w:rsid w:val="00587812"/>
    <w:rsid w:val="00591893"/>
    <w:rsid w:val="00593360"/>
    <w:rsid w:val="00593C78"/>
    <w:rsid w:val="005A3422"/>
    <w:rsid w:val="005A3B41"/>
    <w:rsid w:val="005B2736"/>
    <w:rsid w:val="005B5361"/>
    <w:rsid w:val="005C49A1"/>
    <w:rsid w:val="005D677F"/>
    <w:rsid w:val="005D6FB5"/>
    <w:rsid w:val="005E1C1A"/>
    <w:rsid w:val="005E3A5E"/>
    <w:rsid w:val="005F29E8"/>
    <w:rsid w:val="005F4A20"/>
    <w:rsid w:val="005F53AB"/>
    <w:rsid w:val="005F7698"/>
    <w:rsid w:val="006002EC"/>
    <w:rsid w:val="00600B8A"/>
    <w:rsid w:val="006027D2"/>
    <w:rsid w:val="0060286C"/>
    <w:rsid w:val="006038B3"/>
    <w:rsid w:val="006071A4"/>
    <w:rsid w:val="006072AD"/>
    <w:rsid w:val="00607805"/>
    <w:rsid w:val="00607900"/>
    <w:rsid w:val="00607D69"/>
    <w:rsid w:val="006110E9"/>
    <w:rsid w:val="00612D8A"/>
    <w:rsid w:val="00620958"/>
    <w:rsid w:val="00630015"/>
    <w:rsid w:val="00632320"/>
    <w:rsid w:val="00635141"/>
    <w:rsid w:val="00636D55"/>
    <w:rsid w:val="00640252"/>
    <w:rsid w:val="00642A90"/>
    <w:rsid w:val="0064339D"/>
    <w:rsid w:val="00645AFB"/>
    <w:rsid w:val="00646513"/>
    <w:rsid w:val="0065147F"/>
    <w:rsid w:val="00652468"/>
    <w:rsid w:val="00653C2A"/>
    <w:rsid w:val="0066045A"/>
    <w:rsid w:val="00661792"/>
    <w:rsid w:val="00667951"/>
    <w:rsid w:val="00673AC4"/>
    <w:rsid w:val="00677CFD"/>
    <w:rsid w:val="00680174"/>
    <w:rsid w:val="006844C5"/>
    <w:rsid w:val="0068707C"/>
    <w:rsid w:val="00695492"/>
    <w:rsid w:val="006A1607"/>
    <w:rsid w:val="006A5712"/>
    <w:rsid w:val="006A6872"/>
    <w:rsid w:val="006B040D"/>
    <w:rsid w:val="006B3266"/>
    <w:rsid w:val="006B4731"/>
    <w:rsid w:val="006B68D5"/>
    <w:rsid w:val="006B7994"/>
    <w:rsid w:val="006B7BEF"/>
    <w:rsid w:val="006C13CF"/>
    <w:rsid w:val="006C7C60"/>
    <w:rsid w:val="006D0545"/>
    <w:rsid w:val="006D1057"/>
    <w:rsid w:val="006D1E09"/>
    <w:rsid w:val="006D37AC"/>
    <w:rsid w:val="006E0226"/>
    <w:rsid w:val="006E11AA"/>
    <w:rsid w:val="006E1A6C"/>
    <w:rsid w:val="006F2275"/>
    <w:rsid w:val="006F27D5"/>
    <w:rsid w:val="006F2FFD"/>
    <w:rsid w:val="006F31BC"/>
    <w:rsid w:val="007032BE"/>
    <w:rsid w:val="007115D1"/>
    <w:rsid w:val="007127D8"/>
    <w:rsid w:val="007161E8"/>
    <w:rsid w:val="00717CB3"/>
    <w:rsid w:val="007218DB"/>
    <w:rsid w:val="0072282D"/>
    <w:rsid w:val="00722970"/>
    <w:rsid w:val="00727E51"/>
    <w:rsid w:val="00727F21"/>
    <w:rsid w:val="00742D79"/>
    <w:rsid w:val="007445A9"/>
    <w:rsid w:val="00744B0C"/>
    <w:rsid w:val="007476BF"/>
    <w:rsid w:val="00750B6B"/>
    <w:rsid w:val="0075156A"/>
    <w:rsid w:val="0075308C"/>
    <w:rsid w:val="007548E2"/>
    <w:rsid w:val="0075506F"/>
    <w:rsid w:val="007559E0"/>
    <w:rsid w:val="007561C2"/>
    <w:rsid w:val="00765024"/>
    <w:rsid w:val="007651F6"/>
    <w:rsid w:val="00765A8D"/>
    <w:rsid w:val="0076656A"/>
    <w:rsid w:val="0077001E"/>
    <w:rsid w:val="007700BA"/>
    <w:rsid w:val="00770A71"/>
    <w:rsid w:val="00771F25"/>
    <w:rsid w:val="00771F7F"/>
    <w:rsid w:val="00772563"/>
    <w:rsid w:val="00772609"/>
    <w:rsid w:val="00772CAE"/>
    <w:rsid w:val="00773FDE"/>
    <w:rsid w:val="00776A37"/>
    <w:rsid w:val="0078255E"/>
    <w:rsid w:val="00790A43"/>
    <w:rsid w:val="0079153F"/>
    <w:rsid w:val="00797ACA"/>
    <w:rsid w:val="00797C06"/>
    <w:rsid w:val="00797EFC"/>
    <w:rsid w:val="007A19AA"/>
    <w:rsid w:val="007A1C00"/>
    <w:rsid w:val="007A75CC"/>
    <w:rsid w:val="007B0AF0"/>
    <w:rsid w:val="007B38DC"/>
    <w:rsid w:val="007B5711"/>
    <w:rsid w:val="007B61EC"/>
    <w:rsid w:val="007B7CEC"/>
    <w:rsid w:val="007C00A8"/>
    <w:rsid w:val="007C1D8F"/>
    <w:rsid w:val="007C43BE"/>
    <w:rsid w:val="007D4A56"/>
    <w:rsid w:val="007D6B5C"/>
    <w:rsid w:val="007E127A"/>
    <w:rsid w:val="007E1331"/>
    <w:rsid w:val="007E62C1"/>
    <w:rsid w:val="007E75C1"/>
    <w:rsid w:val="007F5724"/>
    <w:rsid w:val="007F613F"/>
    <w:rsid w:val="007F6B8C"/>
    <w:rsid w:val="00800465"/>
    <w:rsid w:val="00806351"/>
    <w:rsid w:val="0080691F"/>
    <w:rsid w:val="00814428"/>
    <w:rsid w:val="008147A5"/>
    <w:rsid w:val="008157DF"/>
    <w:rsid w:val="0081690B"/>
    <w:rsid w:val="00816BE2"/>
    <w:rsid w:val="00817233"/>
    <w:rsid w:val="00821837"/>
    <w:rsid w:val="00823A23"/>
    <w:rsid w:val="00824D52"/>
    <w:rsid w:val="008273F8"/>
    <w:rsid w:val="00827D19"/>
    <w:rsid w:val="00827E9E"/>
    <w:rsid w:val="00830C86"/>
    <w:rsid w:val="00836BBD"/>
    <w:rsid w:val="00841670"/>
    <w:rsid w:val="00855477"/>
    <w:rsid w:val="008565E9"/>
    <w:rsid w:val="00860B89"/>
    <w:rsid w:val="00862E62"/>
    <w:rsid w:val="008659E6"/>
    <w:rsid w:val="00870B00"/>
    <w:rsid w:val="00877EE3"/>
    <w:rsid w:val="00883881"/>
    <w:rsid w:val="00887328"/>
    <w:rsid w:val="008910BB"/>
    <w:rsid w:val="00894C7E"/>
    <w:rsid w:val="00895FDB"/>
    <w:rsid w:val="008A108E"/>
    <w:rsid w:val="008A1C39"/>
    <w:rsid w:val="008A3938"/>
    <w:rsid w:val="008A5E6C"/>
    <w:rsid w:val="008A6CD1"/>
    <w:rsid w:val="008A6E0D"/>
    <w:rsid w:val="008B03C6"/>
    <w:rsid w:val="008B17A5"/>
    <w:rsid w:val="008B1943"/>
    <w:rsid w:val="008B1DFE"/>
    <w:rsid w:val="008B23B8"/>
    <w:rsid w:val="008C702C"/>
    <w:rsid w:val="008D0B1F"/>
    <w:rsid w:val="008E3692"/>
    <w:rsid w:val="008E4167"/>
    <w:rsid w:val="008E49C2"/>
    <w:rsid w:val="008E5029"/>
    <w:rsid w:val="008E622B"/>
    <w:rsid w:val="008F65C1"/>
    <w:rsid w:val="00900F77"/>
    <w:rsid w:val="00901246"/>
    <w:rsid w:val="00902837"/>
    <w:rsid w:val="009114B3"/>
    <w:rsid w:val="009137DE"/>
    <w:rsid w:val="009139E7"/>
    <w:rsid w:val="00914D0E"/>
    <w:rsid w:val="0092210C"/>
    <w:rsid w:val="00923AFB"/>
    <w:rsid w:val="009254FD"/>
    <w:rsid w:val="0092695A"/>
    <w:rsid w:val="0092719A"/>
    <w:rsid w:val="00931FC3"/>
    <w:rsid w:val="00933F9E"/>
    <w:rsid w:val="009361AC"/>
    <w:rsid w:val="00941767"/>
    <w:rsid w:val="00941A12"/>
    <w:rsid w:val="009439BF"/>
    <w:rsid w:val="00946B19"/>
    <w:rsid w:val="00952E16"/>
    <w:rsid w:val="00954BC5"/>
    <w:rsid w:val="009676FE"/>
    <w:rsid w:val="00970719"/>
    <w:rsid w:val="0097644D"/>
    <w:rsid w:val="00984EEA"/>
    <w:rsid w:val="009869A7"/>
    <w:rsid w:val="00987B8F"/>
    <w:rsid w:val="009A30C9"/>
    <w:rsid w:val="009A565C"/>
    <w:rsid w:val="009A6E4C"/>
    <w:rsid w:val="009B0A99"/>
    <w:rsid w:val="009B2CE4"/>
    <w:rsid w:val="009C14F6"/>
    <w:rsid w:val="009C27FF"/>
    <w:rsid w:val="009C5FBB"/>
    <w:rsid w:val="009C608F"/>
    <w:rsid w:val="009D49F5"/>
    <w:rsid w:val="009D5F94"/>
    <w:rsid w:val="009E089A"/>
    <w:rsid w:val="009E3469"/>
    <w:rsid w:val="009E6C1B"/>
    <w:rsid w:val="009E71F1"/>
    <w:rsid w:val="009E7459"/>
    <w:rsid w:val="009F04DC"/>
    <w:rsid w:val="009F20C4"/>
    <w:rsid w:val="009F3EAB"/>
    <w:rsid w:val="00A0276C"/>
    <w:rsid w:val="00A04EFD"/>
    <w:rsid w:val="00A06F45"/>
    <w:rsid w:val="00A07418"/>
    <w:rsid w:val="00A107DE"/>
    <w:rsid w:val="00A12A1F"/>
    <w:rsid w:val="00A1328C"/>
    <w:rsid w:val="00A142BA"/>
    <w:rsid w:val="00A14993"/>
    <w:rsid w:val="00A15398"/>
    <w:rsid w:val="00A15EC5"/>
    <w:rsid w:val="00A1620C"/>
    <w:rsid w:val="00A16E07"/>
    <w:rsid w:val="00A208A1"/>
    <w:rsid w:val="00A237B3"/>
    <w:rsid w:val="00A278C6"/>
    <w:rsid w:val="00A30ED4"/>
    <w:rsid w:val="00A345A5"/>
    <w:rsid w:val="00A362C5"/>
    <w:rsid w:val="00A37E3D"/>
    <w:rsid w:val="00A409FB"/>
    <w:rsid w:val="00A46FD8"/>
    <w:rsid w:val="00A50825"/>
    <w:rsid w:val="00A512AB"/>
    <w:rsid w:val="00A53C3A"/>
    <w:rsid w:val="00A53EA6"/>
    <w:rsid w:val="00A60904"/>
    <w:rsid w:val="00A631B1"/>
    <w:rsid w:val="00A6402F"/>
    <w:rsid w:val="00A65D5E"/>
    <w:rsid w:val="00A65F80"/>
    <w:rsid w:val="00A67399"/>
    <w:rsid w:val="00A71267"/>
    <w:rsid w:val="00A7272A"/>
    <w:rsid w:val="00A72842"/>
    <w:rsid w:val="00A76C12"/>
    <w:rsid w:val="00A81204"/>
    <w:rsid w:val="00A81A2E"/>
    <w:rsid w:val="00A86C83"/>
    <w:rsid w:val="00A92A03"/>
    <w:rsid w:val="00A92F5E"/>
    <w:rsid w:val="00A93C35"/>
    <w:rsid w:val="00A97107"/>
    <w:rsid w:val="00A973B7"/>
    <w:rsid w:val="00A97E95"/>
    <w:rsid w:val="00A97F68"/>
    <w:rsid w:val="00AA2831"/>
    <w:rsid w:val="00AA36DD"/>
    <w:rsid w:val="00AA6DE1"/>
    <w:rsid w:val="00AB27E2"/>
    <w:rsid w:val="00AC780A"/>
    <w:rsid w:val="00AD0463"/>
    <w:rsid w:val="00AD2836"/>
    <w:rsid w:val="00AD2D01"/>
    <w:rsid w:val="00AD47FF"/>
    <w:rsid w:val="00AD62C4"/>
    <w:rsid w:val="00AE0311"/>
    <w:rsid w:val="00AE2CF9"/>
    <w:rsid w:val="00AE55CC"/>
    <w:rsid w:val="00AE73D7"/>
    <w:rsid w:val="00AF1032"/>
    <w:rsid w:val="00AF18D7"/>
    <w:rsid w:val="00AF3820"/>
    <w:rsid w:val="00AF5F53"/>
    <w:rsid w:val="00B00B46"/>
    <w:rsid w:val="00B01024"/>
    <w:rsid w:val="00B02119"/>
    <w:rsid w:val="00B02B3C"/>
    <w:rsid w:val="00B02C6E"/>
    <w:rsid w:val="00B0512F"/>
    <w:rsid w:val="00B13659"/>
    <w:rsid w:val="00B15733"/>
    <w:rsid w:val="00B271ED"/>
    <w:rsid w:val="00B31483"/>
    <w:rsid w:val="00B41CEB"/>
    <w:rsid w:val="00B4272A"/>
    <w:rsid w:val="00B43123"/>
    <w:rsid w:val="00B45914"/>
    <w:rsid w:val="00B71BDB"/>
    <w:rsid w:val="00B721F9"/>
    <w:rsid w:val="00B82CF0"/>
    <w:rsid w:val="00B96C12"/>
    <w:rsid w:val="00B977E1"/>
    <w:rsid w:val="00BA0C11"/>
    <w:rsid w:val="00BA26D2"/>
    <w:rsid w:val="00BA2C90"/>
    <w:rsid w:val="00BA6426"/>
    <w:rsid w:val="00BA78BE"/>
    <w:rsid w:val="00BC0A8B"/>
    <w:rsid w:val="00BC2D6F"/>
    <w:rsid w:val="00BC4097"/>
    <w:rsid w:val="00BC6825"/>
    <w:rsid w:val="00BC7D09"/>
    <w:rsid w:val="00BD6E60"/>
    <w:rsid w:val="00BE42C4"/>
    <w:rsid w:val="00BE481F"/>
    <w:rsid w:val="00BE4A35"/>
    <w:rsid w:val="00BE500A"/>
    <w:rsid w:val="00BE67EE"/>
    <w:rsid w:val="00BE7F92"/>
    <w:rsid w:val="00BF18DD"/>
    <w:rsid w:val="00C02BE6"/>
    <w:rsid w:val="00C03B86"/>
    <w:rsid w:val="00C13405"/>
    <w:rsid w:val="00C13B2C"/>
    <w:rsid w:val="00C159DE"/>
    <w:rsid w:val="00C17221"/>
    <w:rsid w:val="00C20C0E"/>
    <w:rsid w:val="00C215C3"/>
    <w:rsid w:val="00C23904"/>
    <w:rsid w:val="00C25E63"/>
    <w:rsid w:val="00C27818"/>
    <w:rsid w:val="00C307E1"/>
    <w:rsid w:val="00C30894"/>
    <w:rsid w:val="00C316A6"/>
    <w:rsid w:val="00C31D4E"/>
    <w:rsid w:val="00C3760E"/>
    <w:rsid w:val="00C43205"/>
    <w:rsid w:val="00C440A1"/>
    <w:rsid w:val="00C50864"/>
    <w:rsid w:val="00C5570C"/>
    <w:rsid w:val="00C57EF2"/>
    <w:rsid w:val="00C6210E"/>
    <w:rsid w:val="00C6451F"/>
    <w:rsid w:val="00C66228"/>
    <w:rsid w:val="00C66688"/>
    <w:rsid w:val="00C706D4"/>
    <w:rsid w:val="00C747E9"/>
    <w:rsid w:val="00C76CA4"/>
    <w:rsid w:val="00C77CCB"/>
    <w:rsid w:val="00C85B1D"/>
    <w:rsid w:val="00C85DF1"/>
    <w:rsid w:val="00C86728"/>
    <w:rsid w:val="00C940BF"/>
    <w:rsid w:val="00CA250F"/>
    <w:rsid w:val="00CA5889"/>
    <w:rsid w:val="00CA7F8B"/>
    <w:rsid w:val="00CB16C5"/>
    <w:rsid w:val="00CB229B"/>
    <w:rsid w:val="00CB4283"/>
    <w:rsid w:val="00CC35E4"/>
    <w:rsid w:val="00CD08B4"/>
    <w:rsid w:val="00CD2EC9"/>
    <w:rsid w:val="00CD5C74"/>
    <w:rsid w:val="00CE0EBD"/>
    <w:rsid w:val="00CE1AC9"/>
    <w:rsid w:val="00CE2EBE"/>
    <w:rsid w:val="00CE5EF7"/>
    <w:rsid w:val="00CE7BC0"/>
    <w:rsid w:val="00D037BC"/>
    <w:rsid w:val="00D05915"/>
    <w:rsid w:val="00D07F69"/>
    <w:rsid w:val="00D174FD"/>
    <w:rsid w:val="00D17737"/>
    <w:rsid w:val="00D17DAF"/>
    <w:rsid w:val="00D21BB6"/>
    <w:rsid w:val="00D226B4"/>
    <w:rsid w:val="00D23665"/>
    <w:rsid w:val="00D25743"/>
    <w:rsid w:val="00D34D72"/>
    <w:rsid w:val="00D42AB8"/>
    <w:rsid w:val="00D4385B"/>
    <w:rsid w:val="00D45D48"/>
    <w:rsid w:val="00D45F58"/>
    <w:rsid w:val="00D5002E"/>
    <w:rsid w:val="00D52623"/>
    <w:rsid w:val="00D57375"/>
    <w:rsid w:val="00D600F0"/>
    <w:rsid w:val="00D60B09"/>
    <w:rsid w:val="00D67069"/>
    <w:rsid w:val="00D71C41"/>
    <w:rsid w:val="00D7428B"/>
    <w:rsid w:val="00D74B9E"/>
    <w:rsid w:val="00D74F37"/>
    <w:rsid w:val="00D7569B"/>
    <w:rsid w:val="00D75BC2"/>
    <w:rsid w:val="00D8273D"/>
    <w:rsid w:val="00D86573"/>
    <w:rsid w:val="00D86DA9"/>
    <w:rsid w:val="00D93792"/>
    <w:rsid w:val="00DA0F9D"/>
    <w:rsid w:val="00DA54DE"/>
    <w:rsid w:val="00DB0398"/>
    <w:rsid w:val="00DC2D30"/>
    <w:rsid w:val="00DC4338"/>
    <w:rsid w:val="00DC640D"/>
    <w:rsid w:val="00DE005A"/>
    <w:rsid w:val="00DE527C"/>
    <w:rsid w:val="00DE75D4"/>
    <w:rsid w:val="00DE7A08"/>
    <w:rsid w:val="00DF12EF"/>
    <w:rsid w:val="00DF1D3D"/>
    <w:rsid w:val="00DF259E"/>
    <w:rsid w:val="00DF275B"/>
    <w:rsid w:val="00DF5A5A"/>
    <w:rsid w:val="00DF5CA1"/>
    <w:rsid w:val="00E05125"/>
    <w:rsid w:val="00E1331A"/>
    <w:rsid w:val="00E138BB"/>
    <w:rsid w:val="00E1415F"/>
    <w:rsid w:val="00E157F0"/>
    <w:rsid w:val="00E16080"/>
    <w:rsid w:val="00E16C32"/>
    <w:rsid w:val="00E20938"/>
    <w:rsid w:val="00E21262"/>
    <w:rsid w:val="00E25A48"/>
    <w:rsid w:val="00E373A0"/>
    <w:rsid w:val="00E37D4A"/>
    <w:rsid w:val="00E41A1E"/>
    <w:rsid w:val="00E45D8C"/>
    <w:rsid w:val="00E46BF5"/>
    <w:rsid w:val="00E5004B"/>
    <w:rsid w:val="00E53943"/>
    <w:rsid w:val="00E53D62"/>
    <w:rsid w:val="00E549BF"/>
    <w:rsid w:val="00E54C80"/>
    <w:rsid w:val="00E577EB"/>
    <w:rsid w:val="00E57E0A"/>
    <w:rsid w:val="00E64FFB"/>
    <w:rsid w:val="00E65780"/>
    <w:rsid w:val="00E70D7A"/>
    <w:rsid w:val="00E71FE5"/>
    <w:rsid w:val="00E7207F"/>
    <w:rsid w:val="00E730D6"/>
    <w:rsid w:val="00E74451"/>
    <w:rsid w:val="00E76B10"/>
    <w:rsid w:val="00E80962"/>
    <w:rsid w:val="00E84E03"/>
    <w:rsid w:val="00E84FD4"/>
    <w:rsid w:val="00E852BC"/>
    <w:rsid w:val="00E8544C"/>
    <w:rsid w:val="00E86ECA"/>
    <w:rsid w:val="00E87C25"/>
    <w:rsid w:val="00E90CE5"/>
    <w:rsid w:val="00E9228A"/>
    <w:rsid w:val="00E96191"/>
    <w:rsid w:val="00EA0507"/>
    <w:rsid w:val="00EA17EE"/>
    <w:rsid w:val="00EA48A8"/>
    <w:rsid w:val="00EA4FB0"/>
    <w:rsid w:val="00EB3627"/>
    <w:rsid w:val="00EB5BE2"/>
    <w:rsid w:val="00EB76E5"/>
    <w:rsid w:val="00EC0291"/>
    <w:rsid w:val="00EC521D"/>
    <w:rsid w:val="00EC573F"/>
    <w:rsid w:val="00EC69E0"/>
    <w:rsid w:val="00ED1FC0"/>
    <w:rsid w:val="00ED60F0"/>
    <w:rsid w:val="00ED68DC"/>
    <w:rsid w:val="00EE4C6A"/>
    <w:rsid w:val="00EE63C4"/>
    <w:rsid w:val="00EF1BAA"/>
    <w:rsid w:val="00EF2CF7"/>
    <w:rsid w:val="00EF74F2"/>
    <w:rsid w:val="00F00BFD"/>
    <w:rsid w:val="00F0556E"/>
    <w:rsid w:val="00F06D31"/>
    <w:rsid w:val="00F12BE2"/>
    <w:rsid w:val="00F15A93"/>
    <w:rsid w:val="00F2536C"/>
    <w:rsid w:val="00F269AE"/>
    <w:rsid w:val="00F35511"/>
    <w:rsid w:val="00F40D0B"/>
    <w:rsid w:val="00F4105B"/>
    <w:rsid w:val="00F60072"/>
    <w:rsid w:val="00F62017"/>
    <w:rsid w:val="00F63C36"/>
    <w:rsid w:val="00F6694C"/>
    <w:rsid w:val="00F70F4B"/>
    <w:rsid w:val="00F7730A"/>
    <w:rsid w:val="00F773E8"/>
    <w:rsid w:val="00F77BAA"/>
    <w:rsid w:val="00F80032"/>
    <w:rsid w:val="00F83B10"/>
    <w:rsid w:val="00F87028"/>
    <w:rsid w:val="00F96E4C"/>
    <w:rsid w:val="00F9739E"/>
    <w:rsid w:val="00FA06E4"/>
    <w:rsid w:val="00FA133C"/>
    <w:rsid w:val="00FA140E"/>
    <w:rsid w:val="00FA2119"/>
    <w:rsid w:val="00FA6D72"/>
    <w:rsid w:val="00FA6DC2"/>
    <w:rsid w:val="00FB113A"/>
    <w:rsid w:val="00FB3449"/>
    <w:rsid w:val="00FC39D3"/>
    <w:rsid w:val="00FC6EAF"/>
    <w:rsid w:val="00FD22E7"/>
    <w:rsid w:val="00FD71B0"/>
    <w:rsid w:val="00FD7623"/>
    <w:rsid w:val="00FE40AF"/>
    <w:rsid w:val="00FE411E"/>
    <w:rsid w:val="00FE414F"/>
    <w:rsid w:val="00FF5A95"/>
    <w:rsid w:val="00FF6040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21CC62F5"/>
  <w15:chartTrackingRefBased/>
  <w15:docId w15:val="{8F4A1CCD-DED8-4695-A5AC-0238AB92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華康楷書體W5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jc w:val="center"/>
      <w:textAlignment w:val="baseline"/>
    </w:pPr>
    <w:rPr>
      <w:rFonts w:eastAsia="標楷體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left="1066" w:hanging="227"/>
      <w:jc w:val="both"/>
    </w:pPr>
    <w:rPr>
      <w:rFonts w:ascii="華康楷書體W5"/>
      <w:spacing w:val="20"/>
      <w:sz w:val="28"/>
    </w:rPr>
  </w:style>
  <w:style w:type="paragraph" w:styleId="2">
    <w:name w:val="Body Text 2"/>
    <w:basedOn w:val="a"/>
    <w:rPr>
      <w:rFonts w:eastAsia="標楷體"/>
      <w:sz w:val="16"/>
    </w:rPr>
  </w:style>
  <w:style w:type="paragraph" w:styleId="20">
    <w:name w:val="Body Text Indent 2"/>
    <w:basedOn w:val="a"/>
    <w:pPr>
      <w:spacing w:line="360" w:lineRule="auto"/>
      <w:ind w:left="800"/>
      <w:jc w:val="both"/>
    </w:pPr>
    <w:rPr>
      <w:rFonts w:ascii="標楷體" w:eastAsia="標楷體"/>
      <w:spacing w:val="20"/>
      <w:sz w:val="30"/>
    </w:rPr>
  </w:style>
  <w:style w:type="paragraph" w:styleId="3">
    <w:name w:val="Body Text Indent 3"/>
    <w:basedOn w:val="a"/>
    <w:pPr>
      <w:spacing w:line="360" w:lineRule="auto"/>
      <w:ind w:left="800"/>
      <w:jc w:val="both"/>
    </w:pPr>
    <w:rPr>
      <w:rFonts w:ascii="標楷體" w:eastAsia="標楷體"/>
      <w:color w:val="000000"/>
      <w:spacing w:val="20"/>
      <w:sz w:val="30"/>
    </w:rPr>
  </w:style>
  <w:style w:type="paragraph" w:customStyle="1" w:styleId="a8">
    <w:name w:val="文(首行縮)"/>
    <w:basedOn w:val="a"/>
    <w:rsid w:val="00ED1FC0"/>
    <w:pPr>
      <w:spacing w:after="60" w:line="560" w:lineRule="atLeast"/>
      <w:ind w:firstLine="652"/>
      <w:jc w:val="both"/>
    </w:pPr>
    <w:rPr>
      <w:spacing w:val="14"/>
      <w:sz w:val="30"/>
    </w:rPr>
  </w:style>
  <w:style w:type="paragraph" w:styleId="a9">
    <w:name w:val="Balloon Text"/>
    <w:basedOn w:val="a"/>
    <w:semiHidden/>
    <w:rsid w:val="00C440A1"/>
    <w:rPr>
      <w:rFonts w:ascii="Arial" w:eastAsia="新細明體" w:hAnsi="Arial"/>
      <w:sz w:val="18"/>
      <w:szCs w:val="18"/>
    </w:rPr>
  </w:style>
  <w:style w:type="paragraph" w:customStyle="1" w:styleId="Standard">
    <w:name w:val="Standard"/>
    <w:rsid w:val="00F60072"/>
    <w:pPr>
      <w:widowControl w:val="0"/>
      <w:suppressAutoHyphens/>
      <w:autoSpaceDN w:val="0"/>
      <w:textAlignment w:val="baseline"/>
    </w:pPr>
    <w:rPr>
      <w:rFonts w:eastAsia="華康楷書體W5, 新細明體"/>
      <w:kern w:val="3"/>
      <w:sz w:val="24"/>
    </w:rPr>
  </w:style>
  <w:style w:type="paragraph" w:styleId="30">
    <w:name w:val="Body Text 3"/>
    <w:basedOn w:val="a"/>
    <w:link w:val="31"/>
    <w:rsid w:val="00677CFD"/>
    <w:pPr>
      <w:spacing w:after="120"/>
    </w:pPr>
    <w:rPr>
      <w:sz w:val="16"/>
      <w:szCs w:val="16"/>
    </w:rPr>
  </w:style>
  <w:style w:type="character" w:customStyle="1" w:styleId="31">
    <w:name w:val="本文 3 字元"/>
    <w:link w:val="30"/>
    <w:rsid w:val="00677CFD"/>
    <w:rPr>
      <w:rFonts w:eastAsia="華康楷書體W5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87&#27770;&#31639;&#32317;&#35498;&#26126;\87&#32317;&#35498;&#26126;\87&#32317;&#35498;&#26126;2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20130905A\&#26371;&#35336;&#27770;&#31639;&#34389;\&#12304;&#22522;&#37329;&#31185;&#26989;&#21209;&#12305;\1071015&#36215;&#22522;&#37329;&#26371;&#35336;&#31185;&#26989;&#21209;\04&#21322;&#24180;&#32080;&#31639;\109&#24180;&#21322;&#24180;&#32080;&#31639;\&#29151;&#26989;&#21322;&#24180;&#32080;&#31639;&#24409;&#32232;\3.&#23553;&#38754;&#12289;&#26360;&#32972;&#12289;&#22846;&#38913;&#12289;&#32317;&#35498;&#26126;&#21450;&#32156;&#35336;&#34920;&#31561;\109&#21322;&#24180;&#32080;&#22294;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ysClr val="windowText" lastClr="000000"/>
                </a:solidFill>
                <a:latin typeface="Calibri"/>
                <a:ea typeface="Calibri"/>
                <a:cs typeface="Calibri"/>
              </a:defRPr>
            </a:pPr>
            <a:r>
              <a:rPr lang="zh-TW" altLang="en-US" sz="1400" b="0" i="0" u="none" strike="noStrike" baseline="0">
                <a:solidFill>
                  <a:sysClr val="windowText" lastClr="000000"/>
                </a:solidFill>
                <a:latin typeface="標楷體"/>
                <a:ea typeface="標楷體"/>
              </a:rPr>
              <a:t>圖</a:t>
            </a:r>
            <a:r>
              <a:rPr lang="en-US" altLang="zh-TW" sz="1400" b="0" i="0" u="none" strike="noStrike" baseline="0">
                <a:solidFill>
                  <a:sysClr val="windowText" lastClr="000000"/>
                </a:solidFill>
                <a:latin typeface="標楷體"/>
                <a:ea typeface="標楷體"/>
              </a:rPr>
              <a:t>1</a:t>
            </a:r>
            <a:r>
              <a:rPr lang="zh-TW" altLang="en-US" sz="1400" b="0" i="0" u="none" strike="noStrike" baseline="0">
                <a:solidFill>
                  <a:sysClr val="windowText" lastClr="000000"/>
                </a:solidFill>
                <a:latin typeface="標楷體"/>
                <a:ea typeface="標楷體"/>
                <a:cs typeface="Times New Roman"/>
              </a:rPr>
              <a:t>  國營事業收入</a:t>
            </a:r>
            <a:r>
              <a:rPr lang="zh-TW" altLang="en-US" sz="1400" b="0" i="0" u="none" strike="noStrike" baseline="0">
                <a:solidFill>
                  <a:sysClr val="windowText" lastClr="000000"/>
                </a:solidFill>
                <a:latin typeface="新細明體" panose="02020500000000000000" pitchFamily="18" charset="-120"/>
                <a:ea typeface="新細明體" panose="02020500000000000000" pitchFamily="18" charset="-120"/>
                <a:cs typeface="Times New Roman"/>
              </a:rPr>
              <a:t>、</a:t>
            </a:r>
            <a:r>
              <a:rPr lang="zh-TW" altLang="en-US" sz="1400" b="0" i="0" u="none" strike="noStrike" baseline="0">
                <a:solidFill>
                  <a:sysClr val="windowText" lastClr="000000"/>
                </a:solidFill>
                <a:latin typeface="標楷體"/>
                <a:ea typeface="標楷體"/>
                <a:cs typeface="Times New Roman"/>
              </a:rPr>
              <a:t>支出及本期淨利</a:t>
            </a:r>
            <a:endParaRPr lang="en-US" altLang="zh-TW" sz="1400" b="0" i="0" u="none" strike="noStrike" baseline="0">
              <a:solidFill>
                <a:sysClr val="windowText" lastClr="000000"/>
              </a:solidFill>
              <a:latin typeface="標楷體"/>
              <a:ea typeface="標楷體"/>
              <a:cs typeface="Times New Roman"/>
            </a:endParaRPr>
          </a:p>
        </c:rich>
      </c:tx>
      <c:layout>
        <c:manualLayout>
          <c:xMode val="edge"/>
          <c:yMode val="edge"/>
          <c:x val="0.25593087561302541"/>
          <c:y val="0.91566577963681195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  <a:sp3d/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7.7759359027489997E-2"/>
          <c:y val="3.4392025464901999E-2"/>
          <c:w val="0.91532827994760424"/>
          <c:h val="0.74398039523589543"/>
        </c:manualLayout>
      </c:layout>
      <c:bar3DChart>
        <c:barDir val="col"/>
        <c:grouping val="stacked"/>
        <c:varyColors val="0"/>
        <c:ser>
          <c:idx val="0"/>
          <c:order val="0"/>
          <c:tx>
            <c:v>收入總額</c:v>
          </c:tx>
          <c:spPr>
            <a:solidFill>
              <a:srgbClr val="EB43DF"/>
            </a:solidFill>
            <a:effectLst/>
            <a:scene3d>
              <a:camera prst="orthographicFront"/>
              <a:lightRig rig="threePt" dir="t"/>
            </a:scene3d>
            <a:sp3d>
              <a:bevelB w="6350"/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CFD-487B-9B4D-0486BBF4255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CFD-487B-9B4D-0486BBF4255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DCFD-487B-9B4D-0486BBF4255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CFD-487B-9B4D-0486BBF4255B}"/>
              </c:ext>
            </c:extLst>
          </c:dPt>
          <c:dLbls>
            <c:dLbl>
              <c:idx val="1"/>
              <c:layout>
                <c:manualLayout>
                  <c:x val="2.4160271262179461E-3"/>
                  <c:y val="-0.31249763594329016"/>
                </c:manualLayout>
              </c:layout>
              <c:tx>
                <c:rich>
                  <a:bodyPr/>
                  <a:lstStyle/>
                  <a:p>
                    <a:pPr>
                      <a:defRPr sz="105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altLang="zh-TW" sz="1050" b="0" i="0" u="none" strike="noStrike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13,014.50</a:t>
                    </a:r>
                  </a:p>
                  <a:p>
                    <a:pPr>
                      <a:defRPr sz="105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endParaRPr lang="en-US" altLang="zh-TW" sz="1050" b="0" i="0" u="none" strike="noStrike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FD-487B-9B4D-0486BBF4255B}"/>
                </c:ext>
              </c:extLst>
            </c:dLbl>
            <c:dLbl>
              <c:idx val="4"/>
              <c:layout>
                <c:manualLayout>
                  <c:x val="4.2636069573871328E-3"/>
                  <c:y val="-0.31072661011526187"/>
                </c:manualLayout>
              </c:layout>
              <c:tx>
                <c:rich>
                  <a:bodyPr/>
                  <a:lstStyle/>
                  <a:p>
                    <a:pPr>
                      <a:defRPr sz="105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altLang="zh-TW" sz="1050" b="0" i="0" u="none" strike="noStrike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12,353.02</a:t>
                    </a:r>
                  </a:p>
                  <a:p>
                    <a:pPr>
                      <a:defRPr sz="105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endParaRPr lang="en-US" altLang="zh-TW" sz="1050" b="0" i="0" u="none" strike="noStrike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3623903908673"/>
                      <c:h val="0.168354189079929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CFD-487B-9B4D-0486BBF425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'營業-圖1'!$A$20</c:f>
              <c:strCache>
                <c:ptCount val="1"/>
                <c:pt idx="0">
                  <c:v>年度</c:v>
                </c:pt>
              </c:strCache>
            </c:strRef>
          </c:cat>
          <c:val>
            <c:numRef>
              <c:f>'營業-圖1'!$A$22:$A$28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CFD-487B-9B4D-0486BBF4255B}"/>
            </c:ext>
          </c:extLst>
        </c:ser>
        <c:ser>
          <c:idx val="1"/>
          <c:order val="1"/>
          <c:tx>
            <c:v>支出總額</c:v>
          </c:tx>
          <c:spPr>
            <a:solidFill>
              <a:srgbClr val="99FF99"/>
            </a:solidFill>
            <a:ln>
              <a:noFill/>
            </a:ln>
            <a:effectLst>
              <a:outerShdw blurRad="50800" dist="50800" dir="5400000" algn="ctr" rotWithShape="0">
                <a:schemeClr val="bg1">
                  <a:alpha val="50000"/>
                </a:schemeClr>
              </a:outerShdw>
            </a:effectLst>
            <a:scene3d>
              <a:camera prst="orthographicFront"/>
              <a:lightRig rig="threePt" dir="t"/>
            </a:scene3d>
            <a:sp3d prstMaterial="softEdge">
              <a:bevelB w="6350"/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DCFD-487B-9B4D-0486BBF4255B}"/>
              </c:ext>
            </c:extLst>
          </c:dPt>
          <c:dPt>
            <c:idx val="1"/>
            <c:invertIfNegative val="0"/>
            <c:bubble3D val="0"/>
            <c:spPr>
              <a:solidFill>
                <a:srgbClr val="FF66CC"/>
              </a:solidFill>
              <a:ln>
                <a:noFill/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>
                <a:bevelB w="6350"/>
              </a:sp3d>
            </c:spPr>
            <c:extLst>
              <c:ext xmlns:c16="http://schemas.microsoft.com/office/drawing/2014/chart" uri="{C3380CC4-5D6E-409C-BE32-E72D297353CC}">
                <c16:uniqueId val="{00000007-DCFD-487B-9B4D-0486BBF4255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CFD-487B-9B4D-0486BBF4255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DCFD-487B-9B4D-0486BBF4255B}"/>
              </c:ext>
            </c:extLst>
          </c:dPt>
          <c:dPt>
            <c:idx val="4"/>
            <c:invertIfNegative val="0"/>
            <c:bubble3D val="0"/>
            <c:spPr>
              <a:solidFill>
                <a:srgbClr val="FF66CC"/>
              </a:solidFill>
              <a:ln>
                <a:noFill/>
              </a:ln>
              <a:effectLst>
                <a:outerShdw blurRad="50800" dist="50800" dir="5400000" algn="ctr" rotWithShape="0">
                  <a:schemeClr val="bg1">
                    <a:alpha val="50000"/>
                  </a:schemeClr>
                </a:outerShdw>
              </a:effectLst>
              <a:scene3d>
                <a:camera prst="orthographicFront"/>
                <a:lightRig rig="threePt" dir="t"/>
              </a:scene3d>
              <a:sp3d prstMaterial="softEdge">
                <a:bevelB w="6350"/>
              </a:sp3d>
            </c:spPr>
            <c:extLst>
              <c:ext xmlns:c16="http://schemas.microsoft.com/office/drawing/2014/chart" uri="{C3380CC4-5D6E-409C-BE32-E72D297353CC}">
                <c16:uniqueId val="{0000000B-DCFD-487B-9B4D-0486BBF4255B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DCFD-487B-9B4D-0486BBF4255B}"/>
              </c:ext>
            </c:extLst>
          </c:dPt>
          <c:dLbls>
            <c:dLbl>
              <c:idx val="0"/>
              <c:layout>
                <c:manualLayout>
                  <c:x val="1.6957629188522779E-3"/>
                  <c:y val="0.23321908290875407"/>
                </c:manualLayout>
              </c:layout>
              <c:tx>
                <c:rich>
                  <a:bodyPr/>
                  <a:lstStyle/>
                  <a:p>
                    <a:pPr>
                      <a:defRPr sz="1050" b="0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zh-TW" altLang="en-US" sz="1050" b="0" i="0" u="none" strike="noStrike" baseline="0">
                        <a:solidFill>
                          <a:sysClr val="windowText" lastClr="000000"/>
                        </a:solidFill>
                        <a:latin typeface="標楷體"/>
                        <a:ea typeface="標楷體"/>
                      </a:rPr>
                      <a:t>營業總收入</a:t>
                    </a:r>
                  </a:p>
                  <a:p>
                    <a:pPr>
                      <a:defRPr sz="1050" b="0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zh-TW" altLang="en-US" sz="1050" b="0" i="0" u="none" strike="noStrike" baseline="0">
                        <a:solidFill>
                          <a:sysClr val="windowText" lastClr="000000"/>
                        </a:solidFill>
                        <a:latin typeface="標楷體"/>
                        <a:ea typeface="標楷體"/>
                      </a:rPr>
                      <a:t> </a:t>
                    </a:r>
                    <a:r>
                      <a:rPr lang="zh-TW" altLang="en-US" sz="1050" b="0" i="0" u="none" strike="noStrike" baseline="0">
                        <a:solidFill>
                          <a:sysClr val="windowText" lastClr="000000"/>
                        </a:solidFill>
                        <a:latin typeface="Times New Roman"/>
                        <a:ea typeface="標楷體"/>
                        <a:cs typeface="Times New Roman"/>
                      </a:rPr>
                      <a:t>27,001</a:t>
                    </a:r>
                    <a:r>
                      <a:rPr lang="zh-TW" altLang="en-US" sz="1050" b="0" i="0" u="none" strike="noStrike" baseline="0">
                        <a:solidFill>
                          <a:sysClr val="windowText" lastClr="000000"/>
                        </a:solidFill>
                        <a:latin typeface="標楷體"/>
                        <a:ea typeface="標楷體"/>
                        <a:cs typeface="Times New Roman"/>
                      </a:rPr>
                      <a:t>億元</a:t>
                    </a:r>
                    <a:endParaRPr lang="zh-TW" altLang="en-US" sz="1050" b="0" i="0" u="none" strike="noStrike" baseline="0">
                      <a:solidFill>
                        <a:sysClr val="windowText" lastClr="000000"/>
                      </a:solidFill>
                      <a:latin typeface="標楷體"/>
                      <a:ea typeface="標楷體"/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FD-487B-9B4D-0486BBF4255B}"/>
                </c:ext>
              </c:extLst>
            </c:dLbl>
            <c:dLbl>
              <c:idx val="1"/>
              <c:layout>
                <c:manualLayout>
                  <c:x val="0.12135694027590385"/>
                  <c:y val="-0.2388875007020532"/>
                </c:manualLayout>
              </c:layout>
              <c:tx>
                <c:rich>
                  <a:bodyPr/>
                  <a:lstStyle/>
                  <a:p>
                    <a:pPr>
                      <a:defRPr sz="1050" b="0" i="0" u="none" strike="noStrike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en-US" altLang="zh-TW" sz="1050" b="0" i="0" u="none" strike="noStrike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標楷體"/>
                        <a:cs typeface="Times New Roman" panose="02020603050405020304" pitchFamily="18" charset="0"/>
                      </a:rPr>
                      <a:t>651.58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28339937216037"/>
                      <c:h val="6.19116769102671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DCFD-487B-9B4D-0486BBF4255B}"/>
                </c:ext>
              </c:extLst>
            </c:dLbl>
            <c:dLbl>
              <c:idx val="2"/>
              <c:layout>
                <c:manualLayout>
                  <c:x val="-1.3986366085933781E-3"/>
                  <c:y val="-7.4995902301702985E-2"/>
                </c:manualLayout>
              </c:layout>
              <c:tx>
                <c:rich>
                  <a:bodyPr/>
                  <a:lstStyle/>
                  <a:p>
                    <a:pPr>
                      <a:defRPr sz="1050" b="0" i="0" u="none" strike="noStrike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en-US" altLang="zh-TW" sz="1050" b="0" i="0" u="none" strike="noStrike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12,362.92</a:t>
                    </a:r>
                  </a:p>
                  <a:p>
                    <a:pPr>
                      <a:defRPr sz="1050" b="0" i="0" u="none" strike="noStrike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en-US" altLang="zh-TW" sz="1050" b="0" i="0" u="none" strike="noStrike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 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CFD-487B-9B4D-0486BBF4255B}"/>
                </c:ext>
              </c:extLst>
            </c:dLbl>
            <c:dLbl>
              <c:idx val="3"/>
              <c:layout>
                <c:manualLayout>
                  <c:x val="2.1523085094421559E-3"/>
                  <c:y val="0.19468917989529377"/>
                </c:manualLayout>
              </c:layout>
              <c:tx>
                <c:rich>
                  <a:bodyPr/>
                  <a:lstStyle/>
                  <a:p>
                    <a:pPr>
                      <a:defRPr sz="1050" b="0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zh-TW" altLang="en-US" sz="1050" b="0" i="0" u="none" strike="noStrike" baseline="0">
                        <a:solidFill>
                          <a:sysClr val="windowText" lastClr="000000"/>
                        </a:solidFill>
                        <a:latin typeface="標楷體"/>
                        <a:ea typeface="標楷體"/>
                      </a:rPr>
                      <a:t>營業總收入</a:t>
                    </a:r>
                  </a:p>
                  <a:p>
                    <a:pPr>
                      <a:defRPr sz="1050" b="0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zh-TW" altLang="en-US" sz="1050" b="0" i="0" u="none" strike="noStrike" baseline="0">
                        <a:solidFill>
                          <a:sysClr val="windowText" lastClr="000000"/>
                        </a:solidFill>
                        <a:latin typeface="Times New Roman"/>
                        <a:cs typeface="Times New Roman"/>
                      </a:rPr>
                      <a:t>25,492</a:t>
                    </a:r>
                    <a:r>
                      <a:rPr lang="zh-TW" altLang="en-US" sz="1050" b="0" i="0" u="none" strike="noStrike" baseline="0">
                        <a:solidFill>
                          <a:sysClr val="windowText" lastClr="000000"/>
                        </a:solidFill>
                        <a:latin typeface="標楷體"/>
                        <a:ea typeface="標楷體"/>
                        <a:cs typeface="Times New Roman"/>
                      </a:rPr>
                      <a:t>億元</a:t>
                    </a:r>
                    <a:endParaRPr lang="zh-TW" altLang="en-US" sz="1050" b="0" i="0" u="none" strike="noStrike" baseline="0">
                      <a:solidFill>
                        <a:sysClr val="windowText" lastClr="000000"/>
                      </a:solidFill>
                      <a:latin typeface="標楷體"/>
                      <a:ea typeface="標楷體"/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CFD-487B-9B4D-0486BBF4255B}"/>
                </c:ext>
              </c:extLst>
            </c:dLbl>
            <c:dLbl>
              <c:idx val="4"/>
              <c:layout>
                <c:manualLayout>
                  <c:x val="0.11406794928781877"/>
                  <c:y val="-0.21229773703895163"/>
                </c:manualLayout>
              </c:layout>
              <c:tx>
                <c:rich>
                  <a:bodyPr/>
                  <a:lstStyle/>
                  <a:p>
                    <a:pPr>
                      <a:defRPr sz="1050" b="0" i="0" u="none" strike="noStrike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en-US" altLang="zh-TW" sz="1050" b="0" i="0" u="none" strike="noStrike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標楷體"/>
                        <a:cs typeface="Times New Roman" panose="02020603050405020304" pitchFamily="18" charset="0"/>
                      </a:rPr>
                      <a:t>783.98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559512953563002"/>
                      <c:h val="6.431990479607005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DCFD-487B-9B4D-0486BBF4255B}"/>
                </c:ext>
              </c:extLst>
            </c:dLbl>
            <c:dLbl>
              <c:idx val="5"/>
              <c:layout>
                <c:manualLayout>
                  <c:x val="-1.8275582524661482E-3"/>
                  <c:y val="-9.5858533045113659E-2"/>
                </c:manualLayout>
              </c:layout>
              <c:tx>
                <c:rich>
                  <a:bodyPr/>
                  <a:lstStyle/>
                  <a:p>
                    <a:pPr>
                      <a:defRPr sz="1050" b="0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altLang="zh-TW" sz="1050" b="0" i="0" u="none" strike="noStrike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11,569.04</a:t>
                    </a:r>
                  </a:p>
                  <a:p>
                    <a:pPr>
                      <a:defRPr sz="1050" b="0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altLang="zh-TW" sz="1050" b="0" i="0" u="none" strike="noStrike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 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3623903908673"/>
                      <c:h val="0.174592288595912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DCFD-487B-9B4D-0486BBF4255B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'營業-圖1'!$A$20</c:f>
              <c:strCache>
                <c:ptCount val="1"/>
                <c:pt idx="0">
                  <c:v>年度</c:v>
                </c:pt>
              </c:strCache>
            </c:strRef>
          </c:cat>
          <c:val>
            <c:numRef>
              <c:f>'營業-圖1'!$B$22:$B$28</c:f>
              <c:numCache>
                <c:formatCode>#,##0.00_ </c:formatCode>
                <c:ptCount val="7"/>
                <c:pt idx="1">
                  <c:v>13014.5</c:v>
                </c:pt>
                <c:pt idx="2">
                  <c:v>12362.92</c:v>
                </c:pt>
                <c:pt idx="4">
                  <c:v>12353.02</c:v>
                </c:pt>
                <c:pt idx="5">
                  <c:v>11569.05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CFD-487B-9B4D-0486BBF4255B}"/>
            </c:ext>
          </c:extLst>
        </c:ser>
        <c:ser>
          <c:idx val="2"/>
          <c:order val="2"/>
          <c:tx>
            <c:v>本期淨利</c:v>
          </c:tx>
          <c:spPr>
            <a:solidFill>
              <a:srgbClr val="FFCC00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66CC"/>
              </a:solidFill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F-DCFD-487B-9B4D-0486BBF4255B}"/>
              </c:ext>
            </c:extLst>
          </c:dPt>
          <c:dPt>
            <c:idx val="2"/>
            <c:invertIfNegative val="0"/>
            <c:bubble3D val="0"/>
            <c:spPr>
              <a:solidFill>
                <a:srgbClr val="FFCC00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11-DCFD-487B-9B4D-0486BBF4255B}"/>
              </c:ext>
            </c:extLst>
          </c:dPt>
          <c:dPt>
            <c:idx val="4"/>
            <c:invertIfNegative val="0"/>
            <c:bubble3D val="0"/>
            <c:spPr>
              <a:solidFill>
                <a:srgbClr val="EB43DF"/>
              </a:solidFill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13-DCFD-487B-9B4D-0486BBF4255B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DCFD-487B-9B4D-0486BBF4255B}"/>
              </c:ext>
            </c:extLst>
          </c:dPt>
          <c:cat>
            <c:strRef>
              <c:f>'營業-圖1'!$A$20</c:f>
              <c:strCache>
                <c:ptCount val="1"/>
                <c:pt idx="0">
                  <c:v>年度</c:v>
                </c:pt>
              </c:strCache>
            </c:strRef>
          </c:cat>
          <c:val>
            <c:numRef>
              <c:f>'營業-圖1'!$C$22:$C$28</c:f>
              <c:numCache>
                <c:formatCode>#,##0.00_ </c:formatCode>
                <c:ptCount val="7"/>
                <c:pt idx="1">
                  <c:v>0</c:v>
                </c:pt>
                <c:pt idx="2">
                  <c:v>651.57999999999993</c:v>
                </c:pt>
                <c:pt idx="4">
                  <c:v>0</c:v>
                </c:pt>
                <c:pt idx="5">
                  <c:v>783.97000000000116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DCFD-487B-9B4D-0486BBF4255B}"/>
            </c:ext>
          </c:extLst>
        </c:ser>
        <c:ser>
          <c:idx val="3"/>
          <c:order val="3"/>
          <c:tx>
            <c:v>停業單位損失</c:v>
          </c:tx>
          <c:spPr>
            <a:solidFill>
              <a:srgbClr val="04FCDE"/>
            </a:solidFill>
          </c:spPr>
          <c:invertIfNegative val="0"/>
          <c:cat>
            <c:strRef>
              <c:f>'營業-圖1'!$A$20</c:f>
              <c:strCache>
                <c:ptCount val="1"/>
                <c:pt idx="0">
                  <c:v>年度</c:v>
                </c:pt>
              </c:strCache>
            </c:strRef>
          </c:cat>
          <c:val>
            <c:numRef>
              <c:f>'營業-圖1'!$D$22:$D$28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6-DCFD-487B-9B4D-0486BBF42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gapDepth val="59"/>
        <c:shape val="box"/>
        <c:axId val="127949824"/>
        <c:axId val="127988480"/>
        <c:axId val="0"/>
      </c:bar3DChart>
      <c:catAx>
        <c:axId val="1279498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27988480"/>
        <c:crossesAt val="0"/>
        <c:auto val="1"/>
        <c:lblAlgn val="ctr"/>
        <c:lblOffset val="100"/>
        <c:noMultiLvlLbl val="0"/>
      </c:catAx>
      <c:valAx>
        <c:axId val="127988480"/>
        <c:scaling>
          <c:orientation val="minMax"/>
          <c:max val="15000"/>
          <c:min val="5000"/>
        </c:scaling>
        <c:delete val="0"/>
        <c:axPos val="l"/>
        <c:numFmt formatCode="#,##0_);\(#,##0\)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127949824"/>
        <c:crosses val="autoZero"/>
        <c:crossBetween val="between"/>
        <c:majorUnit val="2000"/>
        <c:minorUnit val="500"/>
      </c:valAx>
      <c:spPr>
        <a:noFill/>
        <a:ln w="25400">
          <a:noFill/>
        </a:ln>
      </c:spPr>
    </c:plotArea>
    <c:legend>
      <c:legendPos val="t"/>
      <c:legendEntry>
        <c:idx val="3"/>
        <c:delete val="1"/>
      </c:legendEntry>
      <c:layout>
        <c:manualLayout>
          <c:xMode val="edge"/>
          <c:yMode val="edge"/>
          <c:x val="0.29304855241718636"/>
          <c:y val="0.83977556323794522"/>
          <c:w val="0.37012088002863675"/>
          <c:h val="5.9664779624066279E-2"/>
        </c:manualLayout>
      </c:layout>
      <c:overlay val="0"/>
      <c:txPr>
        <a:bodyPr/>
        <a:lstStyle/>
        <a:p>
          <a:pPr>
            <a:defRPr sz="11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zh-TW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r>
              <a:rPr lang="zh-TW" sz="2000" b="1"/>
              <a:t>負債及權益</a:t>
            </a:r>
          </a:p>
        </c:rich>
      </c:tx>
      <c:layout>
        <c:manualLayout>
          <c:xMode val="edge"/>
          <c:yMode val="edge"/>
          <c:x val="0.37984900978286812"/>
          <c:y val="0.5868861380102548"/>
        </c:manualLayout>
      </c:layout>
      <c:overlay val="0"/>
      <c:spPr>
        <a:noFill/>
        <a:ln w="25399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5817223198594024"/>
          <c:y val="0.31527093596059114"/>
          <c:w val="0.70650263620386644"/>
          <c:h val="0.6847290640394089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622-46C9-AE44-491DC451A84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B622-46C9-AE44-491DC451A84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B622-46C9-AE44-491DC451A845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B622-46C9-AE44-491DC451A845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B622-46C9-AE44-491DC451A845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B622-46C9-AE44-491DC451A845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B622-46C9-AE44-491DC451A845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B622-46C9-AE44-491DC451A845}"/>
              </c:ext>
            </c:extLst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B622-46C9-AE44-491DC451A845}"/>
              </c:ext>
            </c:extLst>
          </c:dPt>
          <c:dLbls>
            <c:dLbl>
              <c:idx val="0"/>
              <c:layout>
                <c:manualLayout>
                  <c:x val="0.15732475416195119"/>
                  <c:y val="6.4466462047882755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50" b="0" i="0" u="none" strike="noStrike" kern="1200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83AA56DD-E2B3-42BA-9EA7-CDE26E5D47EC}" type="CATEGORYNAME">
                      <a:rPr lang="zh-TW" altLang="en-US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pPr>
                        <a:defRPr/>
                      </a:pPr>
                      <a:t>[類別名稱]</a:t>
                    </a:fld>
                    <a:r>
                      <a:rPr lang="zh-TW" altLang="en-US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
</a:t>
                    </a:r>
                    <a:r>
                      <a:rPr lang="en-US" altLang="zh-TW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44.1%</a:t>
                    </a:r>
                  </a:p>
                </c:rich>
              </c:tx>
              <c:numFmt formatCode="\4\3.\1%" sourceLinked="0"/>
              <c:spPr>
                <a:noFill/>
                <a:ln w="25399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622-46C9-AE44-491DC451A845}"/>
                </c:ext>
              </c:extLst>
            </c:dLbl>
            <c:dLbl>
              <c:idx val="1"/>
              <c:layout>
                <c:manualLayout>
                  <c:x val="-0.20353870824552217"/>
                  <c:y val="1.4563551572899548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50" b="0" i="0" u="none" strike="noStrike" kern="1200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282CAC04-1DAC-4C30-A50A-3F77FE66DC9D}" type="CATEGORYNAME">
                      <a:rPr lang="zh-TW" altLang="en-US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pPr>
                        <a:defRPr/>
                      </a:pPr>
                      <a:t>[類別名稱]</a:t>
                    </a:fld>
                    <a:r>
                      <a:rPr lang="zh-TW" altLang="en-US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
</a:t>
                    </a:r>
                    <a:r>
                      <a:rPr lang="en-US" altLang="zh-TW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35.1%</a:t>
                    </a:r>
                  </a:p>
                </c:rich>
              </c:tx>
              <c:spPr>
                <a:noFill/>
                <a:ln w="25399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622-46C9-AE44-491DC451A845}"/>
                </c:ext>
              </c:extLst>
            </c:dLbl>
            <c:dLbl>
              <c:idx val="2"/>
              <c:layout>
                <c:manualLayout>
                  <c:x val="-0.13469205760148442"/>
                  <c:y val="-2.7036699963276702E-2"/>
                </c:manualLayout>
              </c:layout>
              <c:tx>
                <c:rich>
                  <a:bodyPr/>
                  <a:lstStyle/>
                  <a:p>
                    <a:fld id="{E2425B76-C45E-44AE-9428-849FC9FECA5C}" type="CATEGORYNAME">
                      <a:rPr lang="zh-TW" altLang="en-US"/>
                      <a:pPr/>
                      <a:t>[類別名稱]</a:t>
                    </a:fld>
                    <a:r>
                      <a:rPr lang="zh-TW" altLang="en-US"/>
                      <a:t>
</a:t>
                    </a:r>
                    <a:fld id="{F7428FDD-F379-4801-819D-AE222A0D5645}" type="PERCENTAGE">
                      <a:rPr lang="en-US" altLang="zh-TW"/>
                      <a:pPr/>
                      <a:t>[百分比]</a:t>
                    </a:fld>
                    <a:endParaRPr lang="zh-TW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622-46C9-AE44-491DC451A845}"/>
                </c:ext>
              </c:extLst>
            </c:dLbl>
            <c:dLbl>
              <c:idx val="3"/>
              <c:layout>
                <c:manualLayout>
                  <c:x val="-7.9211238767830511E-2"/>
                  <c:y val="-9.4832331732983596E-2"/>
                </c:manualLayout>
              </c:layout>
              <c:tx>
                <c:rich>
                  <a:bodyPr/>
                  <a:lstStyle/>
                  <a:p>
                    <a:fld id="{3DB41733-2638-405E-8FF7-F0C717B7B0CE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3.6%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622-46C9-AE44-491DC451A845}"/>
                </c:ext>
              </c:extLst>
            </c:dLbl>
            <c:dLbl>
              <c:idx val="4"/>
              <c:layout>
                <c:manualLayout>
                  <c:x val="-0.17004953471725126"/>
                  <c:y val="-0.1626200514666718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50" b="0" i="0" u="none" strike="noStrike" kern="1200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0C1864C4-ABD2-4ABE-84C3-89C5EB694F30}" type="CATEGORYNAME">
                      <a:rPr lang="zh-TW" altLang="en-US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pPr>
                        <a:defRPr/>
                      </a:pPr>
                      <a:t>[類別名稱]</a:t>
                    </a:fld>
                    <a:r>
                      <a:rPr lang="zh-TW" altLang="en-US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
</a:t>
                    </a:r>
                    <a:fld id="{3D676FA4-1758-41ED-BFA4-AAF8B4CEFA56}" type="PERCENTAGE">
                      <a:rPr lang="en-US" altLang="zh-TW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pPr>
                        <a:defRPr/>
                      </a:pPr>
                      <a:t>[百分比]</a:t>
                    </a:fld>
                    <a:endParaRPr lang="zh-TW" altLang="en-US"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 w="25399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B622-46C9-AE44-491DC451A845}"/>
                </c:ext>
              </c:extLst>
            </c:dLbl>
            <c:dLbl>
              <c:idx val="5"/>
              <c:layout>
                <c:manualLayout>
                  <c:x val="-0.12881889763779528"/>
                  <c:y val="-0.24309595774855772"/>
                </c:manualLayout>
              </c:layout>
              <c:tx>
                <c:rich>
                  <a:bodyPr/>
                  <a:lstStyle/>
                  <a:p>
                    <a:fld id="{AD766368-13B5-457C-9DEC-42A187A13823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2.8%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B622-46C9-AE44-491DC451A845}"/>
                </c:ext>
              </c:extLst>
            </c:dLbl>
            <c:dLbl>
              <c:idx val="6"/>
              <c:layout>
                <c:manualLayout>
                  <c:x val="2.5897971844428536E-2"/>
                  <c:y val="-0.24122287892497546"/>
                </c:manualLayout>
              </c:layout>
              <c:tx>
                <c:rich>
                  <a:bodyPr/>
                  <a:lstStyle/>
                  <a:p>
                    <a:fld id="{64C84E7A-0DCF-4B30-9A86-1A3B5220C773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fld id="{778D9933-A4D0-4237-BA5A-BCEA688E9A9F}" type="PERCENTAGE"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[百分比]</a:t>
                    </a:fld>
                    <a:endParaRPr lang="zh-TW" alt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B622-46C9-AE44-491DC451A845}"/>
                </c:ext>
              </c:extLst>
            </c:dLbl>
            <c:dLbl>
              <c:idx val="7"/>
              <c:layout>
                <c:manualLayout>
                  <c:x val="0.10552765449773324"/>
                  <c:y val="-0.15688941082853644"/>
                </c:manualLayout>
              </c:layout>
              <c:tx>
                <c:rich>
                  <a:bodyPr/>
                  <a:lstStyle/>
                  <a:p>
                    <a:fld id="{2F298C23-E156-4906-9F81-2B6366A6C190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0.7%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B622-46C9-AE44-491DC451A845}"/>
                </c:ext>
              </c:extLst>
            </c:dLbl>
            <c:dLbl>
              <c:idx val="8"/>
              <c:layout>
                <c:manualLayout>
                  <c:x val="0.26104146981627285"/>
                  <c:y val="-0.10901539508050494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50" b="0" i="0" u="none" strike="noStrike" kern="1200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fld id="{37CC0100-E915-46DC-A8B9-94A800E945F2}" type="CATEGORYNAME">
                      <a:rPr lang="zh-TW" altLang="en-US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pPr>
                        <a:defRPr/>
                      </a:pPr>
                      <a:t>[類別名稱]</a:t>
                    </a:fld>
                    <a:r>
                      <a:rPr lang="zh-TW" altLang="en-US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
</a:t>
                    </a:r>
                    <a:fld id="{4C515EAB-0449-4DDE-9707-DC1906449D4F}" type="PERCENTAGE">
                      <a:rPr lang="en-US" altLang="zh-TW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pPr>
                        <a:defRPr/>
                      </a:pPr>
                      <a:t>[百分比]</a:t>
                    </a:fld>
                    <a:endParaRPr lang="zh-TW" altLang="en-US"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endParaRPr>
                  </a:p>
                </c:rich>
              </c:tx>
              <c:numFmt formatCode="0.0%" sourceLinked="0"/>
              <c:spPr>
                <a:noFill/>
                <a:ln w="25399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B622-46C9-AE44-491DC451A845}"/>
                </c:ext>
              </c:extLst>
            </c:dLbl>
            <c:numFmt formatCode="0.0%" sourceLinked="0"/>
            <c:spPr>
              <a:noFill/>
              <a:ln w="25399"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Sheet1!$B$1:$J$1</c:f>
              <c:strCache>
                <c:ptCount val="9"/>
                <c:pt idx="0">
                  <c:v>流動負債</c:v>
                </c:pt>
                <c:pt idx="1">
                  <c:v>存款、匯款及金融債券</c:v>
                </c:pt>
                <c:pt idx="2">
                  <c:v>其他負債</c:v>
                </c:pt>
                <c:pt idx="3">
                  <c:v>資本</c:v>
                </c:pt>
                <c:pt idx="4">
                  <c:v>保留盈餘</c:v>
                </c:pt>
                <c:pt idx="5">
                  <c:v>央行及同業融資與長期負債</c:v>
                </c:pt>
                <c:pt idx="6">
                  <c:v>首次採用國際財務報導準則調整數</c:v>
                </c:pt>
                <c:pt idx="7">
                  <c:v>資本公積</c:v>
                </c:pt>
                <c:pt idx="8">
                  <c:v>累積其他綜合損益及非控制權益</c:v>
                </c:pt>
              </c:strCache>
            </c:strRef>
          </c:cat>
          <c:val>
            <c:numRef>
              <c:f>Sheet1!$B$2:$J$2</c:f>
              <c:numCache>
                <c:formatCode>#,##0.00_ </c:formatCode>
                <c:ptCount val="9"/>
                <c:pt idx="0">
                  <c:v>16703422741656.5</c:v>
                </c:pt>
                <c:pt idx="1">
                  <c:v>13294336106361.1</c:v>
                </c:pt>
                <c:pt idx="2">
                  <c:v>2922323828992.4902</c:v>
                </c:pt>
                <c:pt idx="3">
                  <c:v>1381814385085.5</c:v>
                </c:pt>
                <c:pt idx="4">
                  <c:v>1131836431549.1299</c:v>
                </c:pt>
                <c:pt idx="5">
                  <c:v>1052538376716.1801</c:v>
                </c:pt>
                <c:pt idx="6">
                  <c:v>978341380821.73999</c:v>
                </c:pt>
                <c:pt idx="7">
                  <c:v>249710399979.73999</c:v>
                </c:pt>
                <c:pt idx="8">
                  <c:v>141364209838.31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622-46C9-AE44-491DC451A8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358"/>
        <c:holeSize val="50"/>
      </c:doughnutChart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2000" b="1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資    產</a:t>
            </a:r>
          </a:p>
        </c:rich>
      </c:tx>
      <c:layout>
        <c:manualLayout>
          <c:xMode val="edge"/>
          <c:yMode val="edge"/>
          <c:x val="0.41326964978597786"/>
          <c:y val="0.58077651197855584"/>
        </c:manualLayout>
      </c:layout>
      <c:overlay val="0"/>
      <c:spPr>
        <a:noFill/>
        <a:ln w="25401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8569246748530799"/>
          <c:y val="0.2707182919964462"/>
          <c:w val="0.6582092421560225"/>
          <c:h val="0.7292817582970867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28D-4788-B102-BDC0E5E72C6E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28D-4788-B102-BDC0E5E72C6E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28D-4788-B102-BDC0E5E72C6E}"/>
              </c:ext>
            </c:extLst>
          </c:dPt>
          <c:dPt>
            <c:idx val="3"/>
            <c:bubble3D val="0"/>
            <c:explosion val="6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28D-4788-B102-BDC0E5E72C6E}"/>
              </c:ext>
            </c:extLst>
          </c:dPt>
          <c:dPt>
            <c:idx val="4"/>
            <c:bubble3D val="0"/>
            <c:explosion val="9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28D-4788-B102-BDC0E5E72C6E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28D-4788-B102-BDC0E5E72C6E}"/>
              </c:ext>
            </c:extLst>
          </c:dPt>
          <c:dLbls>
            <c:dLbl>
              <c:idx val="0"/>
              <c:layout>
                <c:manualLayout>
                  <c:x val="0.16332261856502134"/>
                  <c:y val="-4.0909343313750159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50" b="0" i="0" u="none" strike="noStrike" kern="1200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zh-TW" altLang="en-US" sz="105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基金、投資及</a:t>
                    </a:r>
                  </a:p>
                  <a:p>
                    <a:pPr>
                      <a:defRPr sz="1050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zh-TW" altLang="en-US" sz="105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長期應收款</a:t>
                    </a:r>
                  </a:p>
                  <a:p>
                    <a:pPr>
                      <a:defRPr sz="1050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en-US" altLang="zh-TW" sz="105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46.1%</a:t>
                    </a:r>
                  </a:p>
                </c:rich>
              </c:tx>
              <c:spPr>
                <a:noFill/>
                <a:ln w="2540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8D-4788-B102-BDC0E5E72C6E}"/>
                </c:ext>
              </c:extLst>
            </c:dLbl>
            <c:dLbl>
              <c:idx val="1"/>
              <c:layout>
                <c:manualLayout>
                  <c:x val="-0.15556938635866249"/>
                  <c:y val="1.3968603889252912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50" b="0" i="0" u="none" strike="noStrike" kern="1200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zh-TW" altLang="en-US" sz="105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流動資產</a:t>
                    </a:r>
                  </a:p>
                  <a:p>
                    <a:pPr>
                      <a:defRPr sz="1050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en-US" altLang="zh-TW" sz="105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26.4%</a:t>
                    </a:r>
                  </a:p>
                </c:rich>
              </c:tx>
              <c:spPr>
                <a:noFill/>
                <a:ln w="2540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8D-4788-B102-BDC0E5E72C6E}"/>
                </c:ext>
              </c:extLst>
            </c:dLbl>
            <c:dLbl>
              <c:idx val="2"/>
              <c:layout>
                <c:manualLayout>
                  <c:x val="-0.16534053322547357"/>
                  <c:y val="1.4328071301170227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50" b="0" i="0" u="none" strike="noStrike" kern="1200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zh-TW" altLang="en-US" sz="105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押匯貼現及放款</a:t>
                    </a:r>
                  </a:p>
                  <a:p>
                    <a:pPr>
                      <a:defRPr sz="1050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en-US" altLang="zh-TW" sz="105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14.1%</a:t>
                    </a:r>
                  </a:p>
                </c:rich>
              </c:tx>
              <c:spPr>
                <a:noFill/>
                <a:ln w="2540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80467955239064"/>
                      <c:h val="0.1548625194053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28D-4788-B102-BDC0E5E72C6E}"/>
                </c:ext>
              </c:extLst>
            </c:dLbl>
            <c:dLbl>
              <c:idx val="3"/>
              <c:layout>
                <c:manualLayout>
                  <c:x val="-5.6265414989986814E-2"/>
                  <c:y val="-0.2239442482123934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50" b="0" i="0" u="none" strike="noStrike" kern="1200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zh-TW" altLang="en-US" sz="1050" baseline="0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使用權資產、無形資產、生物資產及其他資產
</a:t>
                    </a:r>
                    <a:r>
                      <a:rPr lang="en-US" altLang="zh-TW" sz="1050" baseline="0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2.1%</a:t>
                    </a:r>
                  </a:p>
                </c:rich>
              </c:tx>
              <c:numFmt formatCode="0.0%" sourceLinked="0"/>
              <c:spPr>
                <a:noFill/>
                <a:ln w="2540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74540682414698"/>
                      <c:h val="0.20393002736360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28D-4788-B102-BDC0E5E72C6E}"/>
                </c:ext>
              </c:extLst>
            </c:dLbl>
            <c:dLbl>
              <c:idx val="4"/>
              <c:layout>
                <c:manualLayout>
                  <c:x val="0.11157148806616139"/>
                  <c:y val="-0.17251813022666948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50" b="0" i="0" u="none" strike="noStrike" kern="1200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zh-TW" altLang="en-US" sz="1050" baseline="0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投資性不動產
</a:t>
                    </a:r>
                    <a:r>
                      <a:rPr lang="en-US" altLang="zh-TW" sz="1050" baseline="0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1.2%</a:t>
                    </a:r>
                  </a:p>
                </c:rich>
              </c:tx>
              <c:numFmt formatCode="0.0%" sourceLinked="0"/>
              <c:spPr>
                <a:noFill/>
                <a:ln w="2540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28D-4788-B102-BDC0E5E72C6E}"/>
                </c:ext>
              </c:extLst>
            </c:dLbl>
            <c:dLbl>
              <c:idx val="5"/>
              <c:layout>
                <c:manualLayout>
                  <c:x val="-0.25126107067037634"/>
                  <c:y val="-5.5307186566418302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50" b="0" i="0" u="none" strike="noStrike" kern="1200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zh-TW" altLang="en-US" sz="105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不動產、廠房及設備</a:t>
                    </a:r>
                  </a:p>
                  <a:p>
                    <a:pPr>
                      <a:defRPr sz="1050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defRPr>
                    </a:pPr>
                    <a:r>
                      <a:rPr lang="en-US" altLang="zh-TW" sz="105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10.1%</a:t>
                    </a:r>
                  </a:p>
                </c:rich>
              </c:tx>
              <c:spPr>
                <a:noFill/>
                <a:ln w="2540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01525940996948"/>
                      <c:h val="0.1548625194053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328D-4788-B102-BDC0E5E72C6E}"/>
                </c:ext>
              </c:extLst>
            </c:dLbl>
            <c:numFmt formatCode="0.0%" sourceLinked="0"/>
            <c:spPr>
              <a:noFill/>
              <a:ln w="25401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基金、投資及長期應收款</c:v>
                </c:pt>
                <c:pt idx="1">
                  <c:v>流動資產</c:v>
                </c:pt>
                <c:pt idx="2">
                  <c:v>押匯貼現及放款</c:v>
                </c:pt>
                <c:pt idx="3">
                  <c:v>不動產、廠房及設備</c:v>
                </c:pt>
                <c:pt idx="4">
                  <c:v>使用權資產、無形資產、生物資產及其他資產</c:v>
                </c:pt>
                <c:pt idx="5">
                  <c:v>投資性不動產</c:v>
                </c:pt>
              </c:strCache>
            </c:strRef>
          </c:cat>
          <c:val>
            <c:numRef>
              <c:f>Sheet1!$B$2:$G$2</c:f>
              <c:numCache>
                <c:formatCode>#,##0.00_ </c:formatCode>
                <c:ptCount val="6"/>
                <c:pt idx="0">
                  <c:v>17449318785929.6</c:v>
                </c:pt>
                <c:pt idx="1">
                  <c:v>10012049662519.1</c:v>
                </c:pt>
                <c:pt idx="2">
                  <c:v>5345719222889.4004</c:v>
                </c:pt>
                <c:pt idx="3">
                  <c:v>3807372535613.3799</c:v>
                </c:pt>
                <c:pt idx="4">
                  <c:v>797401298211.87</c:v>
                </c:pt>
                <c:pt idx="5">
                  <c:v>442012897601.39001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28D-4788-B102-BDC0E5E72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358"/>
        <c:holeSize val="50"/>
      </c:doughnutChart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 algn="just">
        <a:defRPr sz="16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0.29235</cdr:x>
      <cdr:y>0.7648</cdr:y>
    </cdr:from>
    <cdr:to>
      <cdr:x>0.43781</cdr:x>
      <cdr:y>0.83303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858021" y="2668970"/>
          <a:ext cx="924467" cy="2381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zh-TW" altLang="en-US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實際數</a:t>
          </a:r>
        </a:p>
      </cdr:txBody>
    </cdr:sp>
  </cdr:relSizeAnchor>
  <cdr:relSizeAnchor xmlns:cdr="http://schemas.openxmlformats.org/drawingml/2006/chartDrawing">
    <cdr:from>
      <cdr:x>0.01593</cdr:x>
      <cdr:y>0.02793</cdr:y>
    </cdr:from>
    <cdr:to>
      <cdr:x>0.09986</cdr:x>
      <cdr:y>0.10547</cdr:y>
    </cdr:to>
    <cdr:sp macro="" textlink="">
      <cdr:nvSpPr>
        <cdr:cNvPr id="9" name="文字方塊 1"/>
        <cdr:cNvSpPr txBox="1"/>
      </cdr:nvSpPr>
      <cdr:spPr>
        <a:xfrm xmlns:a="http://schemas.openxmlformats.org/drawingml/2006/main">
          <a:off x="93944" y="102511"/>
          <a:ext cx="495116" cy="2845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zh-TW" altLang="en-US" sz="1200">
            <a:solidFill>
              <a:srgbClr val="000064"/>
            </a:solidFill>
            <a:latin typeface="標楷體" pitchFamily="65" charset="-120"/>
            <a:ea typeface="標楷體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0.31665</cdr:x>
      <cdr:y>0.80133</cdr:y>
    </cdr:from>
    <cdr:to>
      <cdr:x>0.39125</cdr:x>
      <cdr:y>0.87887</cdr:y>
    </cdr:to>
    <cdr:sp macro="" textlink="">
      <cdr:nvSpPr>
        <cdr:cNvPr id="10" name="文字方塊 1"/>
        <cdr:cNvSpPr txBox="1"/>
      </cdr:nvSpPr>
      <cdr:spPr>
        <a:xfrm xmlns:a="http://schemas.openxmlformats.org/drawingml/2006/main">
          <a:off x="2040766" y="2814734"/>
          <a:ext cx="486698" cy="2729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zh-TW" altLang="en-US" sz="1200">
            <a:solidFill>
              <a:srgbClr val="000099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0.61745</cdr:x>
      <cdr:y>0.76145</cdr:y>
    </cdr:from>
    <cdr:to>
      <cdr:x>0.87005</cdr:x>
      <cdr:y>0.85523</cdr:y>
    </cdr:to>
    <cdr:sp macro="" textlink="">
      <cdr:nvSpPr>
        <cdr:cNvPr id="11" name="文字方塊 1"/>
        <cdr:cNvSpPr txBox="1"/>
      </cdr:nvSpPr>
      <cdr:spPr>
        <a:xfrm xmlns:a="http://schemas.openxmlformats.org/drawingml/2006/main">
          <a:off x="3924186" y="2657287"/>
          <a:ext cx="1605393" cy="3272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分配預算數</a:t>
          </a:r>
        </a:p>
      </cdr:txBody>
    </cdr:sp>
  </cdr:relSizeAnchor>
  <cdr:relSizeAnchor xmlns:cdr="http://schemas.openxmlformats.org/drawingml/2006/chartDrawing">
    <cdr:from>
      <cdr:x>0.31665</cdr:x>
      <cdr:y>0.80133</cdr:y>
    </cdr:from>
    <cdr:to>
      <cdr:x>0.46972</cdr:x>
      <cdr:y>0.87882</cdr:y>
    </cdr:to>
    <cdr:sp macro="" textlink="">
      <cdr:nvSpPr>
        <cdr:cNvPr id="14" name="文字方塊 1"/>
        <cdr:cNvSpPr txBox="1"/>
      </cdr:nvSpPr>
      <cdr:spPr>
        <a:xfrm xmlns:a="http://schemas.openxmlformats.org/drawingml/2006/main">
          <a:off x="1870646" y="2883453"/>
          <a:ext cx="904303" cy="2788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zh-TW" altLang="en-US" sz="1200">
            <a:solidFill>
              <a:srgbClr val="000064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0.86026</cdr:x>
      <cdr:y>0.79726</cdr:y>
    </cdr:from>
    <cdr:to>
      <cdr:x>0.97141</cdr:x>
      <cdr:y>0.8748</cdr:y>
    </cdr:to>
    <cdr:sp macro="" textlink="">
      <cdr:nvSpPr>
        <cdr:cNvPr id="16" name="文字方塊 1"/>
        <cdr:cNvSpPr txBox="1"/>
      </cdr:nvSpPr>
      <cdr:spPr>
        <a:xfrm xmlns:a="http://schemas.openxmlformats.org/drawingml/2006/main">
          <a:off x="5070289" y="2936309"/>
          <a:ext cx="655126" cy="2855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zh-TW" altLang="en-US" sz="1200">
            <a:solidFill>
              <a:srgbClr val="000064"/>
            </a:solidFill>
            <a:latin typeface="標楷體" pitchFamily="65" charset="-120"/>
            <a:ea typeface="標楷體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0.79052</cdr:x>
      <cdr:y>0.01456</cdr:y>
    </cdr:from>
    <cdr:to>
      <cdr:x>0.98392</cdr:x>
      <cdr:y>0.10834</cdr:y>
    </cdr:to>
    <cdr:sp macro="" textlink="">
      <cdr:nvSpPr>
        <cdr:cNvPr id="26" name="文字方塊 1"/>
        <cdr:cNvSpPr txBox="1"/>
      </cdr:nvSpPr>
      <cdr:spPr>
        <a:xfrm xmlns:a="http://schemas.openxmlformats.org/drawingml/2006/main">
          <a:off x="4924425" y="46644"/>
          <a:ext cx="1204758" cy="3004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 sz="10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單位：新臺幣億元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0.27616</cdr:x>
      <cdr:y>0.29715</cdr:y>
    </cdr:from>
    <cdr:to>
      <cdr:x>0.36858</cdr:x>
      <cdr:y>0.36113</cdr:y>
    </cdr:to>
    <cdr:cxnSp macro="">
      <cdr:nvCxnSpPr>
        <cdr:cNvPr id="3" name="直線接點 2"/>
        <cdr:cNvCxnSpPr/>
      </cdr:nvCxnSpPr>
      <cdr:spPr>
        <a:xfrm xmlns:a="http://schemas.openxmlformats.org/drawingml/2006/main">
          <a:off x="1381125" y="1209675"/>
          <a:ext cx="462224" cy="26046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0.35273</cdr:x>
      <cdr:y>0.22738</cdr:y>
    </cdr:from>
    <cdr:to>
      <cdr:x>0.41138</cdr:x>
      <cdr:y>0.33224</cdr:y>
    </cdr:to>
    <cdr:cxnSp macro="">
      <cdr:nvCxnSpPr>
        <cdr:cNvPr id="5" name="直線接點 4"/>
        <cdr:cNvCxnSpPr/>
      </cdr:nvCxnSpPr>
      <cdr:spPr>
        <a:xfrm xmlns:a="http://schemas.openxmlformats.org/drawingml/2006/main">
          <a:off x="1847850" y="885825"/>
          <a:ext cx="307248" cy="40849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</cdr:x>
      <cdr:y>0.28737</cdr:y>
    </cdr:from>
    <cdr:to>
      <cdr:x>0.6632</cdr:x>
      <cdr:y>0.3154</cdr:y>
    </cdr:to>
    <cdr:cxnSp macro="">
      <cdr:nvCxnSpPr>
        <cdr:cNvPr id="8" name="直線接點 7"/>
        <cdr:cNvCxnSpPr/>
      </cdr:nvCxnSpPr>
      <cdr:spPr>
        <a:xfrm xmlns:a="http://schemas.openxmlformats.org/drawingml/2006/main" flipV="1">
          <a:off x="2619375" y="1119517"/>
          <a:ext cx="854974" cy="10920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0.48909</cdr:x>
      <cdr:y>0.25206</cdr:y>
    </cdr:from>
    <cdr:to>
      <cdr:x>0.55612</cdr:x>
      <cdr:y>0.31051</cdr:y>
    </cdr:to>
    <cdr:cxnSp macro="">
      <cdr:nvCxnSpPr>
        <cdr:cNvPr id="13" name="直線接點 12"/>
        <cdr:cNvCxnSpPr/>
      </cdr:nvCxnSpPr>
      <cdr:spPr>
        <a:xfrm xmlns:a="http://schemas.openxmlformats.org/drawingml/2006/main" flipV="1">
          <a:off x="2562225" y="981957"/>
          <a:ext cx="351149" cy="22771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0.46727</cdr:x>
      <cdr:y>0.25014</cdr:y>
    </cdr:from>
    <cdr:to>
      <cdr:x>0.48184</cdr:x>
      <cdr:y>0.30807</cdr:y>
    </cdr:to>
    <cdr:cxnSp macro="">
      <cdr:nvCxnSpPr>
        <cdr:cNvPr id="20" name="直線接點 19"/>
        <cdr:cNvCxnSpPr/>
      </cdr:nvCxnSpPr>
      <cdr:spPr>
        <a:xfrm xmlns:a="http://schemas.openxmlformats.org/drawingml/2006/main" flipV="1">
          <a:off x="2447925" y="974478"/>
          <a:ext cx="76314" cy="22567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0.39693</cdr:x>
      <cdr:y>0.2</cdr:y>
    </cdr:from>
    <cdr:to>
      <cdr:x>0.45927</cdr:x>
      <cdr:y>0.24468</cdr:y>
    </cdr:to>
    <cdr:cxnSp macro="">
      <cdr:nvCxnSpPr>
        <cdr:cNvPr id="3" name="直線接點 2"/>
        <cdr:cNvCxnSpPr/>
      </cdr:nvCxnSpPr>
      <cdr:spPr>
        <a:xfrm xmlns:a="http://schemas.openxmlformats.org/drawingml/2006/main">
          <a:off x="2181498" y="716280"/>
          <a:ext cx="342627" cy="16002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0.49933</cdr:x>
      <cdr:y>0.18512</cdr:y>
    </cdr:from>
    <cdr:to>
      <cdr:x>0.54905</cdr:x>
      <cdr:y>0.25957</cdr:y>
    </cdr:to>
    <cdr:cxnSp macro="">
      <cdr:nvCxnSpPr>
        <cdr:cNvPr id="5" name="直線接點 4"/>
        <cdr:cNvCxnSpPr/>
      </cdr:nvCxnSpPr>
      <cdr:spPr>
        <a:xfrm xmlns:a="http://schemas.openxmlformats.org/drawingml/2006/main" flipH="1">
          <a:off x="2641879" y="680856"/>
          <a:ext cx="263049" cy="27383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191E-59EB-41CD-96F2-BD3A6079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87總說明2</Template>
  <TotalTime>392</TotalTime>
  <Pages>4</Pages>
  <Words>280</Words>
  <Characters>1600</Characters>
  <Application>Microsoft Office Word</Application>
  <DocSecurity>0</DocSecurity>
  <Lines>13</Lines>
  <Paragraphs>3</Paragraphs>
  <ScaleCrop>false</ScaleCrop>
  <Company>會計小組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甲、總說明</dc:title>
  <dc:subject/>
  <dc:creator>行政院主計處</dc:creator>
  <cp:keywords/>
  <cp:lastModifiedBy>潘霞翠</cp:lastModifiedBy>
  <cp:revision>19</cp:revision>
  <cp:lastPrinted>2020-08-14T10:00:00Z</cp:lastPrinted>
  <dcterms:created xsi:type="dcterms:W3CDTF">2020-08-13T01:45:00Z</dcterms:created>
  <dcterms:modified xsi:type="dcterms:W3CDTF">2020-08-14T10:00:00Z</dcterms:modified>
</cp:coreProperties>
</file>