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025" w:rsidRPr="00E520D4" w:rsidRDefault="00F85E30" w:rsidP="00B01025">
      <w:pPr>
        <w:tabs>
          <w:tab w:val="left" w:pos="1200"/>
        </w:tabs>
        <w:spacing w:line="600" w:lineRule="exact"/>
        <w:ind w:right="39"/>
        <w:jc w:val="center"/>
        <w:rPr>
          <w:rFonts w:ascii="標楷體" w:eastAsia="標楷體"/>
          <w:b/>
          <w:color w:val="000000"/>
          <w:sz w:val="48"/>
        </w:rPr>
      </w:pPr>
      <w:r w:rsidRPr="00E520D4">
        <w:rPr>
          <w:rFonts w:ascii="標楷體" w:eastAsia="標楷體" w:hint="eastAsia"/>
          <w:b/>
          <w:color w:val="000000"/>
          <w:sz w:val="48"/>
        </w:rPr>
        <w:t>中</w:t>
      </w:r>
      <w:r w:rsidRPr="00E520D4">
        <w:rPr>
          <w:rFonts w:ascii="標楷體" w:eastAsia="標楷體"/>
          <w:b/>
          <w:color w:val="000000"/>
          <w:sz w:val="48"/>
        </w:rPr>
        <w:t xml:space="preserve"> </w:t>
      </w:r>
      <w:r w:rsidRPr="00E520D4">
        <w:rPr>
          <w:rFonts w:ascii="標楷體" w:eastAsia="標楷體" w:hint="eastAsia"/>
          <w:b/>
          <w:color w:val="000000"/>
          <w:sz w:val="48"/>
        </w:rPr>
        <w:t>華</w:t>
      </w:r>
      <w:r w:rsidRPr="00E520D4">
        <w:rPr>
          <w:rFonts w:ascii="標楷體" w:eastAsia="標楷體"/>
          <w:b/>
          <w:color w:val="000000"/>
          <w:sz w:val="48"/>
        </w:rPr>
        <w:t xml:space="preserve"> </w:t>
      </w:r>
      <w:r w:rsidRPr="00E520D4">
        <w:rPr>
          <w:rFonts w:ascii="標楷體" w:eastAsia="標楷體" w:hint="eastAsia"/>
          <w:b/>
          <w:color w:val="000000"/>
          <w:sz w:val="48"/>
        </w:rPr>
        <w:t>民</w:t>
      </w:r>
      <w:r w:rsidRPr="00E520D4">
        <w:rPr>
          <w:rFonts w:ascii="標楷體" w:eastAsia="標楷體"/>
          <w:b/>
          <w:color w:val="000000"/>
          <w:sz w:val="48"/>
        </w:rPr>
        <w:t xml:space="preserve"> </w:t>
      </w:r>
      <w:r w:rsidRPr="00E520D4">
        <w:rPr>
          <w:rFonts w:ascii="標楷體" w:eastAsia="標楷體" w:hint="eastAsia"/>
          <w:b/>
          <w:color w:val="000000"/>
          <w:sz w:val="48"/>
        </w:rPr>
        <w:t>國</w:t>
      </w:r>
      <w:r w:rsidR="006C20B6" w:rsidRPr="00E520D4">
        <w:rPr>
          <w:rFonts w:ascii="標楷體" w:eastAsia="標楷體"/>
          <w:b/>
          <w:color w:val="000000"/>
          <w:sz w:val="48"/>
        </w:rPr>
        <w:t xml:space="preserve"> 10</w:t>
      </w:r>
      <w:r w:rsidR="003610A8">
        <w:rPr>
          <w:rFonts w:ascii="標楷體" w:eastAsia="標楷體"/>
          <w:b/>
          <w:color w:val="000000"/>
          <w:sz w:val="48"/>
        </w:rPr>
        <w:t>6</w:t>
      </w:r>
      <w:r w:rsidRPr="00E520D4">
        <w:rPr>
          <w:rFonts w:ascii="標楷體" w:eastAsia="標楷體"/>
          <w:b/>
          <w:color w:val="000000"/>
          <w:sz w:val="48"/>
        </w:rPr>
        <w:t xml:space="preserve"> </w:t>
      </w:r>
      <w:r w:rsidRPr="00E520D4">
        <w:rPr>
          <w:rFonts w:ascii="標楷體" w:eastAsia="標楷體" w:hint="eastAsia"/>
          <w:b/>
          <w:color w:val="000000"/>
          <w:sz w:val="48"/>
        </w:rPr>
        <w:t>年</w:t>
      </w:r>
      <w:r w:rsidRPr="00E520D4">
        <w:rPr>
          <w:rFonts w:ascii="標楷體" w:eastAsia="標楷體"/>
          <w:b/>
          <w:color w:val="000000"/>
          <w:sz w:val="48"/>
        </w:rPr>
        <w:t xml:space="preserve"> </w:t>
      </w:r>
      <w:r w:rsidRPr="00E520D4">
        <w:rPr>
          <w:rFonts w:ascii="標楷體" w:eastAsia="標楷體" w:hint="eastAsia"/>
          <w:b/>
          <w:color w:val="000000"/>
          <w:sz w:val="48"/>
        </w:rPr>
        <w:t>度</w:t>
      </w:r>
    </w:p>
    <w:p w:rsidR="00B01025" w:rsidRPr="00E520D4" w:rsidRDefault="00F85E30" w:rsidP="00B01025">
      <w:pPr>
        <w:spacing w:beforeLines="50" w:before="120" w:line="600" w:lineRule="exact"/>
        <w:jc w:val="center"/>
        <w:rPr>
          <w:rFonts w:ascii="標楷體" w:eastAsia="標楷體"/>
          <w:b/>
          <w:color w:val="000000"/>
          <w:sz w:val="48"/>
        </w:rPr>
      </w:pPr>
      <w:r w:rsidRPr="00E520D4">
        <w:rPr>
          <w:rFonts w:ascii="標楷體" w:eastAsia="標楷體" w:hint="eastAsia"/>
          <w:b/>
          <w:color w:val="000000"/>
          <w:sz w:val="48"/>
        </w:rPr>
        <w:t>中</w:t>
      </w:r>
      <w:r w:rsidRPr="00E520D4">
        <w:rPr>
          <w:rFonts w:ascii="標楷體" w:eastAsia="標楷體"/>
          <w:b/>
          <w:color w:val="000000"/>
          <w:sz w:val="48"/>
        </w:rPr>
        <w:t xml:space="preserve"> </w:t>
      </w:r>
      <w:r w:rsidRPr="00E520D4">
        <w:rPr>
          <w:rFonts w:ascii="標楷體" w:eastAsia="標楷體" w:hint="eastAsia"/>
          <w:b/>
          <w:color w:val="000000"/>
          <w:sz w:val="48"/>
        </w:rPr>
        <w:t>央</w:t>
      </w:r>
      <w:r w:rsidRPr="00E520D4">
        <w:rPr>
          <w:rFonts w:ascii="標楷體" w:eastAsia="標楷體"/>
          <w:b/>
          <w:color w:val="000000"/>
          <w:sz w:val="48"/>
        </w:rPr>
        <w:t xml:space="preserve"> </w:t>
      </w:r>
      <w:r w:rsidRPr="00E520D4">
        <w:rPr>
          <w:rFonts w:ascii="標楷體" w:eastAsia="標楷體" w:hint="eastAsia"/>
          <w:b/>
          <w:color w:val="000000"/>
          <w:sz w:val="48"/>
        </w:rPr>
        <w:t>政</w:t>
      </w:r>
      <w:r w:rsidRPr="00E520D4">
        <w:rPr>
          <w:rFonts w:ascii="標楷體" w:eastAsia="標楷體"/>
          <w:b/>
          <w:color w:val="000000"/>
          <w:sz w:val="48"/>
        </w:rPr>
        <w:t xml:space="preserve"> </w:t>
      </w:r>
      <w:r w:rsidRPr="00E520D4">
        <w:rPr>
          <w:rFonts w:ascii="標楷體" w:eastAsia="標楷體" w:hint="eastAsia"/>
          <w:b/>
          <w:color w:val="000000"/>
          <w:sz w:val="48"/>
        </w:rPr>
        <w:t>府</w:t>
      </w:r>
      <w:r w:rsidRPr="00E520D4">
        <w:rPr>
          <w:rFonts w:ascii="標楷體" w:eastAsia="標楷體"/>
          <w:b/>
          <w:color w:val="000000"/>
          <w:sz w:val="48"/>
        </w:rPr>
        <w:t xml:space="preserve"> </w:t>
      </w:r>
      <w:r w:rsidRPr="00E520D4">
        <w:rPr>
          <w:rFonts w:ascii="標楷體" w:eastAsia="標楷體" w:hint="eastAsia"/>
          <w:b/>
          <w:color w:val="000000"/>
          <w:sz w:val="48"/>
        </w:rPr>
        <w:t>總</w:t>
      </w:r>
      <w:r w:rsidRPr="00E520D4">
        <w:rPr>
          <w:rFonts w:ascii="標楷體" w:eastAsia="標楷體"/>
          <w:b/>
          <w:color w:val="000000"/>
          <w:sz w:val="48"/>
        </w:rPr>
        <w:t xml:space="preserve"> </w:t>
      </w:r>
      <w:r w:rsidRPr="00E520D4">
        <w:rPr>
          <w:rFonts w:ascii="標楷體" w:eastAsia="標楷體" w:hint="eastAsia"/>
          <w:b/>
          <w:color w:val="000000"/>
          <w:sz w:val="48"/>
        </w:rPr>
        <w:t>決</w:t>
      </w:r>
      <w:r w:rsidRPr="00E520D4">
        <w:rPr>
          <w:rFonts w:ascii="標楷體" w:eastAsia="標楷體"/>
          <w:b/>
          <w:color w:val="000000"/>
          <w:sz w:val="48"/>
        </w:rPr>
        <w:t xml:space="preserve"> </w:t>
      </w:r>
      <w:r w:rsidRPr="00E520D4">
        <w:rPr>
          <w:rFonts w:ascii="標楷體" w:eastAsia="標楷體" w:hint="eastAsia"/>
          <w:b/>
          <w:color w:val="000000"/>
          <w:sz w:val="48"/>
        </w:rPr>
        <w:t>算</w:t>
      </w:r>
      <w:r w:rsidRPr="00E520D4">
        <w:rPr>
          <w:rFonts w:ascii="標楷體" w:eastAsia="標楷體"/>
          <w:b/>
          <w:color w:val="000000"/>
          <w:sz w:val="48"/>
        </w:rPr>
        <w:t xml:space="preserve"> </w:t>
      </w:r>
      <w:r w:rsidRPr="00E520D4">
        <w:rPr>
          <w:rFonts w:ascii="標楷體" w:eastAsia="標楷體" w:hint="eastAsia"/>
          <w:b/>
          <w:color w:val="000000"/>
          <w:sz w:val="48"/>
        </w:rPr>
        <w:t>總</w:t>
      </w:r>
      <w:r w:rsidRPr="00E520D4">
        <w:rPr>
          <w:rFonts w:ascii="標楷體" w:eastAsia="標楷體"/>
          <w:b/>
          <w:color w:val="000000"/>
          <w:sz w:val="48"/>
        </w:rPr>
        <w:t xml:space="preserve"> </w:t>
      </w:r>
      <w:r w:rsidRPr="00E520D4">
        <w:rPr>
          <w:rFonts w:ascii="標楷體" w:eastAsia="標楷體" w:hint="eastAsia"/>
          <w:b/>
          <w:color w:val="000000"/>
          <w:sz w:val="48"/>
        </w:rPr>
        <w:t>說</w:t>
      </w:r>
      <w:r w:rsidRPr="00E520D4">
        <w:rPr>
          <w:rFonts w:ascii="標楷體" w:eastAsia="標楷體"/>
          <w:b/>
          <w:color w:val="000000"/>
          <w:sz w:val="48"/>
        </w:rPr>
        <w:t xml:space="preserve"> </w:t>
      </w:r>
      <w:r w:rsidRPr="00E520D4">
        <w:rPr>
          <w:rFonts w:ascii="標楷體" w:eastAsia="標楷體" w:hint="eastAsia"/>
          <w:b/>
          <w:color w:val="000000"/>
          <w:sz w:val="48"/>
        </w:rPr>
        <w:t>明</w:t>
      </w:r>
    </w:p>
    <w:p w:rsidR="00D25D11" w:rsidRPr="00E520D4" w:rsidRDefault="00C317BC" w:rsidP="00C317BC">
      <w:pPr>
        <w:pStyle w:val="20"/>
        <w:spacing w:before="600" w:after="240" w:line="600" w:lineRule="exact"/>
        <w:ind w:firstLine="0"/>
        <w:rPr>
          <w:rFonts w:ascii="標楷體" w:eastAsia="標楷體" w:hAnsi="標楷體"/>
          <w:color w:val="000000"/>
          <w:sz w:val="40"/>
        </w:rPr>
      </w:pPr>
      <w:r w:rsidRPr="00E520D4">
        <w:rPr>
          <w:rFonts w:ascii="標楷體" w:eastAsia="標楷體" w:hAnsi="標楷體" w:hint="eastAsia"/>
          <w:color w:val="000000"/>
          <w:sz w:val="40"/>
        </w:rPr>
        <w:t>前言</w:t>
      </w:r>
    </w:p>
    <w:p w:rsidR="007721B3" w:rsidRPr="00935C05" w:rsidRDefault="007721B3" w:rsidP="00243161">
      <w:pPr>
        <w:pStyle w:val="5"/>
        <w:spacing w:line="620" w:lineRule="exact"/>
        <w:ind w:left="0" w:right="-62" w:firstLine="601"/>
        <w:rPr>
          <w:rFonts w:ascii="標楷體" w:eastAsia="標楷體" w:hAnsi="標楷體"/>
          <w:sz w:val="28"/>
          <w:szCs w:val="28"/>
        </w:rPr>
      </w:pPr>
      <w:proofErr w:type="gramStart"/>
      <w:r w:rsidRPr="00935C05">
        <w:rPr>
          <w:rFonts w:ascii="標楷體" w:eastAsia="標楷體" w:hAnsi="標楷體"/>
          <w:sz w:val="28"/>
        </w:rPr>
        <w:t>10</w:t>
      </w:r>
      <w:r w:rsidRPr="00935C05">
        <w:rPr>
          <w:rFonts w:ascii="標楷體" w:eastAsia="標楷體" w:hAnsi="標楷體" w:hint="eastAsia"/>
          <w:sz w:val="28"/>
        </w:rPr>
        <w:t>6</w:t>
      </w:r>
      <w:proofErr w:type="gramEnd"/>
      <w:r w:rsidRPr="00935C05">
        <w:rPr>
          <w:rFonts w:ascii="標楷體" w:eastAsia="標楷體" w:hAnsi="標楷體" w:hint="eastAsia"/>
          <w:sz w:val="28"/>
        </w:rPr>
        <w:t>年度</w:t>
      </w:r>
      <w:r w:rsidRPr="00935C05">
        <w:rPr>
          <w:rFonts w:ascii="標楷體" w:eastAsia="標楷體" w:hAnsi="標楷體" w:hint="eastAsia"/>
          <w:spacing w:val="4"/>
          <w:sz w:val="28"/>
        </w:rPr>
        <w:t>（以下簡稱本年度）中央政府總預算歲入</w:t>
      </w:r>
      <w:r w:rsidRPr="00935C05">
        <w:rPr>
          <w:rFonts w:ascii="標楷體" w:eastAsia="標楷體" w:hAnsi="標楷體"/>
          <w:spacing w:val="4"/>
          <w:sz w:val="28"/>
        </w:rPr>
        <w:t>1</w:t>
      </w:r>
      <w:r w:rsidRPr="00935C05">
        <w:rPr>
          <w:rFonts w:ascii="標楷體" w:eastAsia="標楷體" w:hAnsi="標楷體" w:hint="eastAsia"/>
          <w:spacing w:val="4"/>
          <w:sz w:val="28"/>
        </w:rPr>
        <w:t>兆8</w:t>
      </w:r>
      <w:r w:rsidRPr="00935C05">
        <w:rPr>
          <w:rFonts w:ascii="標楷體" w:eastAsia="標楷體" w:hAnsi="標楷體"/>
          <w:spacing w:val="4"/>
          <w:sz w:val="28"/>
        </w:rPr>
        <w:t>,</w:t>
      </w:r>
      <w:r w:rsidRPr="00935C05">
        <w:rPr>
          <w:rFonts w:ascii="標楷體" w:eastAsia="標楷體" w:hAnsi="標楷體" w:hint="eastAsia"/>
          <w:spacing w:val="4"/>
          <w:sz w:val="28"/>
        </w:rPr>
        <w:t>415億元，歲出</w:t>
      </w:r>
      <w:r w:rsidRPr="00935C05">
        <w:rPr>
          <w:rFonts w:ascii="標楷體" w:eastAsia="標楷體" w:hAnsi="標楷體"/>
          <w:spacing w:val="4"/>
          <w:sz w:val="28"/>
        </w:rPr>
        <w:t>1</w:t>
      </w:r>
      <w:r w:rsidRPr="00935C05">
        <w:rPr>
          <w:rFonts w:ascii="標楷體" w:eastAsia="標楷體" w:hAnsi="標楷體" w:hint="eastAsia"/>
          <w:spacing w:val="4"/>
          <w:sz w:val="28"/>
        </w:rPr>
        <w:t>兆</w:t>
      </w:r>
      <w:r w:rsidRPr="00935C05">
        <w:rPr>
          <w:rFonts w:ascii="標楷體" w:eastAsia="標楷體" w:hAnsi="標楷體"/>
          <w:spacing w:val="4"/>
          <w:sz w:val="28"/>
        </w:rPr>
        <w:t>9,</w:t>
      </w:r>
      <w:r w:rsidRPr="00935C05">
        <w:rPr>
          <w:rFonts w:ascii="標楷體" w:eastAsia="標楷體" w:hAnsi="標楷體" w:hint="eastAsia"/>
          <w:spacing w:val="4"/>
          <w:sz w:val="28"/>
        </w:rPr>
        <w:t>740億元，歲入歲出差短1</w:t>
      </w:r>
      <w:r w:rsidRPr="00935C05">
        <w:rPr>
          <w:rFonts w:ascii="標楷體" w:eastAsia="標楷體" w:hAnsi="標楷體"/>
          <w:spacing w:val="4"/>
          <w:sz w:val="28"/>
        </w:rPr>
        <w:t>,</w:t>
      </w:r>
      <w:r w:rsidRPr="00935C05">
        <w:rPr>
          <w:rFonts w:ascii="標楷體" w:eastAsia="標楷體" w:hAnsi="標楷體" w:hint="eastAsia"/>
          <w:spacing w:val="4"/>
          <w:sz w:val="28"/>
        </w:rPr>
        <w:t>325億元，連同債務還本</w:t>
      </w:r>
      <w:r w:rsidRPr="00935C05">
        <w:rPr>
          <w:rFonts w:ascii="標楷體" w:eastAsia="標楷體" w:hAnsi="標楷體"/>
          <w:spacing w:val="4"/>
          <w:sz w:val="28"/>
        </w:rPr>
        <w:t>7</w:t>
      </w:r>
      <w:r w:rsidRPr="00935C05">
        <w:rPr>
          <w:rFonts w:ascii="標楷體" w:eastAsia="標楷體" w:hAnsi="標楷體" w:hint="eastAsia"/>
          <w:spacing w:val="4"/>
          <w:sz w:val="28"/>
        </w:rPr>
        <w:t>4</w:t>
      </w:r>
      <w:r w:rsidRPr="00935C05">
        <w:rPr>
          <w:rFonts w:ascii="標楷體" w:eastAsia="標楷體" w:hAnsi="標楷體"/>
          <w:spacing w:val="4"/>
          <w:sz w:val="28"/>
        </w:rPr>
        <w:t>0</w:t>
      </w:r>
      <w:r w:rsidRPr="00935C05">
        <w:rPr>
          <w:rFonts w:ascii="標楷體" w:eastAsia="標楷體" w:hAnsi="標楷體" w:hint="eastAsia"/>
          <w:spacing w:val="4"/>
          <w:sz w:val="28"/>
        </w:rPr>
        <w:t>億元，合共須融資調度2,065億元，全數以舉借債務予以彌平。</w:t>
      </w:r>
    </w:p>
    <w:p w:rsidR="007721B3" w:rsidRPr="00935C05" w:rsidRDefault="007721B3" w:rsidP="00243161">
      <w:pPr>
        <w:pStyle w:val="5"/>
        <w:spacing w:line="620" w:lineRule="exact"/>
        <w:ind w:left="0" w:right="-62" w:firstLine="601"/>
        <w:rPr>
          <w:rFonts w:ascii="標楷體" w:eastAsia="標楷體" w:hAnsi="標楷體"/>
          <w:spacing w:val="4"/>
          <w:sz w:val="28"/>
        </w:rPr>
      </w:pPr>
      <w:r w:rsidRPr="00935C05">
        <w:rPr>
          <w:rFonts w:ascii="標楷體" w:eastAsia="標楷體" w:hAnsi="標楷體" w:hint="eastAsia"/>
          <w:spacing w:val="4"/>
          <w:sz w:val="28"/>
        </w:rPr>
        <w:t>本年度中央政府總預算執行結果，在稅課</w:t>
      </w:r>
      <w:r w:rsidR="005216E7">
        <w:rPr>
          <w:rFonts w:ascii="標楷體" w:eastAsia="標楷體" w:hAnsi="標楷體" w:hint="eastAsia"/>
          <w:spacing w:val="4"/>
          <w:sz w:val="28"/>
        </w:rPr>
        <w:t>等</w:t>
      </w:r>
      <w:r w:rsidRPr="00935C05">
        <w:rPr>
          <w:rFonts w:ascii="標楷體" w:eastAsia="標楷體" w:hAnsi="標楷體" w:hint="eastAsia"/>
          <w:spacing w:val="4"/>
          <w:sz w:val="28"/>
        </w:rPr>
        <w:t>收入</w:t>
      </w:r>
      <w:r w:rsidR="00DF6D6B">
        <w:rPr>
          <w:rFonts w:ascii="標楷體" w:eastAsia="標楷體" w:hAnsi="標楷體" w:hint="eastAsia"/>
          <w:spacing w:val="4"/>
          <w:sz w:val="28"/>
        </w:rPr>
        <w:t>較</w:t>
      </w:r>
      <w:r w:rsidR="00DF6D6B">
        <w:rPr>
          <w:rFonts w:ascii="標楷體" w:eastAsia="標楷體" w:hAnsi="標楷體"/>
          <w:spacing w:val="4"/>
          <w:sz w:val="28"/>
        </w:rPr>
        <w:t>預算數為高</w:t>
      </w:r>
      <w:r w:rsidRPr="00935C05">
        <w:rPr>
          <w:rFonts w:ascii="標楷體" w:eastAsia="標楷體" w:hAnsi="標楷體" w:hint="eastAsia"/>
          <w:spacing w:val="4"/>
          <w:sz w:val="28"/>
        </w:rPr>
        <w:t>及各機關本</w:t>
      </w:r>
      <w:proofErr w:type="gramStart"/>
      <w:r w:rsidRPr="00935C05">
        <w:rPr>
          <w:rFonts w:ascii="標楷體" w:eastAsia="標楷體" w:hAnsi="標楷體" w:hint="eastAsia"/>
          <w:spacing w:val="4"/>
          <w:sz w:val="28"/>
        </w:rPr>
        <w:t>撙</w:t>
      </w:r>
      <w:proofErr w:type="gramEnd"/>
      <w:r w:rsidRPr="00935C05">
        <w:rPr>
          <w:rFonts w:ascii="標楷體" w:eastAsia="標楷體" w:hAnsi="標楷體" w:hint="eastAsia"/>
          <w:spacing w:val="4"/>
          <w:sz w:val="28"/>
        </w:rPr>
        <w:t>節原則執行預算下，歲入決算數為</w:t>
      </w:r>
      <w:r w:rsidRPr="00935C05">
        <w:rPr>
          <w:rFonts w:ascii="標楷體" w:eastAsia="標楷體" w:hAnsi="標楷體"/>
          <w:spacing w:val="4"/>
          <w:sz w:val="28"/>
        </w:rPr>
        <w:t>1</w:t>
      </w:r>
      <w:r w:rsidRPr="00935C05">
        <w:rPr>
          <w:rFonts w:ascii="標楷體" w:eastAsia="標楷體" w:hAnsi="標楷體" w:hint="eastAsia"/>
          <w:spacing w:val="4"/>
          <w:sz w:val="28"/>
        </w:rPr>
        <w:t>兆9</w:t>
      </w:r>
      <w:r w:rsidRPr="00935C05">
        <w:rPr>
          <w:rFonts w:ascii="標楷體" w:eastAsia="標楷體" w:hAnsi="標楷體"/>
          <w:spacing w:val="4"/>
          <w:sz w:val="28"/>
        </w:rPr>
        <w:t>,2</w:t>
      </w:r>
      <w:r w:rsidRPr="00935C05">
        <w:rPr>
          <w:rFonts w:ascii="標楷體" w:eastAsia="標楷體" w:hAnsi="標楷體" w:hint="eastAsia"/>
          <w:spacing w:val="4"/>
          <w:sz w:val="28"/>
        </w:rPr>
        <w:t>13億元，歲出決算數為</w:t>
      </w:r>
      <w:r w:rsidRPr="00935C05">
        <w:rPr>
          <w:rFonts w:ascii="標楷體" w:eastAsia="標楷體" w:hAnsi="標楷體"/>
          <w:spacing w:val="4"/>
          <w:sz w:val="28"/>
        </w:rPr>
        <w:t>1</w:t>
      </w:r>
      <w:r w:rsidRPr="00935C05">
        <w:rPr>
          <w:rFonts w:ascii="標楷體" w:eastAsia="標楷體" w:hAnsi="標楷體" w:hint="eastAsia"/>
          <w:spacing w:val="4"/>
          <w:sz w:val="28"/>
        </w:rPr>
        <w:t>兆</w:t>
      </w:r>
      <w:r w:rsidRPr="00935C05">
        <w:rPr>
          <w:rFonts w:ascii="標楷體" w:eastAsia="標楷體" w:hAnsi="標楷體"/>
          <w:spacing w:val="4"/>
          <w:sz w:val="28"/>
        </w:rPr>
        <w:t>9,</w:t>
      </w:r>
      <w:r w:rsidRPr="00935C05">
        <w:rPr>
          <w:rFonts w:ascii="標楷體" w:eastAsia="標楷體" w:hAnsi="標楷體" w:hint="eastAsia"/>
          <w:spacing w:val="4"/>
          <w:sz w:val="28"/>
        </w:rPr>
        <w:t>310億元，歲入歲出相</w:t>
      </w:r>
      <w:proofErr w:type="gramStart"/>
      <w:r w:rsidRPr="00935C05">
        <w:rPr>
          <w:rFonts w:ascii="標楷體" w:eastAsia="標楷體" w:hAnsi="標楷體" w:hint="eastAsia"/>
          <w:spacing w:val="4"/>
          <w:sz w:val="28"/>
        </w:rPr>
        <w:t>較計差</w:t>
      </w:r>
      <w:proofErr w:type="gramEnd"/>
      <w:r w:rsidRPr="00935C05">
        <w:rPr>
          <w:rFonts w:ascii="標楷體" w:eastAsia="標楷體" w:hAnsi="標楷體" w:hint="eastAsia"/>
          <w:spacing w:val="4"/>
          <w:sz w:val="28"/>
        </w:rPr>
        <w:t>短97億元，連同債務還本</w:t>
      </w:r>
      <w:r w:rsidRPr="00935C05">
        <w:rPr>
          <w:rFonts w:ascii="標楷體" w:eastAsia="標楷體" w:hAnsi="標楷體"/>
          <w:spacing w:val="4"/>
          <w:sz w:val="28"/>
        </w:rPr>
        <w:t>7</w:t>
      </w:r>
      <w:r w:rsidRPr="00935C05">
        <w:rPr>
          <w:rFonts w:ascii="標楷體" w:eastAsia="標楷體" w:hAnsi="標楷體" w:hint="eastAsia"/>
          <w:spacing w:val="4"/>
          <w:sz w:val="28"/>
        </w:rPr>
        <w:t>4</w:t>
      </w:r>
      <w:r w:rsidRPr="00935C05">
        <w:rPr>
          <w:rFonts w:ascii="標楷體" w:eastAsia="標楷體" w:hAnsi="標楷體"/>
          <w:spacing w:val="4"/>
          <w:sz w:val="28"/>
        </w:rPr>
        <w:t>3</w:t>
      </w:r>
      <w:r w:rsidRPr="00935C05">
        <w:rPr>
          <w:rFonts w:ascii="標楷體" w:eastAsia="標楷體" w:hAnsi="標楷體" w:hint="eastAsia"/>
          <w:spacing w:val="4"/>
          <w:sz w:val="28"/>
        </w:rPr>
        <w:t>億元，尚須融資調度數為840億元，悉數以舉借債務予以彌平。</w:t>
      </w:r>
    </w:p>
    <w:p w:rsidR="00C317BC" w:rsidRPr="00E520D4" w:rsidRDefault="00243161" w:rsidP="00243161">
      <w:pPr>
        <w:pStyle w:val="5"/>
        <w:spacing w:beforeLines="50" w:before="120" w:line="620" w:lineRule="exact"/>
        <w:ind w:left="0" w:right="-62" w:firstLine="601"/>
        <w:rPr>
          <w:rFonts w:ascii="標楷體" w:eastAsia="標楷體" w:hAnsi="標楷體"/>
          <w:color w:val="000000"/>
          <w:sz w:val="28"/>
        </w:rPr>
      </w:pPr>
      <w:r>
        <w:rPr>
          <w:rFonts w:ascii="標楷體" w:eastAsia="標楷體" w:hAnsi="標楷體" w:hint="eastAsia"/>
          <w:sz w:val="28"/>
        </w:rPr>
        <w:t>本</w:t>
      </w:r>
      <w:r w:rsidR="007721B3" w:rsidRPr="00935C05">
        <w:rPr>
          <w:rFonts w:ascii="標楷體" w:eastAsia="標楷體" w:hAnsi="標楷體" w:hint="eastAsia"/>
          <w:sz w:val="28"/>
        </w:rPr>
        <w:t>年度經常收入決算數</w:t>
      </w:r>
      <w:r w:rsidR="007721B3" w:rsidRPr="00935C05">
        <w:rPr>
          <w:rFonts w:ascii="標楷體" w:eastAsia="標楷體" w:hAnsi="標楷體"/>
          <w:sz w:val="28"/>
        </w:rPr>
        <w:t>1</w:t>
      </w:r>
      <w:r w:rsidR="007721B3" w:rsidRPr="00935C05">
        <w:rPr>
          <w:rFonts w:ascii="標楷體" w:eastAsia="標楷體" w:hAnsi="標楷體" w:hint="eastAsia"/>
          <w:sz w:val="28"/>
        </w:rPr>
        <w:t>兆</w:t>
      </w:r>
      <w:r w:rsidR="007721B3" w:rsidRPr="00935C05">
        <w:rPr>
          <w:rFonts w:ascii="標楷體" w:eastAsia="標楷體" w:hAnsi="標楷體"/>
          <w:sz w:val="28"/>
        </w:rPr>
        <w:t>9,081</w:t>
      </w:r>
      <w:r w:rsidR="007721B3" w:rsidRPr="00935C05">
        <w:rPr>
          <w:rFonts w:ascii="標楷體" w:eastAsia="標楷體" w:hAnsi="標楷體" w:hint="eastAsia"/>
          <w:sz w:val="28"/>
        </w:rPr>
        <w:t>億元，與經常支出決算數</w:t>
      </w:r>
      <w:r w:rsidR="007721B3" w:rsidRPr="00935C05">
        <w:rPr>
          <w:rFonts w:ascii="標楷體" w:eastAsia="標楷體" w:hAnsi="標楷體"/>
          <w:sz w:val="28"/>
        </w:rPr>
        <w:t>1</w:t>
      </w:r>
      <w:r w:rsidR="007721B3" w:rsidRPr="00935C05">
        <w:rPr>
          <w:rFonts w:ascii="標楷體" w:eastAsia="標楷體" w:hAnsi="標楷體" w:hint="eastAsia"/>
          <w:sz w:val="28"/>
        </w:rPr>
        <w:t>兆</w:t>
      </w:r>
      <w:r w:rsidR="007721B3" w:rsidRPr="00935C05">
        <w:rPr>
          <w:rFonts w:ascii="標楷體" w:eastAsia="標楷體" w:hAnsi="標楷體"/>
          <w:sz w:val="28"/>
        </w:rPr>
        <w:t>6,273</w:t>
      </w:r>
      <w:r w:rsidR="007721B3" w:rsidRPr="00935C05">
        <w:rPr>
          <w:rFonts w:ascii="標楷體" w:eastAsia="標楷體" w:hAnsi="標楷體" w:hint="eastAsia"/>
          <w:sz w:val="28"/>
        </w:rPr>
        <w:t>億元相較，計賸餘</w:t>
      </w:r>
      <w:r w:rsidR="007721B3" w:rsidRPr="00935C05">
        <w:rPr>
          <w:rFonts w:ascii="標楷體" w:eastAsia="標楷體" w:hAnsi="標楷體"/>
          <w:sz w:val="28"/>
        </w:rPr>
        <w:t>2,808</w:t>
      </w:r>
      <w:r w:rsidR="007721B3" w:rsidRPr="00935C05">
        <w:rPr>
          <w:rFonts w:ascii="標楷體" w:eastAsia="標楷體" w:hAnsi="標楷體" w:hint="eastAsia"/>
          <w:sz w:val="28"/>
        </w:rPr>
        <w:t>億元，</w:t>
      </w:r>
      <w:proofErr w:type="gramStart"/>
      <w:r w:rsidR="007721B3" w:rsidRPr="00935C05">
        <w:rPr>
          <w:rFonts w:ascii="標楷體" w:eastAsia="標楷體" w:hAnsi="標楷體" w:hint="eastAsia"/>
          <w:sz w:val="28"/>
        </w:rPr>
        <w:t>均移作</w:t>
      </w:r>
      <w:proofErr w:type="gramEnd"/>
      <w:r w:rsidR="007721B3" w:rsidRPr="00935C05">
        <w:rPr>
          <w:rFonts w:ascii="標楷體" w:eastAsia="標楷體" w:hAnsi="標楷體" w:hint="eastAsia"/>
          <w:sz w:val="28"/>
        </w:rPr>
        <w:t>資本支出之財源，占經常收入決算數之</w:t>
      </w:r>
      <w:r w:rsidR="007721B3" w:rsidRPr="00935C05">
        <w:rPr>
          <w:rFonts w:ascii="標楷體" w:eastAsia="標楷體" w:hAnsi="標楷體"/>
          <w:sz w:val="28"/>
        </w:rPr>
        <w:t>14.7</w:t>
      </w:r>
      <w:r w:rsidR="007721B3" w:rsidRPr="00935C05">
        <w:rPr>
          <w:rFonts w:ascii="標楷體" w:eastAsia="標楷體" w:hAnsi="標楷體" w:hint="eastAsia"/>
          <w:sz w:val="28"/>
        </w:rPr>
        <w:t>％，較經常收支賸餘預算數占經常收入預算數之</w:t>
      </w:r>
      <w:r w:rsidR="007721B3" w:rsidRPr="00935C05">
        <w:rPr>
          <w:rFonts w:ascii="標楷體" w:eastAsia="標楷體" w:hAnsi="標楷體"/>
          <w:sz w:val="28"/>
        </w:rPr>
        <w:t>8.</w:t>
      </w:r>
      <w:r>
        <w:rPr>
          <w:rFonts w:ascii="標楷體" w:eastAsia="標楷體" w:hAnsi="標楷體"/>
          <w:sz w:val="28"/>
        </w:rPr>
        <w:t>4</w:t>
      </w:r>
      <w:r w:rsidR="007721B3" w:rsidRPr="00935C05">
        <w:rPr>
          <w:rFonts w:ascii="標楷體" w:eastAsia="標楷體" w:hAnsi="標楷體" w:hint="eastAsia"/>
          <w:sz w:val="28"/>
        </w:rPr>
        <w:t>％，計增加</w:t>
      </w:r>
      <w:r w:rsidR="007721B3" w:rsidRPr="00935C05">
        <w:rPr>
          <w:rFonts w:ascii="標楷體" w:eastAsia="標楷體" w:hAnsi="標楷體"/>
          <w:sz w:val="28"/>
        </w:rPr>
        <w:t>6.</w:t>
      </w:r>
      <w:r>
        <w:rPr>
          <w:rFonts w:ascii="標楷體" w:eastAsia="標楷體" w:hAnsi="標楷體"/>
          <w:sz w:val="28"/>
        </w:rPr>
        <w:t>3</w:t>
      </w:r>
      <w:r w:rsidR="007721B3" w:rsidRPr="00935C05">
        <w:rPr>
          <w:rFonts w:ascii="標楷體" w:eastAsia="標楷體" w:hAnsi="標楷體" w:hint="eastAsia"/>
          <w:sz w:val="28"/>
        </w:rPr>
        <w:t>個百分點。</w:t>
      </w:r>
    </w:p>
    <w:p w:rsidR="00C317BC" w:rsidRPr="00614BBB" w:rsidRDefault="00574130" w:rsidP="00C317BC">
      <w:pPr>
        <w:pStyle w:val="5"/>
        <w:spacing w:beforeLines="50" w:before="120" w:line="560" w:lineRule="exact"/>
        <w:ind w:left="0" w:right="-62" w:firstLine="601"/>
        <w:rPr>
          <w:rFonts w:ascii="標楷體" w:eastAsia="標楷體" w:hAnsi="標楷體"/>
          <w:color w:val="000000"/>
          <w:sz w:val="28"/>
        </w:rPr>
      </w:pPr>
      <w:r w:rsidRPr="00574130">
        <w:rPr>
          <w:noProof/>
        </w:rPr>
        <w:drawing>
          <wp:anchor distT="0" distB="0" distL="114300" distR="114300" simplePos="0" relativeHeight="251678208" behindDoc="1" locked="0" layoutInCell="1" allowOverlap="1">
            <wp:simplePos x="0" y="0"/>
            <wp:positionH relativeFrom="column">
              <wp:posOffset>394952</wp:posOffset>
            </wp:positionH>
            <wp:positionV relativeFrom="paragraph">
              <wp:posOffset>91011</wp:posOffset>
            </wp:positionV>
            <wp:extent cx="5331460" cy="2681335"/>
            <wp:effectExtent l="0" t="0" r="0" b="0"/>
            <wp:wrapNone/>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1460" cy="2681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17BC" w:rsidRPr="00E520D4" w:rsidRDefault="00C317BC" w:rsidP="00C317BC">
      <w:pPr>
        <w:pStyle w:val="5"/>
        <w:spacing w:beforeLines="50" w:before="120" w:line="560" w:lineRule="exact"/>
        <w:ind w:left="0" w:right="-62" w:firstLine="601"/>
        <w:rPr>
          <w:rFonts w:ascii="標楷體" w:eastAsia="標楷體" w:hAnsi="標楷體"/>
          <w:color w:val="000000"/>
          <w:spacing w:val="4"/>
          <w:sz w:val="28"/>
        </w:rPr>
      </w:pPr>
    </w:p>
    <w:p w:rsidR="005731DE" w:rsidRPr="00E520D4" w:rsidRDefault="00C317BC" w:rsidP="005731DE">
      <w:pPr>
        <w:pStyle w:val="5"/>
        <w:spacing w:beforeLines="50" w:before="120" w:line="600" w:lineRule="exact"/>
        <w:ind w:right="-62" w:firstLine="1440"/>
        <w:rPr>
          <w:rFonts w:ascii="標楷體" w:eastAsia="標楷體" w:hAnsi="標楷體"/>
          <w:color w:val="000000"/>
          <w:sz w:val="32"/>
          <w:szCs w:val="32"/>
        </w:rPr>
      </w:pPr>
      <w:r w:rsidRPr="00E520D4">
        <w:rPr>
          <w:rFonts w:ascii="標楷體" w:eastAsia="標楷體" w:hAnsi="標楷體"/>
          <w:color w:val="000000"/>
          <w:sz w:val="32"/>
          <w:szCs w:val="32"/>
        </w:rPr>
        <w:br w:type="page"/>
      </w:r>
      <w:r w:rsidR="005731DE" w:rsidRPr="00E520D4">
        <w:rPr>
          <w:rFonts w:ascii="標楷體" w:eastAsia="標楷體" w:hAnsi="標楷體" w:hint="eastAsia"/>
          <w:color w:val="000000"/>
          <w:sz w:val="32"/>
          <w:szCs w:val="32"/>
        </w:rPr>
        <w:lastRenderedPageBreak/>
        <w:t>本年度中央政府總決算情形比較表</w:t>
      </w:r>
    </w:p>
    <w:p w:rsidR="005731DE" w:rsidRPr="00E520D4" w:rsidRDefault="005731DE" w:rsidP="005731DE">
      <w:pPr>
        <w:tabs>
          <w:tab w:val="left" w:pos="4110"/>
        </w:tabs>
        <w:snapToGrid w:val="0"/>
        <w:spacing w:beforeLines="30" w:before="72" w:line="280" w:lineRule="exact"/>
        <w:ind w:firstLineChars="3100" w:firstLine="7440"/>
        <w:jc w:val="both"/>
        <w:rPr>
          <w:rFonts w:ascii="標楷體" w:eastAsia="標楷體" w:hAnsi="標楷體"/>
          <w:color w:val="000000"/>
          <w:szCs w:val="28"/>
        </w:rPr>
      </w:pPr>
      <w:r w:rsidRPr="00E520D4">
        <w:rPr>
          <w:rFonts w:ascii="標楷體" w:eastAsia="標楷體" w:hAnsi="標楷體" w:hint="eastAsia"/>
          <w:color w:val="000000"/>
        </w:rPr>
        <w:t>單位：新臺幣億元</w:t>
      </w:r>
    </w:p>
    <w:tbl>
      <w:tblPr>
        <w:tblW w:w="93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93"/>
        <w:gridCol w:w="1194"/>
        <w:gridCol w:w="836"/>
        <w:gridCol w:w="1193"/>
        <w:gridCol w:w="836"/>
        <w:gridCol w:w="1190"/>
        <w:gridCol w:w="918"/>
      </w:tblGrid>
      <w:tr w:rsidR="005731DE" w:rsidRPr="00E520D4" w:rsidTr="006569CE">
        <w:trPr>
          <w:cantSplit/>
          <w:trHeight w:val="450"/>
        </w:trPr>
        <w:tc>
          <w:tcPr>
            <w:tcW w:w="3193" w:type="dxa"/>
            <w:vMerge w:val="restart"/>
            <w:tcBorders>
              <w:top w:val="single" w:sz="12" w:space="0" w:color="auto"/>
              <w:left w:val="single" w:sz="12" w:space="0" w:color="auto"/>
            </w:tcBorders>
            <w:vAlign w:val="center"/>
          </w:tcPr>
          <w:p w:rsidR="005731DE" w:rsidRPr="00E520D4" w:rsidRDefault="005731DE" w:rsidP="006569CE">
            <w:pPr>
              <w:spacing w:line="280" w:lineRule="exact"/>
              <w:jc w:val="center"/>
              <w:rPr>
                <w:rFonts w:ascii="標楷體" w:eastAsia="標楷體" w:hAnsi="標楷體"/>
                <w:color w:val="000000"/>
                <w:sz w:val="26"/>
              </w:rPr>
            </w:pPr>
            <w:r w:rsidRPr="00E520D4">
              <w:rPr>
                <w:rFonts w:ascii="標楷體" w:eastAsia="標楷體" w:hAnsi="標楷體" w:hint="eastAsia"/>
                <w:color w:val="000000"/>
                <w:sz w:val="26"/>
              </w:rPr>
              <w:t>項</w:t>
            </w:r>
            <w:r w:rsidRPr="00E520D4">
              <w:rPr>
                <w:rFonts w:ascii="標楷體" w:eastAsia="標楷體" w:hAnsi="標楷體"/>
                <w:color w:val="000000"/>
                <w:sz w:val="26"/>
              </w:rPr>
              <w:t xml:space="preserve">          </w:t>
            </w:r>
            <w:r w:rsidRPr="00E520D4">
              <w:rPr>
                <w:rFonts w:ascii="標楷體" w:eastAsia="標楷體" w:hAnsi="標楷體" w:hint="eastAsia"/>
                <w:color w:val="000000"/>
                <w:sz w:val="26"/>
              </w:rPr>
              <w:t>目</w:t>
            </w:r>
          </w:p>
        </w:tc>
        <w:tc>
          <w:tcPr>
            <w:tcW w:w="2030" w:type="dxa"/>
            <w:gridSpan w:val="2"/>
            <w:tcBorders>
              <w:top w:val="single" w:sz="12" w:space="0" w:color="auto"/>
              <w:bottom w:val="single" w:sz="6" w:space="0" w:color="auto"/>
            </w:tcBorders>
            <w:vAlign w:val="center"/>
          </w:tcPr>
          <w:p w:rsidR="005731DE" w:rsidRPr="00E520D4" w:rsidRDefault="005731DE" w:rsidP="006569CE">
            <w:pPr>
              <w:tabs>
                <w:tab w:val="left" w:pos="4110"/>
              </w:tabs>
              <w:snapToGrid w:val="0"/>
              <w:spacing w:line="280" w:lineRule="exact"/>
              <w:ind w:leftChars="30" w:left="72"/>
              <w:jc w:val="center"/>
              <w:rPr>
                <w:rFonts w:ascii="標楷體" w:eastAsia="標楷體" w:hAnsi="標楷體"/>
                <w:color w:val="000000"/>
                <w:sz w:val="26"/>
                <w:szCs w:val="28"/>
              </w:rPr>
            </w:pPr>
            <w:r w:rsidRPr="00E520D4">
              <w:rPr>
                <w:rFonts w:ascii="標楷體" w:eastAsia="標楷體" w:hAnsi="標楷體" w:hint="eastAsia"/>
                <w:color w:val="000000"/>
                <w:sz w:val="26"/>
                <w:szCs w:val="28"/>
              </w:rPr>
              <w:t>決算數</w:t>
            </w:r>
          </w:p>
        </w:tc>
        <w:tc>
          <w:tcPr>
            <w:tcW w:w="2029" w:type="dxa"/>
            <w:gridSpan w:val="2"/>
            <w:tcBorders>
              <w:top w:val="single" w:sz="12" w:space="0" w:color="auto"/>
              <w:bottom w:val="single" w:sz="6" w:space="0" w:color="auto"/>
              <w:right w:val="single" w:sz="4" w:space="0" w:color="auto"/>
            </w:tcBorders>
            <w:vAlign w:val="center"/>
          </w:tcPr>
          <w:p w:rsidR="005731DE" w:rsidRPr="00E520D4" w:rsidRDefault="005731DE" w:rsidP="006569CE">
            <w:pPr>
              <w:tabs>
                <w:tab w:val="left" w:pos="4110"/>
              </w:tabs>
              <w:snapToGrid w:val="0"/>
              <w:spacing w:line="280" w:lineRule="exact"/>
              <w:ind w:leftChars="30" w:left="72"/>
              <w:jc w:val="center"/>
              <w:rPr>
                <w:rFonts w:ascii="標楷體" w:eastAsia="標楷體" w:hAnsi="標楷體"/>
                <w:color w:val="000000"/>
                <w:sz w:val="26"/>
                <w:szCs w:val="28"/>
              </w:rPr>
            </w:pPr>
            <w:r w:rsidRPr="00E520D4">
              <w:rPr>
                <w:rFonts w:ascii="標楷體" w:eastAsia="標楷體" w:hAnsi="標楷體" w:hint="eastAsia"/>
                <w:color w:val="000000"/>
                <w:sz w:val="26"/>
                <w:szCs w:val="28"/>
              </w:rPr>
              <w:t>預算數</w:t>
            </w:r>
          </w:p>
        </w:tc>
        <w:tc>
          <w:tcPr>
            <w:tcW w:w="1190" w:type="dxa"/>
            <w:tcBorders>
              <w:top w:val="single" w:sz="12" w:space="0" w:color="auto"/>
              <w:left w:val="single" w:sz="4" w:space="0" w:color="auto"/>
              <w:bottom w:val="single" w:sz="6" w:space="0" w:color="auto"/>
              <w:right w:val="nil"/>
            </w:tcBorders>
            <w:vAlign w:val="center"/>
          </w:tcPr>
          <w:p w:rsidR="005731DE" w:rsidRPr="00E520D4" w:rsidRDefault="005731DE" w:rsidP="006569CE">
            <w:pPr>
              <w:tabs>
                <w:tab w:val="left" w:pos="4110"/>
              </w:tabs>
              <w:snapToGrid w:val="0"/>
              <w:spacing w:line="280" w:lineRule="exact"/>
              <w:jc w:val="center"/>
              <w:rPr>
                <w:rFonts w:ascii="標楷體" w:eastAsia="標楷體" w:hAnsi="標楷體"/>
                <w:color w:val="000000"/>
                <w:spacing w:val="6"/>
                <w:sz w:val="26"/>
                <w:szCs w:val="28"/>
              </w:rPr>
            </w:pPr>
            <w:r w:rsidRPr="00E520D4">
              <w:rPr>
                <w:rFonts w:ascii="標楷體" w:eastAsia="標楷體" w:hAnsi="標楷體"/>
                <w:color w:val="000000"/>
                <w:spacing w:val="6"/>
                <w:sz w:val="26"/>
                <w:szCs w:val="28"/>
              </w:rPr>
              <w:t xml:space="preserve">   </w:t>
            </w:r>
            <w:r w:rsidRPr="00E520D4">
              <w:rPr>
                <w:rFonts w:ascii="標楷體" w:eastAsia="標楷體" w:hAnsi="標楷體" w:hint="eastAsia"/>
                <w:color w:val="000000"/>
                <w:spacing w:val="6"/>
                <w:sz w:val="26"/>
                <w:szCs w:val="28"/>
              </w:rPr>
              <w:t>比</w:t>
            </w:r>
          </w:p>
        </w:tc>
        <w:tc>
          <w:tcPr>
            <w:tcW w:w="918" w:type="dxa"/>
            <w:tcBorders>
              <w:top w:val="single" w:sz="12" w:space="0" w:color="auto"/>
              <w:left w:val="nil"/>
              <w:bottom w:val="single" w:sz="6" w:space="0" w:color="auto"/>
              <w:right w:val="single" w:sz="12" w:space="0" w:color="auto"/>
            </w:tcBorders>
            <w:vAlign w:val="center"/>
          </w:tcPr>
          <w:p w:rsidR="005731DE" w:rsidRPr="00E520D4" w:rsidRDefault="005731DE" w:rsidP="006569CE">
            <w:pPr>
              <w:tabs>
                <w:tab w:val="left" w:pos="4110"/>
              </w:tabs>
              <w:snapToGrid w:val="0"/>
              <w:spacing w:line="280" w:lineRule="exact"/>
              <w:rPr>
                <w:rFonts w:ascii="標楷體" w:eastAsia="標楷體" w:hAnsi="標楷體"/>
                <w:color w:val="000000"/>
                <w:spacing w:val="6"/>
                <w:sz w:val="26"/>
                <w:szCs w:val="28"/>
              </w:rPr>
            </w:pPr>
            <w:r w:rsidRPr="00E520D4">
              <w:rPr>
                <w:rFonts w:ascii="標楷體" w:eastAsia="標楷體" w:hAnsi="標楷體" w:hint="eastAsia"/>
                <w:color w:val="000000"/>
                <w:spacing w:val="6"/>
                <w:sz w:val="26"/>
                <w:szCs w:val="28"/>
              </w:rPr>
              <w:t>較</w:t>
            </w:r>
          </w:p>
        </w:tc>
      </w:tr>
      <w:tr w:rsidR="005731DE" w:rsidRPr="00E520D4" w:rsidTr="006569CE">
        <w:trPr>
          <w:cantSplit/>
          <w:trHeight w:val="450"/>
        </w:trPr>
        <w:tc>
          <w:tcPr>
            <w:tcW w:w="3193" w:type="dxa"/>
            <w:vMerge/>
            <w:tcBorders>
              <w:left w:val="single" w:sz="12" w:space="0" w:color="auto"/>
            </w:tcBorders>
            <w:vAlign w:val="center"/>
          </w:tcPr>
          <w:p w:rsidR="005731DE" w:rsidRPr="00E520D4" w:rsidRDefault="005731DE" w:rsidP="006569CE">
            <w:pPr>
              <w:spacing w:line="280" w:lineRule="exact"/>
              <w:jc w:val="center"/>
              <w:rPr>
                <w:rFonts w:ascii="標楷體" w:eastAsia="標楷體" w:hAnsi="標楷體"/>
                <w:color w:val="000000"/>
                <w:sz w:val="28"/>
              </w:rPr>
            </w:pPr>
          </w:p>
        </w:tc>
        <w:tc>
          <w:tcPr>
            <w:tcW w:w="1194" w:type="dxa"/>
            <w:tcBorders>
              <w:top w:val="single" w:sz="6" w:space="0" w:color="auto"/>
              <w:bottom w:val="nil"/>
            </w:tcBorders>
            <w:vAlign w:val="center"/>
          </w:tcPr>
          <w:p w:rsidR="005731DE" w:rsidRPr="00E520D4" w:rsidRDefault="005731DE" w:rsidP="006569CE">
            <w:pPr>
              <w:tabs>
                <w:tab w:val="left" w:pos="4110"/>
              </w:tabs>
              <w:snapToGrid w:val="0"/>
              <w:spacing w:line="320" w:lineRule="exact"/>
              <w:jc w:val="center"/>
              <w:rPr>
                <w:rFonts w:ascii="標楷體" w:eastAsia="標楷體" w:hAnsi="標楷體"/>
                <w:color w:val="000000"/>
                <w:sz w:val="26"/>
                <w:szCs w:val="28"/>
              </w:rPr>
            </w:pPr>
            <w:r w:rsidRPr="00E520D4">
              <w:rPr>
                <w:rFonts w:ascii="標楷體" w:eastAsia="標楷體" w:hAnsi="標楷體" w:hint="eastAsia"/>
                <w:color w:val="000000"/>
                <w:sz w:val="26"/>
                <w:szCs w:val="28"/>
              </w:rPr>
              <w:t>金額</w:t>
            </w:r>
          </w:p>
        </w:tc>
        <w:tc>
          <w:tcPr>
            <w:tcW w:w="836" w:type="dxa"/>
            <w:vMerge w:val="restart"/>
            <w:tcBorders>
              <w:top w:val="single" w:sz="6" w:space="0" w:color="auto"/>
            </w:tcBorders>
            <w:vAlign w:val="center"/>
          </w:tcPr>
          <w:p w:rsidR="005731DE" w:rsidRPr="00E520D4" w:rsidRDefault="005731DE" w:rsidP="006569CE">
            <w:pPr>
              <w:tabs>
                <w:tab w:val="left" w:pos="4110"/>
              </w:tabs>
              <w:snapToGrid w:val="0"/>
              <w:spacing w:line="320" w:lineRule="exact"/>
              <w:jc w:val="center"/>
              <w:rPr>
                <w:rFonts w:ascii="標楷體" w:eastAsia="標楷體" w:hAnsi="標楷體"/>
                <w:color w:val="000000"/>
                <w:sz w:val="26"/>
                <w:szCs w:val="28"/>
              </w:rPr>
            </w:pPr>
            <w:r w:rsidRPr="00E520D4">
              <w:rPr>
                <w:rFonts w:ascii="標楷體" w:eastAsia="標楷體" w:hAnsi="標楷體" w:hint="eastAsia"/>
                <w:color w:val="000000"/>
                <w:sz w:val="26"/>
                <w:szCs w:val="28"/>
              </w:rPr>
              <w:t>％</w:t>
            </w:r>
          </w:p>
        </w:tc>
        <w:tc>
          <w:tcPr>
            <w:tcW w:w="1193" w:type="dxa"/>
            <w:tcBorders>
              <w:top w:val="single" w:sz="6" w:space="0" w:color="auto"/>
              <w:bottom w:val="nil"/>
              <w:right w:val="single" w:sz="6" w:space="0" w:color="auto"/>
            </w:tcBorders>
            <w:vAlign w:val="center"/>
          </w:tcPr>
          <w:p w:rsidR="005731DE" w:rsidRPr="00E520D4" w:rsidRDefault="005731DE" w:rsidP="006569CE">
            <w:pPr>
              <w:tabs>
                <w:tab w:val="left" w:pos="4110"/>
              </w:tabs>
              <w:snapToGrid w:val="0"/>
              <w:spacing w:line="320" w:lineRule="exact"/>
              <w:jc w:val="center"/>
              <w:rPr>
                <w:rFonts w:ascii="標楷體" w:eastAsia="標楷體" w:hAnsi="標楷體"/>
                <w:color w:val="000000"/>
                <w:sz w:val="26"/>
                <w:szCs w:val="28"/>
              </w:rPr>
            </w:pPr>
            <w:r w:rsidRPr="00E520D4">
              <w:rPr>
                <w:rFonts w:ascii="標楷體" w:eastAsia="標楷體" w:hAnsi="標楷體" w:hint="eastAsia"/>
                <w:color w:val="000000"/>
                <w:sz w:val="26"/>
                <w:szCs w:val="28"/>
              </w:rPr>
              <w:t>金額</w:t>
            </w:r>
          </w:p>
        </w:tc>
        <w:tc>
          <w:tcPr>
            <w:tcW w:w="836" w:type="dxa"/>
            <w:vMerge w:val="restart"/>
            <w:tcBorders>
              <w:top w:val="single" w:sz="6" w:space="0" w:color="auto"/>
              <w:right w:val="single" w:sz="6" w:space="0" w:color="auto"/>
            </w:tcBorders>
            <w:vAlign w:val="center"/>
          </w:tcPr>
          <w:p w:rsidR="005731DE" w:rsidRPr="00E520D4" w:rsidRDefault="005731DE" w:rsidP="006569CE">
            <w:pPr>
              <w:tabs>
                <w:tab w:val="left" w:pos="4110"/>
              </w:tabs>
              <w:snapToGrid w:val="0"/>
              <w:spacing w:line="320" w:lineRule="exact"/>
              <w:jc w:val="center"/>
              <w:rPr>
                <w:rFonts w:ascii="標楷體" w:eastAsia="標楷體" w:hAnsi="標楷體"/>
                <w:color w:val="000000"/>
                <w:sz w:val="26"/>
                <w:szCs w:val="28"/>
              </w:rPr>
            </w:pPr>
            <w:r w:rsidRPr="00E520D4">
              <w:rPr>
                <w:rFonts w:ascii="標楷體" w:eastAsia="標楷體" w:hAnsi="標楷體" w:hint="eastAsia"/>
                <w:color w:val="000000"/>
                <w:sz w:val="26"/>
                <w:szCs w:val="28"/>
              </w:rPr>
              <w:t>％</w:t>
            </w:r>
          </w:p>
        </w:tc>
        <w:tc>
          <w:tcPr>
            <w:tcW w:w="1190" w:type="dxa"/>
            <w:tcBorders>
              <w:top w:val="single" w:sz="6" w:space="0" w:color="auto"/>
              <w:bottom w:val="nil"/>
              <w:right w:val="single" w:sz="6" w:space="0" w:color="auto"/>
            </w:tcBorders>
            <w:vAlign w:val="center"/>
          </w:tcPr>
          <w:p w:rsidR="005731DE" w:rsidRPr="00E520D4" w:rsidRDefault="005731DE" w:rsidP="006569CE">
            <w:pPr>
              <w:tabs>
                <w:tab w:val="left" w:pos="4110"/>
              </w:tabs>
              <w:snapToGrid w:val="0"/>
              <w:spacing w:line="320" w:lineRule="exact"/>
              <w:jc w:val="center"/>
              <w:rPr>
                <w:rFonts w:ascii="標楷體" w:eastAsia="標楷體" w:hAnsi="標楷體"/>
                <w:color w:val="000000"/>
                <w:sz w:val="26"/>
                <w:szCs w:val="28"/>
              </w:rPr>
            </w:pPr>
            <w:r w:rsidRPr="00E520D4">
              <w:rPr>
                <w:rFonts w:ascii="標楷體" w:eastAsia="標楷體" w:hAnsi="標楷體" w:hint="eastAsia"/>
                <w:color w:val="000000"/>
                <w:sz w:val="26"/>
                <w:szCs w:val="28"/>
              </w:rPr>
              <w:t>金額</w:t>
            </w:r>
          </w:p>
        </w:tc>
        <w:tc>
          <w:tcPr>
            <w:tcW w:w="918" w:type="dxa"/>
            <w:vMerge w:val="restart"/>
            <w:tcBorders>
              <w:top w:val="single" w:sz="6" w:space="0" w:color="auto"/>
              <w:right w:val="single" w:sz="12" w:space="0" w:color="auto"/>
            </w:tcBorders>
            <w:vAlign w:val="center"/>
          </w:tcPr>
          <w:p w:rsidR="005731DE" w:rsidRPr="00E520D4" w:rsidRDefault="005731DE" w:rsidP="006569CE">
            <w:pPr>
              <w:tabs>
                <w:tab w:val="left" w:pos="4110"/>
              </w:tabs>
              <w:snapToGrid w:val="0"/>
              <w:spacing w:line="320" w:lineRule="exact"/>
              <w:jc w:val="center"/>
              <w:rPr>
                <w:rFonts w:ascii="標楷體" w:eastAsia="標楷體" w:hAnsi="標楷體"/>
                <w:color w:val="000000"/>
                <w:sz w:val="26"/>
                <w:szCs w:val="28"/>
              </w:rPr>
            </w:pPr>
            <w:r w:rsidRPr="00E520D4">
              <w:rPr>
                <w:rFonts w:ascii="標楷體" w:eastAsia="標楷體" w:hAnsi="標楷體" w:hint="eastAsia"/>
                <w:color w:val="000000"/>
                <w:sz w:val="26"/>
                <w:szCs w:val="28"/>
              </w:rPr>
              <w:t>％</w:t>
            </w:r>
          </w:p>
        </w:tc>
      </w:tr>
      <w:tr w:rsidR="005731DE" w:rsidRPr="00E520D4" w:rsidTr="006569CE">
        <w:trPr>
          <w:cantSplit/>
          <w:trHeight w:hRule="exact" w:val="227"/>
        </w:trPr>
        <w:tc>
          <w:tcPr>
            <w:tcW w:w="3193" w:type="dxa"/>
            <w:vMerge/>
            <w:tcBorders>
              <w:left w:val="single" w:sz="12" w:space="0" w:color="auto"/>
              <w:bottom w:val="single" w:sz="6" w:space="0" w:color="auto"/>
            </w:tcBorders>
            <w:vAlign w:val="center"/>
          </w:tcPr>
          <w:p w:rsidR="005731DE" w:rsidRPr="00E520D4" w:rsidRDefault="005731DE" w:rsidP="006569CE">
            <w:pPr>
              <w:spacing w:line="200" w:lineRule="exact"/>
              <w:jc w:val="center"/>
              <w:rPr>
                <w:rFonts w:ascii="標楷體" w:eastAsia="標楷體" w:hAnsi="標楷體"/>
                <w:color w:val="000000"/>
                <w:sz w:val="28"/>
              </w:rPr>
            </w:pPr>
          </w:p>
        </w:tc>
        <w:tc>
          <w:tcPr>
            <w:tcW w:w="1194" w:type="dxa"/>
            <w:tcBorders>
              <w:top w:val="nil"/>
              <w:bottom w:val="single" w:sz="6" w:space="0" w:color="auto"/>
            </w:tcBorders>
            <w:vAlign w:val="center"/>
          </w:tcPr>
          <w:p w:rsidR="005731DE" w:rsidRPr="00E520D4" w:rsidRDefault="005731DE" w:rsidP="006569CE">
            <w:pPr>
              <w:tabs>
                <w:tab w:val="left" w:pos="4110"/>
              </w:tabs>
              <w:snapToGrid w:val="0"/>
              <w:spacing w:line="200" w:lineRule="exact"/>
              <w:jc w:val="center"/>
              <w:rPr>
                <w:rFonts w:ascii="標楷體" w:eastAsia="標楷體" w:hAnsi="標楷體"/>
                <w:color w:val="000000"/>
                <w:sz w:val="28"/>
                <w:szCs w:val="28"/>
              </w:rPr>
            </w:pPr>
            <w:r w:rsidRPr="00E520D4">
              <w:rPr>
                <w:rFonts w:eastAsia="標楷體"/>
                <w:color w:val="000000"/>
                <w:sz w:val="20"/>
                <w:szCs w:val="28"/>
              </w:rPr>
              <w:t>(A)</w:t>
            </w:r>
          </w:p>
        </w:tc>
        <w:tc>
          <w:tcPr>
            <w:tcW w:w="836" w:type="dxa"/>
            <w:vMerge/>
            <w:tcBorders>
              <w:bottom w:val="single" w:sz="6" w:space="0" w:color="auto"/>
            </w:tcBorders>
            <w:vAlign w:val="center"/>
          </w:tcPr>
          <w:p w:rsidR="005731DE" w:rsidRPr="00E520D4" w:rsidRDefault="005731DE" w:rsidP="006569CE">
            <w:pPr>
              <w:tabs>
                <w:tab w:val="left" w:pos="4110"/>
              </w:tabs>
              <w:snapToGrid w:val="0"/>
              <w:spacing w:line="200" w:lineRule="exact"/>
              <w:jc w:val="center"/>
              <w:rPr>
                <w:rFonts w:ascii="標楷體" w:eastAsia="標楷體" w:hAnsi="標楷體"/>
                <w:color w:val="000000"/>
                <w:sz w:val="28"/>
                <w:szCs w:val="28"/>
              </w:rPr>
            </w:pPr>
          </w:p>
        </w:tc>
        <w:tc>
          <w:tcPr>
            <w:tcW w:w="1193" w:type="dxa"/>
            <w:tcBorders>
              <w:top w:val="nil"/>
              <w:bottom w:val="single" w:sz="6" w:space="0" w:color="auto"/>
              <w:right w:val="single" w:sz="6" w:space="0" w:color="auto"/>
            </w:tcBorders>
            <w:vAlign w:val="center"/>
          </w:tcPr>
          <w:p w:rsidR="005731DE" w:rsidRPr="00E520D4" w:rsidRDefault="005731DE" w:rsidP="006569CE">
            <w:pPr>
              <w:tabs>
                <w:tab w:val="left" w:pos="4110"/>
              </w:tabs>
              <w:snapToGrid w:val="0"/>
              <w:spacing w:line="200" w:lineRule="exact"/>
              <w:jc w:val="center"/>
              <w:rPr>
                <w:rFonts w:ascii="標楷體" w:eastAsia="標楷體" w:hAnsi="標楷體"/>
                <w:color w:val="000000"/>
                <w:sz w:val="28"/>
                <w:szCs w:val="28"/>
              </w:rPr>
            </w:pPr>
            <w:r w:rsidRPr="00E520D4">
              <w:rPr>
                <w:rFonts w:eastAsia="標楷體"/>
                <w:color w:val="000000"/>
                <w:sz w:val="20"/>
                <w:szCs w:val="28"/>
              </w:rPr>
              <w:t>(B)</w:t>
            </w:r>
          </w:p>
        </w:tc>
        <w:tc>
          <w:tcPr>
            <w:tcW w:w="836" w:type="dxa"/>
            <w:vMerge/>
            <w:tcBorders>
              <w:bottom w:val="single" w:sz="6" w:space="0" w:color="auto"/>
              <w:right w:val="single" w:sz="6" w:space="0" w:color="auto"/>
            </w:tcBorders>
            <w:vAlign w:val="center"/>
          </w:tcPr>
          <w:p w:rsidR="005731DE" w:rsidRPr="00E520D4" w:rsidRDefault="005731DE" w:rsidP="006569CE">
            <w:pPr>
              <w:tabs>
                <w:tab w:val="left" w:pos="4110"/>
              </w:tabs>
              <w:snapToGrid w:val="0"/>
              <w:spacing w:line="200" w:lineRule="exact"/>
              <w:jc w:val="center"/>
              <w:rPr>
                <w:rFonts w:ascii="標楷體" w:eastAsia="標楷體" w:hAnsi="標楷體"/>
                <w:color w:val="000000"/>
                <w:sz w:val="28"/>
                <w:szCs w:val="28"/>
              </w:rPr>
            </w:pPr>
          </w:p>
        </w:tc>
        <w:tc>
          <w:tcPr>
            <w:tcW w:w="1190" w:type="dxa"/>
            <w:tcBorders>
              <w:top w:val="nil"/>
              <w:bottom w:val="single" w:sz="6" w:space="0" w:color="auto"/>
              <w:right w:val="single" w:sz="6" w:space="0" w:color="auto"/>
            </w:tcBorders>
            <w:vAlign w:val="center"/>
          </w:tcPr>
          <w:p w:rsidR="005731DE" w:rsidRPr="00E520D4" w:rsidRDefault="005731DE" w:rsidP="006569CE">
            <w:pPr>
              <w:tabs>
                <w:tab w:val="left" w:pos="4110"/>
              </w:tabs>
              <w:snapToGrid w:val="0"/>
              <w:spacing w:line="200" w:lineRule="exact"/>
              <w:jc w:val="center"/>
              <w:rPr>
                <w:rFonts w:ascii="標楷體" w:eastAsia="標楷體" w:hAnsi="標楷體"/>
                <w:color w:val="000000"/>
                <w:sz w:val="28"/>
                <w:szCs w:val="28"/>
              </w:rPr>
            </w:pPr>
            <w:r w:rsidRPr="00E520D4">
              <w:rPr>
                <w:rFonts w:eastAsia="標楷體"/>
                <w:color w:val="000000"/>
                <w:sz w:val="20"/>
                <w:szCs w:val="28"/>
              </w:rPr>
              <w:t>(A-B)</w:t>
            </w:r>
          </w:p>
        </w:tc>
        <w:tc>
          <w:tcPr>
            <w:tcW w:w="918" w:type="dxa"/>
            <w:vMerge/>
            <w:tcBorders>
              <w:bottom w:val="single" w:sz="6" w:space="0" w:color="auto"/>
              <w:right w:val="single" w:sz="12" w:space="0" w:color="auto"/>
            </w:tcBorders>
            <w:vAlign w:val="center"/>
          </w:tcPr>
          <w:p w:rsidR="005731DE" w:rsidRPr="00E520D4" w:rsidRDefault="005731DE" w:rsidP="006569CE">
            <w:pPr>
              <w:tabs>
                <w:tab w:val="left" w:pos="4110"/>
              </w:tabs>
              <w:snapToGrid w:val="0"/>
              <w:spacing w:line="200" w:lineRule="exact"/>
              <w:jc w:val="center"/>
              <w:rPr>
                <w:rFonts w:ascii="標楷體" w:eastAsia="標楷體" w:hAnsi="標楷體"/>
                <w:color w:val="000000"/>
                <w:sz w:val="28"/>
                <w:szCs w:val="28"/>
              </w:rPr>
            </w:pPr>
          </w:p>
        </w:tc>
      </w:tr>
      <w:tr w:rsidR="0052431E" w:rsidRPr="00E520D4" w:rsidTr="006569CE">
        <w:trPr>
          <w:trHeight w:hRule="exact" w:val="496"/>
        </w:trPr>
        <w:tc>
          <w:tcPr>
            <w:tcW w:w="3193" w:type="dxa"/>
            <w:tcBorders>
              <w:top w:val="single" w:sz="6" w:space="0" w:color="auto"/>
              <w:left w:val="single" w:sz="12" w:space="0" w:color="auto"/>
              <w:bottom w:val="nil"/>
            </w:tcBorders>
            <w:vAlign w:val="bottom"/>
          </w:tcPr>
          <w:p w:rsidR="0052431E" w:rsidRPr="00E520D4" w:rsidRDefault="0052431E" w:rsidP="0052431E">
            <w:pPr>
              <w:spacing w:line="280" w:lineRule="exact"/>
              <w:jc w:val="both"/>
              <w:rPr>
                <w:rFonts w:eastAsia="標楷體"/>
                <w:color w:val="000000"/>
                <w:spacing w:val="-4"/>
                <w:sz w:val="26"/>
                <w:szCs w:val="32"/>
              </w:rPr>
            </w:pPr>
            <w:r w:rsidRPr="00E520D4">
              <w:rPr>
                <w:rFonts w:eastAsia="標楷體"/>
                <w:color w:val="000000"/>
                <w:spacing w:val="-4"/>
                <w:sz w:val="26"/>
                <w:szCs w:val="32"/>
              </w:rPr>
              <w:t>1.</w:t>
            </w:r>
            <w:r w:rsidRPr="00E520D4">
              <w:rPr>
                <w:rFonts w:eastAsia="標楷體" w:hint="eastAsia"/>
                <w:color w:val="000000"/>
                <w:spacing w:val="-4"/>
                <w:sz w:val="26"/>
                <w:szCs w:val="32"/>
              </w:rPr>
              <w:t>歲入</w:t>
            </w:r>
          </w:p>
        </w:tc>
        <w:tc>
          <w:tcPr>
            <w:tcW w:w="1194" w:type="dxa"/>
            <w:tcBorders>
              <w:top w:val="single" w:sz="6" w:space="0" w:color="auto"/>
              <w:bottom w:val="nil"/>
            </w:tcBorders>
            <w:vAlign w:val="bottom"/>
          </w:tcPr>
          <w:p w:rsidR="0052431E" w:rsidRPr="0052431E" w:rsidRDefault="0052431E" w:rsidP="0052431E">
            <w:pPr>
              <w:spacing w:line="280" w:lineRule="exact"/>
              <w:ind w:rightChars="50" w:right="120"/>
              <w:jc w:val="right"/>
            </w:pPr>
            <w:r w:rsidRPr="0052431E">
              <w:t>19,213</w:t>
            </w:r>
          </w:p>
        </w:tc>
        <w:tc>
          <w:tcPr>
            <w:tcW w:w="836" w:type="dxa"/>
            <w:tcBorders>
              <w:top w:val="single" w:sz="6" w:space="0" w:color="auto"/>
              <w:bottom w:val="nil"/>
            </w:tcBorders>
            <w:vAlign w:val="bottom"/>
          </w:tcPr>
          <w:p w:rsidR="0052431E" w:rsidRPr="0052431E" w:rsidRDefault="0052431E" w:rsidP="0052431E">
            <w:pPr>
              <w:spacing w:line="280" w:lineRule="exact"/>
              <w:ind w:rightChars="20" w:right="48"/>
              <w:jc w:val="right"/>
            </w:pPr>
            <w:r w:rsidRPr="0052431E">
              <w:t xml:space="preserve">100.0 </w:t>
            </w:r>
          </w:p>
        </w:tc>
        <w:tc>
          <w:tcPr>
            <w:tcW w:w="1193" w:type="dxa"/>
            <w:tcBorders>
              <w:top w:val="single" w:sz="6" w:space="0" w:color="auto"/>
              <w:bottom w:val="nil"/>
              <w:right w:val="single" w:sz="6" w:space="0" w:color="auto"/>
            </w:tcBorders>
            <w:vAlign w:val="bottom"/>
          </w:tcPr>
          <w:p w:rsidR="0052431E" w:rsidRPr="0052431E" w:rsidRDefault="0052431E" w:rsidP="0052431E">
            <w:pPr>
              <w:spacing w:line="280" w:lineRule="exact"/>
              <w:ind w:rightChars="50" w:right="120"/>
              <w:jc w:val="right"/>
            </w:pPr>
            <w:r w:rsidRPr="0052431E">
              <w:t>18,415</w:t>
            </w:r>
          </w:p>
        </w:tc>
        <w:tc>
          <w:tcPr>
            <w:tcW w:w="836" w:type="dxa"/>
            <w:tcBorders>
              <w:top w:val="single" w:sz="6" w:space="0" w:color="auto"/>
              <w:bottom w:val="nil"/>
              <w:right w:val="single" w:sz="6" w:space="0" w:color="auto"/>
            </w:tcBorders>
            <w:vAlign w:val="bottom"/>
          </w:tcPr>
          <w:p w:rsidR="0052431E" w:rsidRPr="0052431E" w:rsidRDefault="0052431E" w:rsidP="0052431E">
            <w:pPr>
              <w:spacing w:line="280" w:lineRule="exact"/>
              <w:ind w:rightChars="20" w:right="48"/>
              <w:jc w:val="right"/>
            </w:pPr>
            <w:r w:rsidRPr="0052431E">
              <w:t xml:space="preserve">100.0 </w:t>
            </w:r>
          </w:p>
        </w:tc>
        <w:tc>
          <w:tcPr>
            <w:tcW w:w="1190" w:type="dxa"/>
            <w:tcBorders>
              <w:top w:val="single" w:sz="6" w:space="0" w:color="auto"/>
              <w:bottom w:val="nil"/>
              <w:right w:val="single" w:sz="6" w:space="0" w:color="auto"/>
            </w:tcBorders>
            <w:vAlign w:val="bottom"/>
          </w:tcPr>
          <w:p w:rsidR="0052431E" w:rsidRPr="0052431E" w:rsidRDefault="0052431E" w:rsidP="0052431E">
            <w:pPr>
              <w:spacing w:line="280" w:lineRule="exact"/>
              <w:ind w:rightChars="50" w:right="120"/>
              <w:jc w:val="right"/>
            </w:pPr>
            <w:r w:rsidRPr="0052431E">
              <w:t>798</w:t>
            </w:r>
          </w:p>
        </w:tc>
        <w:tc>
          <w:tcPr>
            <w:tcW w:w="918" w:type="dxa"/>
            <w:tcBorders>
              <w:top w:val="single" w:sz="6" w:space="0" w:color="auto"/>
              <w:bottom w:val="nil"/>
              <w:right w:val="single" w:sz="12" w:space="0" w:color="auto"/>
            </w:tcBorders>
            <w:vAlign w:val="bottom"/>
          </w:tcPr>
          <w:p w:rsidR="0052431E" w:rsidRPr="0052431E" w:rsidRDefault="0052431E" w:rsidP="0052431E">
            <w:pPr>
              <w:spacing w:line="280" w:lineRule="exact"/>
              <w:ind w:rightChars="20" w:right="48"/>
              <w:jc w:val="right"/>
            </w:pPr>
            <w:r w:rsidRPr="0052431E">
              <w:t>4.3</w:t>
            </w:r>
          </w:p>
        </w:tc>
      </w:tr>
      <w:tr w:rsidR="0052431E" w:rsidRPr="00E520D4" w:rsidTr="006569CE">
        <w:trPr>
          <w:trHeight w:hRule="exact" w:val="454"/>
        </w:trPr>
        <w:tc>
          <w:tcPr>
            <w:tcW w:w="3193" w:type="dxa"/>
            <w:tcBorders>
              <w:top w:val="nil"/>
              <w:left w:val="single" w:sz="12" w:space="0" w:color="auto"/>
              <w:bottom w:val="nil"/>
            </w:tcBorders>
            <w:vAlign w:val="bottom"/>
          </w:tcPr>
          <w:p w:rsidR="0052431E" w:rsidRPr="00E520D4" w:rsidRDefault="0052431E" w:rsidP="0052431E">
            <w:pPr>
              <w:spacing w:line="280" w:lineRule="exact"/>
              <w:ind w:firstLineChars="100" w:firstLine="252"/>
              <w:jc w:val="both"/>
              <w:rPr>
                <w:rFonts w:eastAsia="標楷體"/>
                <w:color w:val="000000"/>
                <w:spacing w:val="-4"/>
                <w:sz w:val="26"/>
                <w:szCs w:val="32"/>
              </w:rPr>
            </w:pPr>
            <w:r w:rsidRPr="00E520D4">
              <w:rPr>
                <w:rFonts w:eastAsia="標楷體"/>
                <w:color w:val="000000"/>
                <w:spacing w:val="-4"/>
                <w:sz w:val="26"/>
                <w:szCs w:val="32"/>
              </w:rPr>
              <w:t>(1)</w:t>
            </w:r>
            <w:r w:rsidRPr="00E520D4">
              <w:rPr>
                <w:rFonts w:eastAsia="標楷體" w:hint="eastAsia"/>
                <w:color w:val="000000"/>
                <w:spacing w:val="-4"/>
                <w:sz w:val="26"/>
                <w:szCs w:val="32"/>
              </w:rPr>
              <w:t>經常門</w:t>
            </w:r>
          </w:p>
        </w:tc>
        <w:tc>
          <w:tcPr>
            <w:tcW w:w="1194" w:type="dxa"/>
            <w:tcBorders>
              <w:top w:val="nil"/>
              <w:bottom w:val="nil"/>
            </w:tcBorders>
            <w:vAlign w:val="bottom"/>
          </w:tcPr>
          <w:p w:rsidR="0052431E" w:rsidRPr="0052431E" w:rsidRDefault="0052431E" w:rsidP="0052431E">
            <w:pPr>
              <w:spacing w:line="280" w:lineRule="exact"/>
              <w:ind w:rightChars="50" w:right="120"/>
              <w:jc w:val="right"/>
            </w:pPr>
            <w:r w:rsidRPr="0052431E">
              <w:t>19,081</w:t>
            </w:r>
          </w:p>
        </w:tc>
        <w:tc>
          <w:tcPr>
            <w:tcW w:w="836" w:type="dxa"/>
            <w:tcBorders>
              <w:top w:val="nil"/>
              <w:bottom w:val="nil"/>
            </w:tcBorders>
            <w:vAlign w:val="bottom"/>
          </w:tcPr>
          <w:p w:rsidR="0052431E" w:rsidRPr="0052431E" w:rsidRDefault="0052431E" w:rsidP="0052431E">
            <w:pPr>
              <w:spacing w:line="280" w:lineRule="exact"/>
              <w:ind w:rightChars="20" w:right="48"/>
              <w:jc w:val="right"/>
            </w:pPr>
            <w:r w:rsidRPr="0052431E">
              <w:t xml:space="preserve">99.3 </w:t>
            </w:r>
          </w:p>
        </w:tc>
        <w:tc>
          <w:tcPr>
            <w:tcW w:w="1193" w:type="dxa"/>
            <w:tcBorders>
              <w:top w:val="nil"/>
              <w:bottom w:val="nil"/>
              <w:right w:val="single" w:sz="6" w:space="0" w:color="auto"/>
            </w:tcBorders>
            <w:vAlign w:val="bottom"/>
          </w:tcPr>
          <w:p w:rsidR="0052431E" w:rsidRPr="0052431E" w:rsidRDefault="0052431E" w:rsidP="00744CAD">
            <w:pPr>
              <w:spacing w:line="280" w:lineRule="exact"/>
              <w:ind w:rightChars="50" w:right="120"/>
              <w:jc w:val="right"/>
            </w:pPr>
            <w:r w:rsidRPr="0052431E">
              <w:t>18,14</w:t>
            </w:r>
            <w:r w:rsidR="00744CAD">
              <w:t>4</w:t>
            </w:r>
          </w:p>
        </w:tc>
        <w:tc>
          <w:tcPr>
            <w:tcW w:w="836" w:type="dxa"/>
            <w:tcBorders>
              <w:top w:val="nil"/>
              <w:bottom w:val="nil"/>
              <w:right w:val="single" w:sz="6" w:space="0" w:color="auto"/>
            </w:tcBorders>
            <w:vAlign w:val="bottom"/>
          </w:tcPr>
          <w:p w:rsidR="0052431E" w:rsidRPr="0052431E" w:rsidRDefault="0052431E" w:rsidP="0052431E">
            <w:pPr>
              <w:spacing w:line="280" w:lineRule="exact"/>
              <w:ind w:rightChars="20" w:right="48"/>
              <w:jc w:val="right"/>
            </w:pPr>
            <w:r w:rsidRPr="0052431E">
              <w:t xml:space="preserve">98.5 </w:t>
            </w:r>
          </w:p>
        </w:tc>
        <w:tc>
          <w:tcPr>
            <w:tcW w:w="1190" w:type="dxa"/>
            <w:tcBorders>
              <w:top w:val="nil"/>
              <w:bottom w:val="nil"/>
              <w:right w:val="single" w:sz="6" w:space="0" w:color="auto"/>
            </w:tcBorders>
            <w:vAlign w:val="bottom"/>
          </w:tcPr>
          <w:p w:rsidR="0052431E" w:rsidRPr="0052431E" w:rsidRDefault="0052431E" w:rsidP="00EE2EA5">
            <w:pPr>
              <w:spacing w:line="280" w:lineRule="exact"/>
              <w:ind w:rightChars="50" w:right="120"/>
              <w:jc w:val="right"/>
            </w:pPr>
            <w:r w:rsidRPr="0052431E">
              <w:t>9</w:t>
            </w:r>
            <w:r w:rsidR="00EE2EA5">
              <w:t>37</w:t>
            </w:r>
          </w:p>
        </w:tc>
        <w:tc>
          <w:tcPr>
            <w:tcW w:w="918" w:type="dxa"/>
            <w:tcBorders>
              <w:top w:val="nil"/>
              <w:bottom w:val="nil"/>
              <w:right w:val="single" w:sz="12" w:space="0" w:color="auto"/>
            </w:tcBorders>
            <w:vAlign w:val="bottom"/>
          </w:tcPr>
          <w:p w:rsidR="0052431E" w:rsidRPr="0052431E" w:rsidRDefault="0052431E" w:rsidP="0052431E">
            <w:pPr>
              <w:spacing w:line="280" w:lineRule="exact"/>
              <w:ind w:rightChars="20" w:right="48"/>
              <w:jc w:val="right"/>
            </w:pPr>
            <w:r w:rsidRPr="0052431E">
              <w:t xml:space="preserve">5.2 </w:t>
            </w:r>
          </w:p>
        </w:tc>
      </w:tr>
      <w:tr w:rsidR="0052431E" w:rsidRPr="00E520D4" w:rsidTr="006569CE">
        <w:trPr>
          <w:trHeight w:hRule="exact" w:val="454"/>
        </w:trPr>
        <w:tc>
          <w:tcPr>
            <w:tcW w:w="3193" w:type="dxa"/>
            <w:tcBorders>
              <w:top w:val="nil"/>
              <w:left w:val="single" w:sz="12" w:space="0" w:color="auto"/>
              <w:bottom w:val="nil"/>
            </w:tcBorders>
            <w:vAlign w:val="bottom"/>
          </w:tcPr>
          <w:p w:rsidR="0052431E" w:rsidRPr="00E520D4" w:rsidRDefault="0052431E" w:rsidP="0052431E">
            <w:pPr>
              <w:spacing w:line="280" w:lineRule="exact"/>
              <w:ind w:firstLineChars="100" w:firstLine="252"/>
              <w:jc w:val="both"/>
              <w:rPr>
                <w:rFonts w:eastAsia="標楷體"/>
                <w:color w:val="000000"/>
                <w:spacing w:val="-4"/>
                <w:sz w:val="26"/>
                <w:szCs w:val="32"/>
              </w:rPr>
            </w:pPr>
            <w:r w:rsidRPr="00E520D4">
              <w:rPr>
                <w:rFonts w:eastAsia="標楷體"/>
                <w:color w:val="000000"/>
                <w:spacing w:val="-4"/>
                <w:sz w:val="26"/>
                <w:szCs w:val="32"/>
              </w:rPr>
              <w:t>(2)</w:t>
            </w:r>
            <w:r w:rsidRPr="00E520D4">
              <w:rPr>
                <w:rFonts w:eastAsia="標楷體" w:hint="eastAsia"/>
                <w:color w:val="000000"/>
                <w:spacing w:val="-4"/>
                <w:sz w:val="26"/>
                <w:szCs w:val="32"/>
              </w:rPr>
              <w:t>資本門</w:t>
            </w:r>
          </w:p>
        </w:tc>
        <w:tc>
          <w:tcPr>
            <w:tcW w:w="1194" w:type="dxa"/>
            <w:tcBorders>
              <w:top w:val="nil"/>
              <w:bottom w:val="nil"/>
            </w:tcBorders>
            <w:vAlign w:val="bottom"/>
          </w:tcPr>
          <w:p w:rsidR="0052431E" w:rsidRPr="0052431E" w:rsidRDefault="0052431E" w:rsidP="0052431E">
            <w:pPr>
              <w:spacing w:line="280" w:lineRule="exact"/>
              <w:ind w:rightChars="50" w:right="120"/>
              <w:jc w:val="right"/>
            </w:pPr>
            <w:r w:rsidRPr="0052431E">
              <w:t>132</w:t>
            </w:r>
          </w:p>
        </w:tc>
        <w:tc>
          <w:tcPr>
            <w:tcW w:w="836" w:type="dxa"/>
            <w:tcBorders>
              <w:top w:val="nil"/>
              <w:bottom w:val="nil"/>
            </w:tcBorders>
            <w:vAlign w:val="bottom"/>
          </w:tcPr>
          <w:p w:rsidR="0052431E" w:rsidRPr="0052431E" w:rsidRDefault="0052431E" w:rsidP="0052431E">
            <w:pPr>
              <w:spacing w:line="280" w:lineRule="exact"/>
              <w:ind w:rightChars="20" w:right="48"/>
              <w:jc w:val="right"/>
            </w:pPr>
            <w:r w:rsidRPr="0052431E">
              <w:t xml:space="preserve">0.7 </w:t>
            </w:r>
          </w:p>
        </w:tc>
        <w:tc>
          <w:tcPr>
            <w:tcW w:w="1193" w:type="dxa"/>
            <w:tcBorders>
              <w:top w:val="nil"/>
              <w:bottom w:val="nil"/>
              <w:right w:val="single" w:sz="6" w:space="0" w:color="auto"/>
            </w:tcBorders>
            <w:vAlign w:val="bottom"/>
          </w:tcPr>
          <w:p w:rsidR="0052431E" w:rsidRPr="0052431E" w:rsidRDefault="0052431E" w:rsidP="00744CAD">
            <w:pPr>
              <w:spacing w:line="280" w:lineRule="exact"/>
              <w:ind w:rightChars="50" w:right="120"/>
              <w:jc w:val="right"/>
            </w:pPr>
            <w:r w:rsidRPr="0052431E">
              <w:t>27</w:t>
            </w:r>
            <w:r w:rsidR="00744CAD">
              <w:t>1</w:t>
            </w:r>
          </w:p>
        </w:tc>
        <w:tc>
          <w:tcPr>
            <w:tcW w:w="836" w:type="dxa"/>
            <w:tcBorders>
              <w:top w:val="nil"/>
              <w:bottom w:val="nil"/>
              <w:right w:val="single" w:sz="6" w:space="0" w:color="auto"/>
            </w:tcBorders>
            <w:vAlign w:val="bottom"/>
          </w:tcPr>
          <w:p w:rsidR="0052431E" w:rsidRPr="0052431E" w:rsidRDefault="0052431E" w:rsidP="0052431E">
            <w:pPr>
              <w:spacing w:line="280" w:lineRule="exact"/>
              <w:ind w:rightChars="20" w:right="48"/>
              <w:jc w:val="right"/>
            </w:pPr>
            <w:r w:rsidRPr="0052431E">
              <w:t xml:space="preserve">1.5 </w:t>
            </w:r>
          </w:p>
        </w:tc>
        <w:tc>
          <w:tcPr>
            <w:tcW w:w="1190" w:type="dxa"/>
            <w:tcBorders>
              <w:top w:val="nil"/>
              <w:bottom w:val="nil"/>
              <w:right w:val="single" w:sz="6" w:space="0" w:color="auto"/>
            </w:tcBorders>
            <w:vAlign w:val="bottom"/>
          </w:tcPr>
          <w:p w:rsidR="0052431E" w:rsidRPr="0052431E" w:rsidRDefault="0052431E" w:rsidP="00EE2EA5">
            <w:pPr>
              <w:spacing w:line="280" w:lineRule="exact"/>
              <w:ind w:rightChars="50" w:right="120"/>
              <w:jc w:val="right"/>
            </w:pPr>
            <w:r w:rsidRPr="0052431E">
              <w:t>-1</w:t>
            </w:r>
            <w:r w:rsidR="00EE2EA5">
              <w:t>39</w:t>
            </w:r>
          </w:p>
        </w:tc>
        <w:tc>
          <w:tcPr>
            <w:tcW w:w="918" w:type="dxa"/>
            <w:tcBorders>
              <w:top w:val="nil"/>
              <w:bottom w:val="nil"/>
              <w:right w:val="single" w:sz="12" w:space="0" w:color="auto"/>
            </w:tcBorders>
            <w:vAlign w:val="bottom"/>
          </w:tcPr>
          <w:p w:rsidR="0052431E" w:rsidRPr="0052431E" w:rsidRDefault="0052431E" w:rsidP="00EE2EA5">
            <w:pPr>
              <w:spacing w:line="280" w:lineRule="exact"/>
              <w:ind w:rightChars="20" w:right="48"/>
              <w:jc w:val="right"/>
            </w:pPr>
            <w:r w:rsidRPr="0052431E">
              <w:t>-5</w:t>
            </w:r>
            <w:r w:rsidR="00EE2EA5">
              <w:t>1</w:t>
            </w:r>
            <w:r w:rsidRPr="0052431E">
              <w:t xml:space="preserve"> </w:t>
            </w:r>
          </w:p>
        </w:tc>
      </w:tr>
      <w:tr w:rsidR="0052431E" w:rsidRPr="00E520D4" w:rsidTr="006569CE">
        <w:trPr>
          <w:trHeight w:hRule="exact" w:val="567"/>
        </w:trPr>
        <w:tc>
          <w:tcPr>
            <w:tcW w:w="3193" w:type="dxa"/>
            <w:tcBorders>
              <w:top w:val="nil"/>
              <w:left w:val="single" w:sz="12" w:space="0" w:color="auto"/>
              <w:bottom w:val="nil"/>
            </w:tcBorders>
            <w:vAlign w:val="bottom"/>
          </w:tcPr>
          <w:p w:rsidR="0052431E" w:rsidRPr="00E520D4" w:rsidRDefault="0052431E" w:rsidP="0052431E">
            <w:pPr>
              <w:spacing w:line="280" w:lineRule="exact"/>
              <w:jc w:val="both"/>
              <w:rPr>
                <w:rFonts w:eastAsia="標楷體"/>
                <w:color w:val="000000"/>
                <w:spacing w:val="-4"/>
                <w:sz w:val="26"/>
                <w:szCs w:val="32"/>
              </w:rPr>
            </w:pPr>
            <w:r w:rsidRPr="00E520D4">
              <w:rPr>
                <w:rFonts w:eastAsia="標楷體"/>
                <w:color w:val="000000"/>
                <w:spacing w:val="-4"/>
                <w:sz w:val="26"/>
                <w:szCs w:val="32"/>
              </w:rPr>
              <w:t>2.</w:t>
            </w:r>
            <w:r w:rsidRPr="00E520D4">
              <w:rPr>
                <w:rFonts w:eastAsia="標楷體" w:hint="eastAsia"/>
                <w:color w:val="000000"/>
                <w:spacing w:val="-4"/>
                <w:sz w:val="26"/>
                <w:szCs w:val="32"/>
              </w:rPr>
              <w:t>歲出</w:t>
            </w:r>
          </w:p>
        </w:tc>
        <w:tc>
          <w:tcPr>
            <w:tcW w:w="1194" w:type="dxa"/>
            <w:tcBorders>
              <w:top w:val="nil"/>
              <w:bottom w:val="nil"/>
            </w:tcBorders>
            <w:vAlign w:val="bottom"/>
          </w:tcPr>
          <w:p w:rsidR="0052431E" w:rsidRPr="0052431E" w:rsidRDefault="0052431E" w:rsidP="0052431E">
            <w:pPr>
              <w:spacing w:line="280" w:lineRule="exact"/>
              <w:ind w:rightChars="50" w:right="120"/>
              <w:jc w:val="right"/>
            </w:pPr>
            <w:r w:rsidRPr="0052431E">
              <w:t>19,310</w:t>
            </w:r>
          </w:p>
        </w:tc>
        <w:tc>
          <w:tcPr>
            <w:tcW w:w="836" w:type="dxa"/>
            <w:tcBorders>
              <w:top w:val="nil"/>
              <w:bottom w:val="nil"/>
            </w:tcBorders>
            <w:vAlign w:val="bottom"/>
          </w:tcPr>
          <w:p w:rsidR="0052431E" w:rsidRPr="0052431E" w:rsidRDefault="0052431E" w:rsidP="0052431E">
            <w:pPr>
              <w:spacing w:line="280" w:lineRule="exact"/>
              <w:ind w:rightChars="20" w:right="48"/>
              <w:jc w:val="right"/>
            </w:pPr>
            <w:r w:rsidRPr="0052431E">
              <w:t xml:space="preserve">100.0 </w:t>
            </w:r>
          </w:p>
        </w:tc>
        <w:tc>
          <w:tcPr>
            <w:tcW w:w="1193" w:type="dxa"/>
            <w:tcBorders>
              <w:top w:val="nil"/>
              <w:bottom w:val="nil"/>
              <w:right w:val="single" w:sz="6" w:space="0" w:color="auto"/>
            </w:tcBorders>
            <w:vAlign w:val="bottom"/>
          </w:tcPr>
          <w:p w:rsidR="0052431E" w:rsidRPr="0052431E" w:rsidRDefault="0052431E" w:rsidP="0052431E">
            <w:pPr>
              <w:spacing w:line="280" w:lineRule="exact"/>
              <w:ind w:rightChars="50" w:right="120"/>
              <w:jc w:val="right"/>
            </w:pPr>
            <w:r w:rsidRPr="0052431E">
              <w:t>19,740</w:t>
            </w:r>
          </w:p>
        </w:tc>
        <w:tc>
          <w:tcPr>
            <w:tcW w:w="836" w:type="dxa"/>
            <w:tcBorders>
              <w:top w:val="nil"/>
              <w:bottom w:val="nil"/>
              <w:right w:val="single" w:sz="6" w:space="0" w:color="auto"/>
            </w:tcBorders>
            <w:vAlign w:val="bottom"/>
          </w:tcPr>
          <w:p w:rsidR="0052431E" w:rsidRPr="0052431E" w:rsidRDefault="0052431E" w:rsidP="0052431E">
            <w:pPr>
              <w:spacing w:line="280" w:lineRule="exact"/>
              <w:ind w:rightChars="20" w:right="48"/>
              <w:jc w:val="right"/>
            </w:pPr>
            <w:r w:rsidRPr="0052431E">
              <w:t xml:space="preserve">100.0 </w:t>
            </w:r>
          </w:p>
        </w:tc>
        <w:tc>
          <w:tcPr>
            <w:tcW w:w="1190" w:type="dxa"/>
            <w:tcBorders>
              <w:top w:val="nil"/>
              <w:bottom w:val="nil"/>
              <w:right w:val="single" w:sz="6" w:space="0" w:color="auto"/>
            </w:tcBorders>
            <w:vAlign w:val="bottom"/>
          </w:tcPr>
          <w:p w:rsidR="0052431E" w:rsidRPr="0052431E" w:rsidRDefault="0052431E" w:rsidP="0052431E">
            <w:pPr>
              <w:spacing w:line="280" w:lineRule="exact"/>
              <w:ind w:rightChars="50" w:right="120"/>
              <w:jc w:val="right"/>
            </w:pPr>
            <w:r w:rsidRPr="0052431E">
              <w:t>-430</w:t>
            </w:r>
          </w:p>
        </w:tc>
        <w:tc>
          <w:tcPr>
            <w:tcW w:w="918" w:type="dxa"/>
            <w:tcBorders>
              <w:top w:val="nil"/>
              <w:bottom w:val="nil"/>
              <w:right w:val="single" w:sz="12" w:space="0" w:color="auto"/>
            </w:tcBorders>
            <w:vAlign w:val="bottom"/>
          </w:tcPr>
          <w:p w:rsidR="0052431E" w:rsidRPr="0052431E" w:rsidRDefault="0052431E" w:rsidP="0052431E">
            <w:pPr>
              <w:spacing w:line="280" w:lineRule="exact"/>
              <w:ind w:rightChars="20" w:right="48"/>
              <w:jc w:val="right"/>
            </w:pPr>
            <w:r w:rsidRPr="0052431E">
              <w:t xml:space="preserve">-2.2 </w:t>
            </w:r>
          </w:p>
        </w:tc>
      </w:tr>
      <w:tr w:rsidR="0052431E" w:rsidRPr="00E520D4" w:rsidTr="006569CE">
        <w:trPr>
          <w:trHeight w:hRule="exact" w:val="454"/>
        </w:trPr>
        <w:tc>
          <w:tcPr>
            <w:tcW w:w="3193" w:type="dxa"/>
            <w:tcBorders>
              <w:top w:val="nil"/>
              <w:left w:val="single" w:sz="12" w:space="0" w:color="auto"/>
              <w:bottom w:val="nil"/>
            </w:tcBorders>
            <w:vAlign w:val="bottom"/>
          </w:tcPr>
          <w:p w:rsidR="0052431E" w:rsidRPr="00E520D4" w:rsidRDefault="0052431E" w:rsidP="0052431E">
            <w:pPr>
              <w:spacing w:line="280" w:lineRule="exact"/>
              <w:ind w:firstLineChars="100" w:firstLine="252"/>
              <w:jc w:val="both"/>
              <w:rPr>
                <w:rFonts w:eastAsia="標楷體"/>
                <w:color w:val="000000"/>
                <w:spacing w:val="-4"/>
                <w:sz w:val="26"/>
                <w:szCs w:val="32"/>
              </w:rPr>
            </w:pPr>
            <w:r w:rsidRPr="00E520D4">
              <w:rPr>
                <w:rFonts w:eastAsia="標楷體"/>
                <w:color w:val="000000"/>
                <w:spacing w:val="-4"/>
                <w:sz w:val="26"/>
                <w:szCs w:val="32"/>
              </w:rPr>
              <w:t>(1)</w:t>
            </w:r>
            <w:r w:rsidRPr="00E520D4">
              <w:rPr>
                <w:rFonts w:eastAsia="標楷體" w:hint="eastAsia"/>
                <w:color w:val="000000"/>
                <w:spacing w:val="-4"/>
                <w:sz w:val="26"/>
                <w:szCs w:val="32"/>
              </w:rPr>
              <w:t>經常門</w:t>
            </w:r>
          </w:p>
        </w:tc>
        <w:tc>
          <w:tcPr>
            <w:tcW w:w="1194" w:type="dxa"/>
            <w:tcBorders>
              <w:top w:val="nil"/>
              <w:bottom w:val="nil"/>
            </w:tcBorders>
            <w:vAlign w:val="bottom"/>
          </w:tcPr>
          <w:p w:rsidR="0052431E" w:rsidRPr="0052431E" w:rsidRDefault="0052431E" w:rsidP="0052431E">
            <w:pPr>
              <w:spacing w:line="280" w:lineRule="exact"/>
              <w:ind w:rightChars="50" w:right="120"/>
              <w:jc w:val="right"/>
            </w:pPr>
            <w:r w:rsidRPr="0052431E">
              <w:t>16,273</w:t>
            </w:r>
          </w:p>
        </w:tc>
        <w:tc>
          <w:tcPr>
            <w:tcW w:w="836" w:type="dxa"/>
            <w:tcBorders>
              <w:top w:val="nil"/>
              <w:bottom w:val="nil"/>
            </w:tcBorders>
            <w:vAlign w:val="bottom"/>
          </w:tcPr>
          <w:p w:rsidR="0052431E" w:rsidRPr="0052431E" w:rsidRDefault="0052431E" w:rsidP="0052431E">
            <w:pPr>
              <w:spacing w:line="280" w:lineRule="exact"/>
              <w:ind w:rightChars="20" w:right="48"/>
              <w:jc w:val="right"/>
            </w:pPr>
            <w:r w:rsidRPr="0052431E">
              <w:t xml:space="preserve">84.3 </w:t>
            </w:r>
          </w:p>
        </w:tc>
        <w:tc>
          <w:tcPr>
            <w:tcW w:w="1193" w:type="dxa"/>
            <w:tcBorders>
              <w:top w:val="nil"/>
              <w:bottom w:val="nil"/>
              <w:right w:val="single" w:sz="6" w:space="0" w:color="auto"/>
            </w:tcBorders>
            <w:vAlign w:val="bottom"/>
          </w:tcPr>
          <w:p w:rsidR="0052431E" w:rsidRPr="0052431E" w:rsidRDefault="0052431E" w:rsidP="00744CAD">
            <w:pPr>
              <w:spacing w:line="280" w:lineRule="exact"/>
              <w:ind w:rightChars="50" w:right="120"/>
              <w:jc w:val="right"/>
            </w:pPr>
            <w:r w:rsidRPr="0052431E">
              <w:t>16,6</w:t>
            </w:r>
            <w:r w:rsidR="00744CAD">
              <w:t>23</w:t>
            </w:r>
          </w:p>
        </w:tc>
        <w:tc>
          <w:tcPr>
            <w:tcW w:w="836" w:type="dxa"/>
            <w:tcBorders>
              <w:top w:val="nil"/>
              <w:bottom w:val="nil"/>
              <w:right w:val="single" w:sz="6" w:space="0" w:color="auto"/>
            </w:tcBorders>
            <w:vAlign w:val="bottom"/>
          </w:tcPr>
          <w:p w:rsidR="0052431E" w:rsidRPr="0052431E" w:rsidRDefault="0052431E" w:rsidP="00744CAD">
            <w:pPr>
              <w:spacing w:line="280" w:lineRule="exact"/>
              <w:ind w:rightChars="20" w:right="48"/>
              <w:jc w:val="right"/>
            </w:pPr>
            <w:r w:rsidRPr="0052431E">
              <w:t>84.</w:t>
            </w:r>
            <w:r w:rsidR="00744CAD">
              <w:t>2</w:t>
            </w:r>
            <w:r w:rsidRPr="0052431E">
              <w:t xml:space="preserve"> </w:t>
            </w:r>
          </w:p>
        </w:tc>
        <w:tc>
          <w:tcPr>
            <w:tcW w:w="1190" w:type="dxa"/>
            <w:tcBorders>
              <w:top w:val="nil"/>
              <w:bottom w:val="nil"/>
              <w:right w:val="single" w:sz="6" w:space="0" w:color="auto"/>
            </w:tcBorders>
            <w:vAlign w:val="bottom"/>
          </w:tcPr>
          <w:p w:rsidR="0052431E" w:rsidRPr="0052431E" w:rsidRDefault="0052431E" w:rsidP="00EE2EA5">
            <w:pPr>
              <w:spacing w:line="280" w:lineRule="exact"/>
              <w:ind w:rightChars="50" w:right="120"/>
              <w:jc w:val="right"/>
            </w:pPr>
            <w:r w:rsidRPr="0052431E">
              <w:t>-</w:t>
            </w:r>
            <w:r w:rsidR="00EE2EA5">
              <w:t>350</w:t>
            </w:r>
          </w:p>
        </w:tc>
        <w:tc>
          <w:tcPr>
            <w:tcW w:w="918" w:type="dxa"/>
            <w:tcBorders>
              <w:top w:val="nil"/>
              <w:bottom w:val="nil"/>
              <w:right w:val="single" w:sz="12" w:space="0" w:color="auto"/>
            </w:tcBorders>
            <w:vAlign w:val="bottom"/>
          </w:tcPr>
          <w:p w:rsidR="0052431E" w:rsidRPr="0052431E" w:rsidRDefault="0052431E" w:rsidP="00EE2EA5">
            <w:pPr>
              <w:spacing w:line="280" w:lineRule="exact"/>
              <w:ind w:rightChars="20" w:right="48"/>
              <w:jc w:val="right"/>
            </w:pPr>
            <w:r w:rsidRPr="0052431E">
              <w:t>-2.</w:t>
            </w:r>
            <w:r w:rsidR="00EE2EA5">
              <w:t>1</w:t>
            </w:r>
            <w:r w:rsidRPr="0052431E">
              <w:t xml:space="preserve"> </w:t>
            </w:r>
          </w:p>
        </w:tc>
      </w:tr>
      <w:tr w:rsidR="0052431E" w:rsidRPr="00E520D4" w:rsidTr="006569CE">
        <w:trPr>
          <w:trHeight w:hRule="exact" w:val="454"/>
        </w:trPr>
        <w:tc>
          <w:tcPr>
            <w:tcW w:w="3193" w:type="dxa"/>
            <w:tcBorders>
              <w:top w:val="nil"/>
              <w:left w:val="single" w:sz="12" w:space="0" w:color="auto"/>
              <w:bottom w:val="nil"/>
            </w:tcBorders>
            <w:vAlign w:val="bottom"/>
          </w:tcPr>
          <w:p w:rsidR="0052431E" w:rsidRPr="00E520D4" w:rsidRDefault="0052431E" w:rsidP="0052431E">
            <w:pPr>
              <w:spacing w:line="280" w:lineRule="exact"/>
              <w:ind w:firstLineChars="100" w:firstLine="252"/>
              <w:jc w:val="both"/>
              <w:rPr>
                <w:rFonts w:eastAsia="標楷體"/>
                <w:color w:val="000000"/>
                <w:spacing w:val="-4"/>
                <w:sz w:val="26"/>
                <w:szCs w:val="32"/>
              </w:rPr>
            </w:pPr>
            <w:r w:rsidRPr="00E520D4">
              <w:rPr>
                <w:rFonts w:eastAsia="標楷體"/>
                <w:color w:val="000000"/>
                <w:spacing w:val="-4"/>
                <w:sz w:val="26"/>
                <w:szCs w:val="32"/>
              </w:rPr>
              <w:t>(2)</w:t>
            </w:r>
            <w:r w:rsidRPr="00E520D4">
              <w:rPr>
                <w:rFonts w:eastAsia="標楷體" w:hint="eastAsia"/>
                <w:color w:val="000000"/>
                <w:spacing w:val="-4"/>
                <w:sz w:val="26"/>
                <w:szCs w:val="32"/>
              </w:rPr>
              <w:t>資本門</w:t>
            </w:r>
          </w:p>
        </w:tc>
        <w:tc>
          <w:tcPr>
            <w:tcW w:w="1194" w:type="dxa"/>
            <w:tcBorders>
              <w:top w:val="nil"/>
              <w:bottom w:val="nil"/>
            </w:tcBorders>
            <w:vAlign w:val="bottom"/>
          </w:tcPr>
          <w:p w:rsidR="0052431E" w:rsidRPr="0052431E" w:rsidRDefault="0052431E" w:rsidP="0052431E">
            <w:pPr>
              <w:spacing w:line="280" w:lineRule="exact"/>
              <w:ind w:rightChars="50" w:right="120"/>
              <w:jc w:val="right"/>
            </w:pPr>
            <w:r w:rsidRPr="0052431E">
              <w:t>3,037</w:t>
            </w:r>
          </w:p>
        </w:tc>
        <w:tc>
          <w:tcPr>
            <w:tcW w:w="836" w:type="dxa"/>
            <w:tcBorders>
              <w:top w:val="nil"/>
              <w:bottom w:val="nil"/>
            </w:tcBorders>
            <w:vAlign w:val="bottom"/>
          </w:tcPr>
          <w:p w:rsidR="0052431E" w:rsidRPr="0052431E" w:rsidRDefault="0052431E" w:rsidP="0052431E">
            <w:pPr>
              <w:spacing w:line="280" w:lineRule="exact"/>
              <w:ind w:rightChars="20" w:right="48"/>
              <w:jc w:val="right"/>
            </w:pPr>
            <w:r w:rsidRPr="0052431E">
              <w:t xml:space="preserve">15.7 </w:t>
            </w:r>
          </w:p>
        </w:tc>
        <w:tc>
          <w:tcPr>
            <w:tcW w:w="1193" w:type="dxa"/>
            <w:tcBorders>
              <w:top w:val="nil"/>
              <w:bottom w:val="nil"/>
              <w:right w:val="single" w:sz="6" w:space="0" w:color="auto"/>
            </w:tcBorders>
            <w:vAlign w:val="bottom"/>
          </w:tcPr>
          <w:p w:rsidR="0052431E" w:rsidRPr="0052431E" w:rsidRDefault="0052431E" w:rsidP="00744CAD">
            <w:pPr>
              <w:spacing w:line="280" w:lineRule="exact"/>
              <w:ind w:rightChars="50" w:right="120"/>
              <w:jc w:val="right"/>
            </w:pPr>
            <w:r w:rsidRPr="0052431E">
              <w:t>3,</w:t>
            </w:r>
            <w:r w:rsidR="00744CAD">
              <w:t>117</w:t>
            </w:r>
          </w:p>
        </w:tc>
        <w:tc>
          <w:tcPr>
            <w:tcW w:w="836" w:type="dxa"/>
            <w:tcBorders>
              <w:top w:val="nil"/>
              <w:bottom w:val="nil"/>
              <w:right w:val="single" w:sz="6" w:space="0" w:color="auto"/>
            </w:tcBorders>
            <w:vAlign w:val="bottom"/>
          </w:tcPr>
          <w:p w:rsidR="0052431E" w:rsidRPr="0052431E" w:rsidRDefault="0052431E" w:rsidP="00744CAD">
            <w:pPr>
              <w:spacing w:line="280" w:lineRule="exact"/>
              <w:ind w:rightChars="20" w:right="48"/>
              <w:jc w:val="right"/>
            </w:pPr>
            <w:r w:rsidRPr="0052431E">
              <w:t>15.</w:t>
            </w:r>
            <w:r w:rsidR="00744CAD">
              <w:t>8</w:t>
            </w:r>
            <w:r w:rsidRPr="0052431E">
              <w:t xml:space="preserve"> </w:t>
            </w:r>
          </w:p>
        </w:tc>
        <w:tc>
          <w:tcPr>
            <w:tcW w:w="1190" w:type="dxa"/>
            <w:tcBorders>
              <w:top w:val="nil"/>
              <w:bottom w:val="nil"/>
              <w:right w:val="single" w:sz="6" w:space="0" w:color="auto"/>
            </w:tcBorders>
            <w:vAlign w:val="bottom"/>
          </w:tcPr>
          <w:p w:rsidR="0052431E" w:rsidRPr="0052431E" w:rsidRDefault="0052431E" w:rsidP="00EE2EA5">
            <w:pPr>
              <w:spacing w:line="280" w:lineRule="exact"/>
              <w:ind w:rightChars="50" w:right="120"/>
              <w:jc w:val="right"/>
            </w:pPr>
            <w:r w:rsidRPr="0052431E">
              <w:t>-</w:t>
            </w:r>
            <w:r w:rsidR="00EE2EA5">
              <w:t>80</w:t>
            </w:r>
          </w:p>
        </w:tc>
        <w:tc>
          <w:tcPr>
            <w:tcW w:w="918" w:type="dxa"/>
            <w:tcBorders>
              <w:top w:val="nil"/>
              <w:bottom w:val="nil"/>
              <w:right w:val="single" w:sz="12" w:space="0" w:color="auto"/>
            </w:tcBorders>
            <w:vAlign w:val="bottom"/>
          </w:tcPr>
          <w:p w:rsidR="0052431E" w:rsidRPr="0052431E" w:rsidRDefault="0052431E" w:rsidP="00EE2EA5">
            <w:pPr>
              <w:spacing w:line="280" w:lineRule="exact"/>
              <w:ind w:rightChars="20" w:right="48"/>
              <w:jc w:val="right"/>
            </w:pPr>
            <w:r w:rsidRPr="0052431E">
              <w:t>-</w:t>
            </w:r>
            <w:r w:rsidR="00EE2EA5">
              <w:t>2</w:t>
            </w:r>
            <w:r w:rsidRPr="0052431E">
              <w:t>.</w:t>
            </w:r>
            <w:r w:rsidR="00EE2EA5">
              <w:t>6</w:t>
            </w:r>
            <w:r w:rsidRPr="0052431E">
              <w:t xml:space="preserve"> </w:t>
            </w:r>
          </w:p>
        </w:tc>
      </w:tr>
      <w:tr w:rsidR="0052431E" w:rsidRPr="00E520D4" w:rsidTr="006569CE">
        <w:trPr>
          <w:trHeight w:hRule="exact" w:val="624"/>
        </w:trPr>
        <w:tc>
          <w:tcPr>
            <w:tcW w:w="3193" w:type="dxa"/>
            <w:tcBorders>
              <w:top w:val="nil"/>
              <w:left w:val="single" w:sz="12" w:space="0" w:color="auto"/>
              <w:bottom w:val="nil"/>
            </w:tcBorders>
            <w:vAlign w:val="bottom"/>
          </w:tcPr>
          <w:p w:rsidR="0052431E" w:rsidRPr="00E520D4" w:rsidRDefault="0052431E" w:rsidP="0052431E">
            <w:pPr>
              <w:spacing w:line="280" w:lineRule="exact"/>
              <w:jc w:val="both"/>
              <w:rPr>
                <w:rFonts w:eastAsia="標楷體"/>
                <w:color w:val="000000"/>
                <w:spacing w:val="-4"/>
                <w:sz w:val="26"/>
                <w:szCs w:val="32"/>
              </w:rPr>
            </w:pPr>
            <w:r w:rsidRPr="00E520D4">
              <w:rPr>
                <w:rFonts w:eastAsia="標楷體"/>
                <w:color w:val="000000"/>
                <w:spacing w:val="-4"/>
                <w:sz w:val="26"/>
                <w:szCs w:val="32"/>
              </w:rPr>
              <w:t>3.</w:t>
            </w:r>
            <w:r w:rsidRPr="00E520D4">
              <w:rPr>
                <w:rFonts w:eastAsia="標楷體" w:hint="eastAsia"/>
                <w:color w:val="000000"/>
                <w:spacing w:val="-4"/>
                <w:sz w:val="26"/>
                <w:szCs w:val="32"/>
              </w:rPr>
              <w:t>歲入歲出差短</w:t>
            </w:r>
          </w:p>
        </w:tc>
        <w:tc>
          <w:tcPr>
            <w:tcW w:w="1194" w:type="dxa"/>
            <w:tcBorders>
              <w:top w:val="nil"/>
              <w:bottom w:val="nil"/>
            </w:tcBorders>
            <w:vAlign w:val="bottom"/>
          </w:tcPr>
          <w:p w:rsidR="0052431E" w:rsidRPr="0052431E" w:rsidRDefault="0052431E" w:rsidP="0052431E">
            <w:pPr>
              <w:spacing w:line="280" w:lineRule="exact"/>
              <w:ind w:rightChars="50" w:right="120"/>
              <w:jc w:val="right"/>
            </w:pPr>
            <w:r w:rsidRPr="0052431E">
              <w:t>97</w:t>
            </w:r>
          </w:p>
        </w:tc>
        <w:tc>
          <w:tcPr>
            <w:tcW w:w="836" w:type="dxa"/>
            <w:tcBorders>
              <w:top w:val="nil"/>
              <w:bottom w:val="nil"/>
            </w:tcBorders>
            <w:vAlign w:val="bottom"/>
          </w:tcPr>
          <w:p w:rsidR="0052431E" w:rsidRPr="0052431E" w:rsidRDefault="0052431E" w:rsidP="0052431E">
            <w:pPr>
              <w:spacing w:line="280" w:lineRule="exact"/>
              <w:ind w:rightChars="20" w:right="48"/>
              <w:jc w:val="right"/>
            </w:pPr>
          </w:p>
        </w:tc>
        <w:tc>
          <w:tcPr>
            <w:tcW w:w="1193" w:type="dxa"/>
            <w:tcBorders>
              <w:top w:val="nil"/>
              <w:bottom w:val="nil"/>
              <w:right w:val="single" w:sz="6" w:space="0" w:color="auto"/>
            </w:tcBorders>
            <w:vAlign w:val="bottom"/>
          </w:tcPr>
          <w:p w:rsidR="0052431E" w:rsidRPr="0052431E" w:rsidRDefault="0052431E" w:rsidP="0052431E">
            <w:pPr>
              <w:spacing w:line="280" w:lineRule="exact"/>
              <w:ind w:rightChars="50" w:right="120"/>
              <w:jc w:val="right"/>
            </w:pPr>
            <w:r w:rsidRPr="0052431E">
              <w:t>1,325</w:t>
            </w:r>
          </w:p>
        </w:tc>
        <w:tc>
          <w:tcPr>
            <w:tcW w:w="836" w:type="dxa"/>
            <w:tcBorders>
              <w:top w:val="nil"/>
              <w:bottom w:val="nil"/>
              <w:right w:val="single" w:sz="6" w:space="0" w:color="auto"/>
            </w:tcBorders>
            <w:vAlign w:val="bottom"/>
          </w:tcPr>
          <w:p w:rsidR="0052431E" w:rsidRPr="0052431E" w:rsidRDefault="0052431E" w:rsidP="0052431E">
            <w:pPr>
              <w:spacing w:line="280" w:lineRule="exact"/>
              <w:ind w:rightChars="20" w:right="48"/>
              <w:jc w:val="right"/>
            </w:pPr>
          </w:p>
        </w:tc>
        <w:tc>
          <w:tcPr>
            <w:tcW w:w="1190" w:type="dxa"/>
            <w:tcBorders>
              <w:top w:val="nil"/>
              <w:bottom w:val="nil"/>
              <w:right w:val="single" w:sz="6" w:space="0" w:color="auto"/>
            </w:tcBorders>
            <w:vAlign w:val="bottom"/>
          </w:tcPr>
          <w:p w:rsidR="0052431E" w:rsidRPr="0052431E" w:rsidRDefault="0052431E" w:rsidP="0052431E">
            <w:pPr>
              <w:spacing w:line="280" w:lineRule="exact"/>
              <w:ind w:rightChars="50" w:right="120"/>
              <w:jc w:val="right"/>
            </w:pPr>
            <w:r w:rsidRPr="0052431E">
              <w:t>-1,228</w:t>
            </w:r>
          </w:p>
        </w:tc>
        <w:tc>
          <w:tcPr>
            <w:tcW w:w="918" w:type="dxa"/>
            <w:tcBorders>
              <w:top w:val="nil"/>
              <w:bottom w:val="nil"/>
              <w:right w:val="single" w:sz="12" w:space="0" w:color="auto"/>
            </w:tcBorders>
            <w:vAlign w:val="bottom"/>
          </w:tcPr>
          <w:p w:rsidR="0052431E" w:rsidRPr="0052431E" w:rsidRDefault="0052431E" w:rsidP="0052431E">
            <w:pPr>
              <w:spacing w:line="280" w:lineRule="exact"/>
              <w:ind w:rightChars="20" w:right="48"/>
              <w:jc w:val="right"/>
            </w:pPr>
            <w:r w:rsidRPr="0052431E">
              <w:t xml:space="preserve">-92.7 </w:t>
            </w:r>
          </w:p>
        </w:tc>
      </w:tr>
      <w:tr w:rsidR="0052431E" w:rsidRPr="00E520D4" w:rsidTr="006569CE">
        <w:trPr>
          <w:trHeight w:hRule="exact" w:val="567"/>
        </w:trPr>
        <w:tc>
          <w:tcPr>
            <w:tcW w:w="3193" w:type="dxa"/>
            <w:tcBorders>
              <w:top w:val="nil"/>
              <w:left w:val="single" w:sz="12" w:space="0" w:color="auto"/>
              <w:bottom w:val="nil"/>
            </w:tcBorders>
            <w:vAlign w:val="bottom"/>
          </w:tcPr>
          <w:p w:rsidR="0052431E" w:rsidRPr="00E520D4" w:rsidRDefault="0052431E" w:rsidP="0052431E">
            <w:pPr>
              <w:spacing w:line="280" w:lineRule="exact"/>
              <w:jc w:val="both"/>
              <w:rPr>
                <w:rFonts w:eastAsia="標楷體"/>
                <w:color w:val="000000"/>
                <w:spacing w:val="-4"/>
                <w:sz w:val="26"/>
                <w:szCs w:val="32"/>
              </w:rPr>
            </w:pPr>
            <w:r w:rsidRPr="00E520D4">
              <w:rPr>
                <w:rFonts w:eastAsia="標楷體"/>
                <w:color w:val="000000"/>
                <w:spacing w:val="-4"/>
                <w:sz w:val="26"/>
                <w:szCs w:val="32"/>
              </w:rPr>
              <w:t>4.</w:t>
            </w:r>
            <w:r w:rsidRPr="00E520D4">
              <w:rPr>
                <w:rFonts w:eastAsia="標楷體" w:hint="eastAsia"/>
                <w:color w:val="000000"/>
                <w:spacing w:val="-4"/>
                <w:sz w:val="26"/>
                <w:szCs w:val="32"/>
              </w:rPr>
              <w:t>債務之償還</w:t>
            </w:r>
          </w:p>
        </w:tc>
        <w:tc>
          <w:tcPr>
            <w:tcW w:w="1194" w:type="dxa"/>
            <w:tcBorders>
              <w:top w:val="nil"/>
              <w:bottom w:val="nil"/>
            </w:tcBorders>
            <w:vAlign w:val="bottom"/>
          </w:tcPr>
          <w:p w:rsidR="0052431E" w:rsidRPr="0052431E" w:rsidRDefault="0052431E" w:rsidP="0052431E">
            <w:pPr>
              <w:spacing w:line="280" w:lineRule="exact"/>
              <w:ind w:rightChars="50" w:right="120"/>
              <w:jc w:val="right"/>
            </w:pPr>
            <w:r w:rsidRPr="0052431E">
              <w:t>743</w:t>
            </w:r>
          </w:p>
        </w:tc>
        <w:tc>
          <w:tcPr>
            <w:tcW w:w="836" w:type="dxa"/>
            <w:tcBorders>
              <w:top w:val="nil"/>
              <w:bottom w:val="nil"/>
            </w:tcBorders>
            <w:vAlign w:val="bottom"/>
          </w:tcPr>
          <w:p w:rsidR="0052431E" w:rsidRPr="0052431E" w:rsidRDefault="0052431E" w:rsidP="0052431E">
            <w:pPr>
              <w:spacing w:line="280" w:lineRule="exact"/>
              <w:ind w:rightChars="20" w:right="48"/>
              <w:jc w:val="right"/>
            </w:pPr>
          </w:p>
        </w:tc>
        <w:tc>
          <w:tcPr>
            <w:tcW w:w="1193" w:type="dxa"/>
            <w:tcBorders>
              <w:top w:val="nil"/>
              <w:bottom w:val="nil"/>
              <w:right w:val="single" w:sz="6" w:space="0" w:color="auto"/>
            </w:tcBorders>
            <w:vAlign w:val="bottom"/>
          </w:tcPr>
          <w:p w:rsidR="0052431E" w:rsidRPr="0052431E" w:rsidRDefault="0052431E" w:rsidP="0052431E">
            <w:pPr>
              <w:spacing w:line="280" w:lineRule="exact"/>
              <w:ind w:rightChars="50" w:right="120"/>
              <w:jc w:val="right"/>
            </w:pPr>
            <w:r w:rsidRPr="0052431E">
              <w:t>740</w:t>
            </w:r>
          </w:p>
        </w:tc>
        <w:tc>
          <w:tcPr>
            <w:tcW w:w="836" w:type="dxa"/>
            <w:tcBorders>
              <w:top w:val="nil"/>
              <w:bottom w:val="nil"/>
              <w:right w:val="single" w:sz="6" w:space="0" w:color="auto"/>
            </w:tcBorders>
            <w:vAlign w:val="bottom"/>
          </w:tcPr>
          <w:p w:rsidR="0052431E" w:rsidRPr="0052431E" w:rsidRDefault="0052431E" w:rsidP="0052431E">
            <w:pPr>
              <w:spacing w:line="280" w:lineRule="exact"/>
              <w:ind w:rightChars="20" w:right="48"/>
              <w:jc w:val="right"/>
            </w:pPr>
          </w:p>
        </w:tc>
        <w:tc>
          <w:tcPr>
            <w:tcW w:w="1190" w:type="dxa"/>
            <w:tcBorders>
              <w:top w:val="nil"/>
              <w:bottom w:val="nil"/>
              <w:right w:val="single" w:sz="6" w:space="0" w:color="auto"/>
            </w:tcBorders>
            <w:vAlign w:val="bottom"/>
          </w:tcPr>
          <w:p w:rsidR="0052431E" w:rsidRPr="0052431E" w:rsidRDefault="0052431E" w:rsidP="0052431E">
            <w:pPr>
              <w:spacing w:line="280" w:lineRule="exact"/>
              <w:ind w:rightChars="50" w:right="120"/>
              <w:jc w:val="right"/>
            </w:pPr>
            <w:r w:rsidRPr="0052431E">
              <w:t>3</w:t>
            </w:r>
          </w:p>
        </w:tc>
        <w:tc>
          <w:tcPr>
            <w:tcW w:w="918" w:type="dxa"/>
            <w:tcBorders>
              <w:top w:val="nil"/>
              <w:bottom w:val="nil"/>
              <w:right w:val="single" w:sz="12" w:space="0" w:color="auto"/>
            </w:tcBorders>
            <w:vAlign w:val="bottom"/>
          </w:tcPr>
          <w:p w:rsidR="0052431E" w:rsidRPr="0052431E" w:rsidRDefault="0052431E" w:rsidP="0052431E">
            <w:pPr>
              <w:spacing w:line="280" w:lineRule="exact"/>
              <w:ind w:rightChars="20" w:right="48"/>
              <w:jc w:val="right"/>
            </w:pPr>
            <w:r w:rsidRPr="0052431E">
              <w:t>0.4</w:t>
            </w:r>
          </w:p>
        </w:tc>
      </w:tr>
      <w:tr w:rsidR="0052431E" w:rsidRPr="00E520D4" w:rsidTr="006569CE">
        <w:trPr>
          <w:trHeight w:hRule="exact" w:val="567"/>
        </w:trPr>
        <w:tc>
          <w:tcPr>
            <w:tcW w:w="3193" w:type="dxa"/>
            <w:tcBorders>
              <w:top w:val="nil"/>
              <w:left w:val="single" w:sz="12" w:space="0" w:color="auto"/>
              <w:bottom w:val="nil"/>
            </w:tcBorders>
            <w:vAlign w:val="bottom"/>
          </w:tcPr>
          <w:p w:rsidR="0052431E" w:rsidRPr="00E520D4" w:rsidRDefault="0052431E" w:rsidP="0052431E">
            <w:pPr>
              <w:spacing w:line="280" w:lineRule="exact"/>
              <w:jc w:val="both"/>
              <w:rPr>
                <w:rFonts w:eastAsia="標楷體"/>
                <w:color w:val="000000"/>
                <w:spacing w:val="-4"/>
                <w:sz w:val="26"/>
                <w:szCs w:val="32"/>
              </w:rPr>
            </w:pPr>
            <w:r w:rsidRPr="00E520D4">
              <w:rPr>
                <w:rFonts w:eastAsia="標楷體"/>
                <w:color w:val="000000"/>
                <w:spacing w:val="-4"/>
                <w:sz w:val="26"/>
                <w:szCs w:val="32"/>
              </w:rPr>
              <w:t>5.</w:t>
            </w:r>
            <w:r w:rsidRPr="00E520D4">
              <w:rPr>
                <w:rFonts w:eastAsia="標楷體" w:hint="eastAsia"/>
                <w:color w:val="000000"/>
                <w:spacing w:val="-4"/>
                <w:sz w:val="26"/>
                <w:szCs w:val="32"/>
              </w:rPr>
              <w:t>融資調度數</w:t>
            </w:r>
            <w:r w:rsidRPr="00E520D4">
              <w:rPr>
                <w:rFonts w:eastAsia="標楷體"/>
                <w:color w:val="000000"/>
                <w:spacing w:val="-4"/>
                <w:sz w:val="22"/>
                <w:szCs w:val="32"/>
              </w:rPr>
              <w:t>(4+3)</w:t>
            </w:r>
          </w:p>
        </w:tc>
        <w:tc>
          <w:tcPr>
            <w:tcW w:w="1194" w:type="dxa"/>
            <w:tcBorders>
              <w:top w:val="nil"/>
              <w:bottom w:val="nil"/>
            </w:tcBorders>
            <w:vAlign w:val="bottom"/>
          </w:tcPr>
          <w:p w:rsidR="0052431E" w:rsidRPr="0052431E" w:rsidRDefault="0052431E" w:rsidP="0052431E">
            <w:pPr>
              <w:spacing w:line="280" w:lineRule="exact"/>
              <w:ind w:rightChars="50" w:right="120"/>
              <w:jc w:val="right"/>
            </w:pPr>
            <w:r w:rsidRPr="0052431E">
              <w:t>840</w:t>
            </w:r>
          </w:p>
        </w:tc>
        <w:tc>
          <w:tcPr>
            <w:tcW w:w="836" w:type="dxa"/>
            <w:tcBorders>
              <w:top w:val="nil"/>
              <w:bottom w:val="nil"/>
            </w:tcBorders>
            <w:vAlign w:val="bottom"/>
          </w:tcPr>
          <w:p w:rsidR="0052431E" w:rsidRPr="0052431E" w:rsidRDefault="0052431E" w:rsidP="0052431E">
            <w:pPr>
              <w:spacing w:line="280" w:lineRule="exact"/>
              <w:ind w:rightChars="20" w:right="48"/>
              <w:jc w:val="right"/>
            </w:pPr>
          </w:p>
        </w:tc>
        <w:tc>
          <w:tcPr>
            <w:tcW w:w="1193" w:type="dxa"/>
            <w:tcBorders>
              <w:top w:val="nil"/>
              <w:bottom w:val="nil"/>
              <w:right w:val="single" w:sz="6" w:space="0" w:color="auto"/>
            </w:tcBorders>
            <w:vAlign w:val="bottom"/>
          </w:tcPr>
          <w:p w:rsidR="0052431E" w:rsidRPr="0052431E" w:rsidRDefault="0052431E" w:rsidP="0052431E">
            <w:pPr>
              <w:spacing w:line="280" w:lineRule="exact"/>
              <w:ind w:rightChars="50" w:right="120"/>
              <w:jc w:val="right"/>
            </w:pPr>
            <w:r w:rsidRPr="0052431E">
              <w:t>2,065</w:t>
            </w:r>
          </w:p>
        </w:tc>
        <w:tc>
          <w:tcPr>
            <w:tcW w:w="836" w:type="dxa"/>
            <w:tcBorders>
              <w:top w:val="nil"/>
              <w:bottom w:val="nil"/>
              <w:right w:val="single" w:sz="6" w:space="0" w:color="auto"/>
            </w:tcBorders>
            <w:vAlign w:val="bottom"/>
          </w:tcPr>
          <w:p w:rsidR="0052431E" w:rsidRPr="0052431E" w:rsidRDefault="0052431E" w:rsidP="0052431E">
            <w:pPr>
              <w:spacing w:line="280" w:lineRule="exact"/>
              <w:ind w:rightChars="20" w:right="48"/>
              <w:jc w:val="right"/>
            </w:pPr>
          </w:p>
        </w:tc>
        <w:tc>
          <w:tcPr>
            <w:tcW w:w="1190" w:type="dxa"/>
            <w:tcBorders>
              <w:top w:val="nil"/>
              <w:bottom w:val="nil"/>
              <w:right w:val="single" w:sz="6" w:space="0" w:color="auto"/>
            </w:tcBorders>
            <w:vAlign w:val="bottom"/>
          </w:tcPr>
          <w:p w:rsidR="0052431E" w:rsidRPr="0052431E" w:rsidRDefault="0052431E" w:rsidP="0052431E">
            <w:pPr>
              <w:spacing w:line="280" w:lineRule="exact"/>
              <w:ind w:rightChars="50" w:right="120"/>
              <w:jc w:val="right"/>
            </w:pPr>
            <w:r w:rsidRPr="0052431E">
              <w:t>-1,225</w:t>
            </w:r>
          </w:p>
        </w:tc>
        <w:tc>
          <w:tcPr>
            <w:tcW w:w="918" w:type="dxa"/>
            <w:tcBorders>
              <w:top w:val="nil"/>
              <w:bottom w:val="nil"/>
              <w:right w:val="single" w:sz="12" w:space="0" w:color="auto"/>
            </w:tcBorders>
            <w:vAlign w:val="bottom"/>
          </w:tcPr>
          <w:p w:rsidR="0052431E" w:rsidRPr="0052431E" w:rsidRDefault="0052431E" w:rsidP="0052431E">
            <w:pPr>
              <w:spacing w:line="280" w:lineRule="exact"/>
              <w:ind w:rightChars="20" w:right="48"/>
              <w:jc w:val="right"/>
            </w:pPr>
            <w:r w:rsidRPr="0052431E">
              <w:t xml:space="preserve">-59.3 </w:t>
            </w:r>
          </w:p>
        </w:tc>
      </w:tr>
      <w:tr w:rsidR="0052431E" w:rsidRPr="00E520D4" w:rsidTr="006569CE">
        <w:trPr>
          <w:trHeight w:hRule="exact" w:val="454"/>
        </w:trPr>
        <w:tc>
          <w:tcPr>
            <w:tcW w:w="3193" w:type="dxa"/>
            <w:tcBorders>
              <w:top w:val="nil"/>
              <w:left w:val="single" w:sz="12" w:space="0" w:color="auto"/>
              <w:bottom w:val="nil"/>
            </w:tcBorders>
            <w:vAlign w:val="bottom"/>
          </w:tcPr>
          <w:p w:rsidR="0052431E" w:rsidRPr="00E520D4" w:rsidRDefault="0052431E" w:rsidP="005216E7">
            <w:pPr>
              <w:spacing w:line="280" w:lineRule="exact"/>
              <w:ind w:firstLineChars="180" w:firstLine="454"/>
              <w:jc w:val="both"/>
              <w:rPr>
                <w:rFonts w:eastAsia="標楷體"/>
                <w:color w:val="000000"/>
                <w:spacing w:val="-4"/>
                <w:sz w:val="26"/>
                <w:szCs w:val="32"/>
              </w:rPr>
            </w:pPr>
            <w:r w:rsidRPr="00E520D4">
              <w:rPr>
                <w:rFonts w:eastAsia="標楷體" w:hint="eastAsia"/>
                <w:color w:val="000000"/>
                <w:spacing w:val="-4"/>
                <w:sz w:val="26"/>
                <w:szCs w:val="32"/>
              </w:rPr>
              <w:t>債務之舉借</w:t>
            </w:r>
          </w:p>
        </w:tc>
        <w:tc>
          <w:tcPr>
            <w:tcW w:w="1194" w:type="dxa"/>
            <w:tcBorders>
              <w:top w:val="nil"/>
              <w:bottom w:val="nil"/>
            </w:tcBorders>
            <w:vAlign w:val="bottom"/>
          </w:tcPr>
          <w:p w:rsidR="0052431E" w:rsidRPr="0052431E" w:rsidRDefault="0052431E" w:rsidP="0052431E">
            <w:pPr>
              <w:spacing w:line="280" w:lineRule="exact"/>
              <w:ind w:rightChars="50" w:right="120"/>
              <w:jc w:val="right"/>
            </w:pPr>
            <w:r w:rsidRPr="0052431E">
              <w:t xml:space="preserve">840 </w:t>
            </w:r>
          </w:p>
        </w:tc>
        <w:tc>
          <w:tcPr>
            <w:tcW w:w="836" w:type="dxa"/>
            <w:tcBorders>
              <w:top w:val="nil"/>
              <w:bottom w:val="nil"/>
            </w:tcBorders>
            <w:vAlign w:val="bottom"/>
          </w:tcPr>
          <w:p w:rsidR="0052431E" w:rsidRPr="0052431E" w:rsidRDefault="0052431E" w:rsidP="0052431E">
            <w:pPr>
              <w:spacing w:line="280" w:lineRule="exact"/>
              <w:ind w:rightChars="20" w:right="48"/>
              <w:jc w:val="right"/>
            </w:pPr>
          </w:p>
        </w:tc>
        <w:tc>
          <w:tcPr>
            <w:tcW w:w="1193" w:type="dxa"/>
            <w:tcBorders>
              <w:top w:val="nil"/>
              <w:bottom w:val="nil"/>
              <w:right w:val="single" w:sz="6" w:space="0" w:color="auto"/>
            </w:tcBorders>
            <w:vAlign w:val="bottom"/>
          </w:tcPr>
          <w:p w:rsidR="0052431E" w:rsidRPr="0052431E" w:rsidRDefault="0052431E" w:rsidP="0052431E">
            <w:pPr>
              <w:spacing w:line="280" w:lineRule="exact"/>
              <w:ind w:rightChars="50" w:right="120"/>
              <w:jc w:val="right"/>
            </w:pPr>
            <w:r w:rsidRPr="0052431E">
              <w:t>2,065</w:t>
            </w:r>
          </w:p>
        </w:tc>
        <w:tc>
          <w:tcPr>
            <w:tcW w:w="836" w:type="dxa"/>
            <w:tcBorders>
              <w:top w:val="nil"/>
              <w:bottom w:val="nil"/>
              <w:right w:val="single" w:sz="6" w:space="0" w:color="auto"/>
            </w:tcBorders>
            <w:vAlign w:val="bottom"/>
          </w:tcPr>
          <w:p w:rsidR="0052431E" w:rsidRPr="0052431E" w:rsidRDefault="0052431E" w:rsidP="0052431E">
            <w:pPr>
              <w:spacing w:line="280" w:lineRule="exact"/>
              <w:ind w:rightChars="20" w:right="48"/>
              <w:jc w:val="right"/>
            </w:pPr>
          </w:p>
        </w:tc>
        <w:tc>
          <w:tcPr>
            <w:tcW w:w="1190" w:type="dxa"/>
            <w:tcBorders>
              <w:top w:val="nil"/>
              <w:bottom w:val="nil"/>
              <w:right w:val="single" w:sz="6" w:space="0" w:color="auto"/>
            </w:tcBorders>
            <w:vAlign w:val="bottom"/>
          </w:tcPr>
          <w:p w:rsidR="0052431E" w:rsidRPr="0052431E" w:rsidRDefault="0052431E" w:rsidP="0052431E">
            <w:pPr>
              <w:spacing w:line="280" w:lineRule="exact"/>
              <w:ind w:rightChars="50" w:right="120"/>
              <w:jc w:val="right"/>
            </w:pPr>
            <w:r w:rsidRPr="0052431E">
              <w:t>-1,225</w:t>
            </w:r>
          </w:p>
        </w:tc>
        <w:tc>
          <w:tcPr>
            <w:tcW w:w="918" w:type="dxa"/>
            <w:tcBorders>
              <w:top w:val="nil"/>
              <w:bottom w:val="nil"/>
              <w:right w:val="single" w:sz="12" w:space="0" w:color="auto"/>
            </w:tcBorders>
            <w:vAlign w:val="bottom"/>
          </w:tcPr>
          <w:p w:rsidR="0052431E" w:rsidRPr="0052431E" w:rsidRDefault="0052431E" w:rsidP="0052431E">
            <w:pPr>
              <w:spacing w:line="280" w:lineRule="exact"/>
              <w:ind w:rightChars="20" w:right="48"/>
              <w:jc w:val="right"/>
            </w:pPr>
            <w:r w:rsidRPr="0052431E">
              <w:t xml:space="preserve">-59.3 </w:t>
            </w:r>
          </w:p>
        </w:tc>
      </w:tr>
      <w:tr w:rsidR="0052431E" w:rsidRPr="00E520D4" w:rsidTr="006569CE">
        <w:trPr>
          <w:trHeight w:hRule="exact" w:val="567"/>
        </w:trPr>
        <w:tc>
          <w:tcPr>
            <w:tcW w:w="3193" w:type="dxa"/>
            <w:tcBorders>
              <w:top w:val="nil"/>
              <w:left w:val="single" w:sz="12" w:space="0" w:color="auto"/>
              <w:bottom w:val="nil"/>
            </w:tcBorders>
            <w:vAlign w:val="bottom"/>
          </w:tcPr>
          <w:p w:rsidR="0052431E" w:rsidRPr="00E520D4" w:rsidRDefault="0052431E" w:rsidP="0052431E">
            <w:pPr>
              <w:spacing w:line="280" w:lineRule="exact"/>
              <w:jc w:val="both"/>
              <w:rPr>
                <w:rFonts w:eastAsia="標楷體"/>
                <w:color w:val="000000"/>
                <w:spacing w:val="-4"/>
                <w:sz w:val="26"/>
                <w:szCs w:val="32"/>
              </w:rPr>
            </w:pPr>
            <w:r w:rsidRPr="00E520D4">
              <w:rPr>
                <w:rFonts w:eastAsia="標楷體"/>
                <w:color w:val="000000"/>
                <w:spacing w:val="-4"/>
                <w:sz w:val="26"/>
                <w:szCs w:val="32"/>
              </w:rPr>
              <w:t>6.</w:t>
            </w:r>
            <w:r w:rsidRPr="00E520D4">
              <w:rPr>
                <w:rFonts w:eastAsia="標楷體" w:hint="eastAsia"/>
                <w:color w:val="000000"/>
                <w:spacing w:val="-4"/>
                <w:sz w:val="26"/>
                <w:szCs w:val="32"/>
              </w:rPr>
              <w:t>總決算規模</w:t>
            </w:r>
            <w:r w:rsidRPr="00E520D4">
              <w:rPr>
                <w:rFonts w:eastAsia="標楷體"/>
                <w:color w:val="000000"/>
                <w:spacing w:val="-4"/>
                <w:sz w:val="22"/>
                <w:szCs w:val="32"/>
              </w:rPr>
              <w:t>(2+4)</w:t>
            </w:r>
          </w:p>
        </w:tc>
        <w:tc>
          <w:tcPr>
            <w:tcW w:w="1194" w:type="dxa"/>
            <w:tcBorders>
              <w:top w:val="nil"/>
              <w:bottom w:val="nil"/>
            </w:tcBorders>
            <w:vAlign w:val="bottom"/>
          </w:tcPr>
          <w:p w:rsidR="0052431E" w:rsidRPr="0052431E" w:rsidRDefault="0052431E" w:rsidP="0052431E">
            <w:pPr>
              <w:spacing w:line="280" w:lineRule="exact"/>
              <w:ind w:rightChars="50" w:right="120"/>
              <w:jc w:val="right"/>
            </w:pPr>
            <w:r w:rsidRPr="0052431E">
              <w:t>20,053</w:t>
            </w:r>
          </w:p>
        </w:tc>
        <w:tc>
          <w:tcPr>
            <w:tcW w:w="836" w:type="dxa"/>
            <w:tcBorders>
              <w:top w:val="nil"/>
              <w:bottom w:val="nil"/>
            </w:tcBorders>
            <w:vAlign w:val="bottom"/>
          </w:tcPr>
          <w:p w:rsidR="0052431E" w:rsidRPr="0052431E" w:rsidRDefault="0052431E" w:rsidP="0052431E">
            <w:pPr>
              <w:spacing w:line="280" w:lineRule="exact"/>
              <w:ind w:rightChars="20" w:right="48"/>
              <w:jc w:val="right"/>
            </w:pPr>
          </w:p>
        </w:tc>
        <w:tc>
          <w:tcPr>
            <w:tcW w:w="1193" w:type="dxa"/>
            <w:tcBorders>
              <w:top w:val="nil"/>
              <w:bottom w:val="nil"/>
              <w:right w:val="single" w:sz="6" w:space="0" w:color="auto"/>
            </w:tcBorders>
            <w:vAlign w:val="bottom"/>
          </w:tcPr>
          <w:p w:rsidR="0052431E" w:rsidRPr="0052431E" w:rsidRDefault="0052431E" w:rsidP="0052431E">
            <w:pPr>
              <w:spacing w:line="280" w:lineRule="exact"/>
              <w:ind w:rightChars="50" w:right="120"/>
              <w:jc w:val="right"/>
            </w:pPr>
            <w:r w:rsidRPr="0052431E">
              <w:t>20,480</w:t>
            </w:r>
          </w:p>
        </w:tc>
        <w:tc>
          <w:tcPr>
            <w:tcW w:w="836" w:type="dxa"/>
            <w:tcBorders>
              <w:top w:val="nil"/>
              <w:bottom w:val="nil"/>
              <w:right w:val="single" w:sz="6" w:space="0" w:color="auto"/>
            </w:tcBorders>
            <w:vAlign w:val="bottom"/>
          </w:tcPr>
          <w:p w:rsidR="0052431E" w:rsidRPr="0052431E" w:rsidRDefault="0052431E" w:rsidP="0052431E">
            <w:pPr>
              <w:spacing w:line="280" w:lineRule="exact"/>
              <w:ind w:rightChars="20" w:right="48"/>
              <w:jc w:val="right"/>
            </w:pPr>
          </w:p>
        </w:tc>
        <w:tc>
          <w:tcPr>
            <w:tcW w:w="1190" w:type="dxa"/>
            <w:tcBorders>
              <w:top w:val="nil"/>
              <w:bottom w:val="nil"/>
              <w:right w:val="single" w:sz="6" w:space="0" w:color="auto"/>
            </w:tcBorders>
            <w:vAlign w:val="bottom"/>
          </w:tcPr>
          <w:p w:rsidR="0052431E" w:rsidRPr="0052431E" w:rsidRDefault="0052431E" w:rsidP="0052431E">
            <w:pPr>
              <w:spacing w:line="280" w:lineRule="exact"/>
              <w:ind w:rightChars="50" w:right="120"/>
              <w:jc w:val="right"/>
            </w:pPr>
            <w:r w:rsidRPr="0052431E">
              <w:t>-427</w:t>
            </w:r>
          </w:p>
        </w:tc>
        <w:tc>
          <w:tcPr>
            <w:tcW w:w="918" w:type="dxa"/>
            <w:tcBorders>
              <w:top w:val="nil"/>
              <w:bottom w:val="nil"/>
              <w:right w:val="single" w:sz="12" w:space="0" w:color="auto"/>
            </w:tcBorders>
            <w:vAlign w:val="bottom"/>
          </w:tcPr>
          <w:p w:rsidR="0052431E" w:rsidRPr="0052431E" w:rsidRDefault="0052431E" w:rsidP="0052431E">
            <w:pPr>
              <w:spacing w:line="280" w:lineRule="exact"/>
              <w:ind w:rightChars="20" w:right="48"/>
              <w:jc w:val="right"/>
            </w:pPr>
            <w:r w:rsidRPr="0052431E">
              <w:t xml:space="preserve">-2.1 </w:t>
            </w:r>
          </w:p>
        </w:tc>
      </w:tr>
      <w:tr w:rsidR="0052431E" w:rsidRPr="00E520D4" w:rsidTr="006569CE">
        <w:trPr>
          <w:trHeight w:hRule="exact" w:val="885"/>
        </w:trPr>
        <w:tc>
          <w:tcPr>
            <w:tcW w:w="3193" w:type="dxa"/>
            <w:tcBorders>
              <w:top w:val="nil"/>
              <w:left w:val="single" w:sz="12" w:space="0" w:color="auto"/>
              <w:bottom w:val="nil"/>
            </w:tcBorders>
            <w:vAlign w:val="bottom"/>
          </w:tcPr>
          <w:p w:rsidR="0052431E" w:rsidRPr="00E520D4" w:rsidRDefault="0052431E" w:rsidP="0052431E">
            <w:pPr>
              <w:spacing w:line="320" w:lineRule="exact"/>
              <w:jc w:val="both"/>
              <w:rPr>
                <w:rFonts w:eastAsia="標楷體"/>
                <w:color w:val="000000"/>
                <w:spacing w:val="-8"/>
                <w:sz w:val="26"/>
                <w:szCs w:val="32"/>
              </w:rPr>
            </w:pPr>
            <w:r w:rsidRPr="00E520D4">
              <w:rPr>
                <w:rFonts w:eastAsia="標楷體"/>
                <w:color w:val="000000"/>
                <w:spacing w:val="-4"/>
                <w:sz w:val="26"/>
                <w:szCs w:val="32"/>
              </w:rPr>
              <w:t>7.</w:t>
            </w:r>
            <w:r w:rsidRPr="00E520D4">
              <w:rPr>
                <w:rFonts w:eastAsia="標楷體" w:hint="eastAsia"/>
                <w:color w:val="000000"/>
                <w:spacing w:val="-8"/>
                <w:sz w:val="26"/>
                <w:szCs w:val="32"/>
              </w:rPr>
              <w:t>融資調度占總決算</w:t>
            </w:r>
          </w:p>
          <w:p w:rsidR="0052431E" w:rsidRPr="00E520D4" w:rsidRDefault="0052431E" w:rsidP="00A12DEC">
            <w:pPr>
              <w:spacing w:line="320" w:lineRule="exact"/>
              <w:ind w:firstLineChars="86" w:firstLine="210"/>
              <w:jc w:val="both"/>
              <w:rPr>
                <w:rFonts w:eastAsia="標楷體"/>
                <w:color w:val="000000"/>
                <w:spacing w:val="-4"/>
                <w:sz w:val="26"/>
                <w:szCs w:val="32"/>
              </w:rPr>
            </w:pPr>
            <w:r w:rsidRPr="00E520D4">
              <w:rPr>
                <w:rFonts w:eastAsia="標楷體" w:hint="eastAsia"/>
                <w:color w:val="000000"/>
                <w:spacing w:val="-8"/>
                <w:sz w:val="26"/>
                <w:szCs w:val="32"/>
              </w:rPr>
              <w:t>之比率</w:t>
            </w:r>
            <w:r w:rsidRPr="00E520D4">
              <w:rPr>
                <w:rFonts w:eastAsia="標楷體"/>
                <w:color w:val="000000"/>
                <w:spacing w:val="-8"/>
                <w:sz w:val="26"/>
                <w:szCs w:val="32"/>
              </w:rPr>
              <w:t>(</w:t>
            </w:r>
            <w:r w:rsidRPr="00E520D4">
              <w:rPr>
                <w:rFonts w:eastAsia="標楷體" w:hint="eastAsia"/>
                <w:color w:val="000000"/>
                <w:spacing w:val="-8"/>
                <w:sz w:val="26"/>
                <w:szCs w:val="32"/>
              </w:rPr>
              <w:t>％</w:t>
            </w:r>
            <w:r w:rsidRPr="00E520D4">
              <w:rPr>
                <w:rFonts w:eastAsia="標楷體"/>
                <w:color w:val="000000"/>
                <w:spacing w:val="-8"/>
                <w:sz w:val="26"/>
                <w:szCs w:val="32"/>
              </w:rPr>
              <w:t>)</w:t>
            </w:r>
          </w:p>
        </w:tc>
        <w:tc>
          <w:tcPr>
            <w:tcW w:w="1194" w:type="dxa"/>
            <w:tcBorders>
              <w:top w:val="nil"/>
              <w:bottom w:val="nil"/>
            </w:tcBorders>
            <w:vAlign w:val="bottom"/>
          </w:tcPr>
          <w:p w:rsidR="0052431E" w:rsidRPr="0052431E" w:rsidRDefault="0052431E" w:rsidP="0052431E">
            <w:pPr>
              <w:ind w:rightChars="50" w:right="120"/>
              <w:jc w:val="right"/>
            </w:pPr>
            <w:r w:rsidRPr="0052431E">
              <w:rPr>
                <w:rFonts w:hint="eastAsia"/>
              </w:rPr>
              <w:t xml:space="preserve">　</w:t>
            </w:r>
          </w:p>
        </w:tc>
        <w:tc>
          <w:tcPr>
            <w:tcW w:w="836" w:type="dxa"/>
            <w:tcBorders>
              <w:top w:val="nil"/>
              <w:bottom w:val="nil"/>
            </w:tcBorders>
            <w:vAlign w:val="bottom"/>
          </w:tcPr>
          <w:p w:rsidR="0052431E" w:rsidRPr="0052431E" w:rsidRDefault="0052431E" w:rsidP="0052431E">
            <w:pPr>
              <w:ind w:rightChars="20" w:right="48"/>
              <w:jc w:val="right"/>
            </w:pPr>
            <w:r w:rsidRPr="0052431E">
              <w:rPr>
                <w:rFonts w:hint="eastAsia"/>
              </w:rPr>
              <w:t>4.2</w:t>
            </w:r>
            <w:r w:rsidRPr="0052431E">
              <w:t xml:space="preserve"> </w:t>
            </w:r>
          </w:p>
        </w:tc>
        <w:tc>
          <w:tcPr>
            <w:tcW w:w="1193" w:type="dxa"/>
            <w:tcBorders>
              <w:top w:val="nil"/>
              <w:bottom w:val="nil"/>
              <w:right w:val="single" w:sz="6" w:space="0" w:color="auto"/>
            </w:tcBorders>
            <w:vAlign w:val="bottom"/>
          </w:tcPr>
          <w:p w:rsidR="0052431E" w:rsidRPr="0052431E" w:rsidRDefault="0052431E" w:rsidP="0052431E">
            <w:pPr>
              <w:ind w:rightChars="50" w:right="120"/>
              <w:jc w:val="right"/>
            </w:pPr>
            <w:r w:rsidRPr="0052431E">
              <w:rPr>
                <w:rFonts w:hint="eastAsia"/>
              </w:rPr>
              <w:t xml:space="preserve">　</w:t>
            </w:r>
          </w:p>
        </w:tc>
        <w:tc>
          <w:tcPr>
            <w:tcW w:w="836" w:type="dxa"/>
            <w:tcBorders>
              <w:top w:val="nil"/>
              <w:bottom w:val="nil"/>
              <w:right w:val="single" w:sz="6" w:space="0" w:color="auto"/>
            </w:tcBorders>
            <w:vAlign w:val="bottom"/>
          </w:tcPr>
          <w:p w:rsidR="0052431E" w:rsidRPr="0052431E" w:rsidRDefault="0052431E" w:rsidP="0052431E">
            <w:pPr>
              <w:ind w:rightChars="20" w:right="48"/>
              <w:jc w:val="right"/>
            </w:pPr>
            <w:r w:rsidRPr="0052431E">
              <w:t xml:space="preserve">10.1 </w:t>
            </w:r>
          </w:p>
        </w:tc>
        <w:tc>
          <w:tcPr>
            <w:tcW w:w="1190" w:type="dxa"/>
            <w:tcBorders>
              <w:top w:val="nil"/>
              <w:bottom w:val="nil"/>
              <w:right w:val="single" w:sz="6" w:space="0" w:color="auto"/>
            </w:tcBorders>
            <w:vAlign w:val="bottom"/>
          </w:tcPr>
          <w:p w:rsidR="0052431E" w:rsidRPr="0052431E" w:rsidRDefault="0052431E" w:rsidP="0052431E">
            <w:pPr>
              <w:spacing w:line="280" w:lineRule="exact"/>
              <w:ind w:rightChars="50" w:right="120"/>
              <w:jc w:val="right"/>
            </w:pPr>
            <w:r w:rsidRPr="0052431E">
              <w:rPr>
                <w:rFonts w:hint="eastAsia"/>
              </w:rPr>
              <w:t xml:space="preserve">　</w:t>
            </w:r>
          </w:p>
        </w:tc>
        <w:tc>
          <w:tcPr>
            <w:tcW w:w="918" w:type="dxa"/>
            <w:tcBorders>
              <w:top w:val="nil"/>
              <w:bottom w:val="nil"/>
              <w:right w:val="single" w:sz="12" w:space="0" w:color="auto"/>
            </w:tcBorders>
            <w:vAlign w:val="bottom"/>
          </w:tcPr>
          <w:p w:rsidR="0052431E" w:rsidRPr="0052431E" w:rsidRDefault="0052431E" w:rsidP="0052431E">
            <w:pPr>
              <w:spacing w:line="280" w:lineRule="exact"/>
              <w:jc w:val="right"/>
              <w:rPr>
                <w:rFonts w:eastAsia="標楷體" w:cs="新細明體"/>
                <w:szCs w:val="24"/>
              </w:rPr>
            </w:pPr>
            <w:r w:rsidRPr="0052431E">
              <w:rPr>
                <w:rFonts w:eastAsia="標楷體" w:hint="eastAsia"/>
              </w:rPr>
              <w:t xml:space="preserve">　</w:t>
            </w:r>
          </w:p>
        </w:tc>
      </w:tr>
      <w:tr w:rsidR="0052431E" w:rsidRPr="00E520D4" w:rsidTr="006569CE">
        <w:trPr>
          <w:trHeight w:hRule="exact" w:val="567"/>
        </w:trPr>
        <w:tc>
          <w:tcPr>
            <w:tcW w:w="3193" w:type="dxa"/>
            <w:tcBorders>
              <w:top w:val="nil"/>
              <w:left w:val="single" w:sz="12" w:space="0" w:color="auto"/>
              <w:bottom w:val="nil"/>
            </w:tcBorders>
            <w:vAlign w:val="bottom"/>
          </w:tcPr>
          <w:p w:rsidR="0052431E" w:rsidRPr="00E520D4" w:rsidRDefault="0052431E" w:rsidP="0052431E">
            <w:pPr>
              <w:spacing w:line="320" w:lineRule="exact"/>
              <w:jc w:val="both"/>
              <w:rPr>
                <w:rFonts w:eastAsia="標楷體"/>
                <w:color w:val="000000"/>
                <w:spacing w:val="-4"/>
                <w:sz w:val="26"/>
                <w:szCs w:val="32"/>
              </w:rPr>
            </w:pPr>
            <w:r w:rsidRPr="00E520D4">
              <w:rPr>
                <w:rFonts w:eastAsia="標楷體"/>
                <w:color w:val="000000"/>
                <w:spacing w:val="-4"/>
                <w:sz w:val="26"/>
                <w:szCs w:val="32"/>
              </w:rPr>
              <w:t>8.</w:t>
            </w:r>
            <w:r w:rsidRPr="00E520D4">
              <w:rPr>
                <w:rFonts w:eastAsia="標楷體" w:hint="eastAsia"/>
                <w:color w:val="000000"/>
                <w:spacing w:val="-4"/>
                <w:sz w:val="26"/>
                <w:szCs w:val="32"/>
              </w:rPr>
              <w:t>經常收支賸餘</w:t>
            </w:r>
          </w:p>
        </w:tc>
        <w:tc>
          <w:tcPr>
            <w:tcW w:w="1194" w:type="dxa"/>
            <w:tcBorders>
              <w:top w:val="nil"/>
              <w:bottom w:val="nil"/>
            </w:tcBorders>
            <w:vAlign w:val="bottom"/>
          </w:tcPr>
          <w:p w:rsidR="0052431E" w:rsidRPr="0052431E" w:rsidRDefault="0052431E" w:rsidP="0052431E">
            <w:pPr>
              <w:ind w:rightChars="50" w:right="120"/>
              <w:jc w:val="right"/>
            </w:pPr>
            <w:r w:rsidRPr="0052431E">
              <w:t>2,808</w:t>
            </w:r>
          </w:p>
        </w:tc>
        <w:tc>
          <w:tcPr>
            <w:tcW w:w="836" w:type="dxa"/>
            <w:tcBorders>
              <w:top w:val="nil"/>
              <w:bottom w:val="nil"/>
            </w:tcBorders>
            <w:vAlign w:val="bottom"/>
          </w:tcPr>
          <w:p w:rsidR="0052431E" w:rsidRPr="0052431E" w:rsidRDefault="0052431E" w:rsidP="0052431E">
            <w:pPr>
              <w:jc w:val="right"/>
              <w:rPr>
                <w:rFonts w:eastAsia="標楷體" w:cs="新細明體"/>
                <w:szCs w:val="24"/>
              </w:rPr>
            </w:pPr>
            <w:r w:rsidRPr="0052431E">
              <w:rPr>
                <w:rFonts w:eastAsia="標楷體" w:hint="eastAsia"/>
              </w:rPr>
              <w:t xml:space="preserve">　</w:t>
            </w:r>
          </w:p>
        </w:tc>
        <w:tc>
          <w:tcPr>
            <w:tcW w:w="1193" w:type="dxa"/>
            <w:tcBorders>
              <w:top w:val="nil"/>
              <w:bottom w:val="nil"/>
              <w:right w:val="single" w:sz="6" w:space="0" w:color="auto"/>
            </w:tcBorders>
            <w:vAlign w:val="bottom"/>
          </w:tcPr>
          <w:p w:rsidR="0052431E" w:rsidRPr="0052431E" w:rsidRDefault="0052431E" w:rsidP="00744CAD">
            <w:pPr>
              <w:ind w:rightChars="50" w:right="120"/>
              <w:jc w:val="right"/>
            </w:pPr>
            <w:r w:rsidRPr="0052431E">
              <w:t>1,</w:t>
            </w:r>
            <w:r w:rsidR="00744CAD">
              <w:t>521</w:t>
            </w:r>
          </w:p>
        </w:tc>
        <w:tc>
          <w:tcPr>
            <w:tcW w:w="836" w:type="dxa"/>
            <w:tcBorders>
              <w:top w:val="nil"/>
              <w:bottom w:val="nil"/>
              <w:right w:val="single" w:sz="6" w:space="0" w:color="auto"/>
            </w:tcBorders>
            <w:vAlign w:val="bottom"/>
          </w:tcPr>
          <w:p w:rsidR="0052431E" w:rsidRPr="0052431E" w:rsidRDefault="0052431E" w:rsidP="0052431E">
            <w:pPr>
              <w:ind w:rightChars="20" w:right="48"/>
              <w:jc w:val="right"/>
            </w:pPr>
          </w:p>
        </w:tc>
        <w:tc>
          <w:tcPr>
            <w:tcW w:w="1190" w:type="dxa"/>
            <w:tcBorders>
              <w:top w:val="nil"/>
              <w:bottom w:val="nil"/>
              <w:right w:val="single" w:sz="6" w:space="0" w:color="auto"/>
            </w:tcBorders>
            <w:vAlign w:val="bottom"/>
          </w:tcPr>
          <w:p w:rsidR="0052431E" w:rsidRPr="0052431E" w:rsidRDefault="0052431E" w:rsidP="00BC5EF2">
            <w:pPr>
              <w:spacing w:line="280" w:lineRule="exact"/>
              <w:ind w:rightChars="50" w:right="120"/>
              <w:jc w:val="right"/>
            </w:pPr>
            <w:r w:rsidRPr="0052431E">
              <w:t>1,</w:t>
            </w:r>
            <w:r w:rsidR="00BC5EF2">
              <w:t>287</w:t>
            </w:r>
          </w:p>
        </w:tc>
        <w:tc>
          <w:tcPr>
            <w:tcW w:w="918" w:type="dxa"/>
            <w:tcBorders>
              <w:top w:val="nil"/>
              <w:bottom w:val="nil"/>
              <w:right w:val="single" w:sz="12" w:space="0" w:color="auto"/>
            </w:tcBorders>
            <w:vAlign w:val="bottom"/>
          </w:tcPr>
          <w:p w:rsidR="0052431E" w:rsidRPr="0052431E" w:rsidRDefault="0052431E" w:rsidP="0052431E">
            <w:pPr>
              <w:spacing w:line="280" w:lineRule="exact"/>
              <w:jc w:val="right"/>
              <w:rPr>
                <w:rFonts w:eastAsia="標楷體" w:cs="新細明體"/>
                <w:szCs w:val="24"/>
              </w:rPr>
            </w:pPr>
            <w:r w:rsidRPr="0052431E">
              <w:rPr>
                <w:rFonts w:eastAsia="標楷體" w:hint="eastAsia"/>
              </w:rPr>
              <w:t xml:space="preserve">　</w:t>
            </w:r>
          </w:p>
        </w:tc>
      </w:tr>
      <w:tr w:rsidR="0052431E" w:rsidRPr="00E520D4" w:rsidTr="006569CE">
        <w:trPr>
          <w:trHeight w:hRule="exact" w:val="1021"/>
        </w:trPr>
        <w:tc>
          <w:tcPr>
            <w:tcW w:w="3193" w:type="dxa"/>
            <w:tcBorders>
              <w:top w:val="nil"/>
              <w:left w:val="single" w:sz="12" w:space="0" w:color="auto"/>
              <w:bottom w:val="single" w:sz="12" w:space="0" w:color="auto"/>
            </w:tcBorders>
            <w:vAlign w:val="center"/>
          </w:tcPr>
          <w:p w:rsidR="0052431E" w:rsidRPr="00E520D4" w:rsidRDefault="0052431E" w:rsidP="0052431E">
            <w:pPr>
              <w:spacing w:line="320" w:lineRule="exact"/>
              <w:ind w:left="229" w:hangingChars="91" w:hanging="229"/>
              <w:rPr>
                <w:rFonts w:eastAsia="標楷體"/>
                <w:color w:val="000000"/>
                <w:spacing w:val="-8"/>
                <w:sz w:val="26"/>
                <w:szCs w:val="32"/>
              </w:rPr>
            </w:pPr>
            <w:r w:rsidRPr="00E520D4">
              <w:rPr>
                <w:rFonts w:eastAsia="標楷體"/>
                <w:color w:val="000000"/>
                <w:spacing w:val="-4"/>
                <w:sz w:val="26"/>
                <w:szCs w:val="32"/>
              </w:rPr>
              <w:t>9.</w:t>
            </w:r>
            <w:r w:rsidRPr="00E520D4">
              <w:rPr>
                <w:rFonts w:eastAsia="標楷體" w:hint="eastAsia"/>
                <w:color w:val="000000"/>
                <w:spacing w:val="-8"/>
                <w:sz w:val="26"/>
                <w:szCs w:val="32"/>
              </w:rPr>
              <w:t>經常收支賸餘占經常</w:t>
            </w:r>
          </w:p>
          <w:p w:rsidR="0052431E" w:rsidRPr="00E520D4" w:rsidRDefault="0052431E" w:rsidP="0052431E">
            <w:pPr>
              <w:spacing w:line="320" w:lineRule="exact"/>
              <w:ind w:leftChars="88" w:left="221" w:hangingChars="4" w:hanging="10"/>
              <w:rPr>
                <w:rFonts w:eastAsia="標楷體"/>
                <w:color w:val="000000"/>
                <w:spacing w:val="-4"/>
                <w:sz w:val="26"/>
                <w:szCs w:val="32"/>
              </w:rPr>
            </w:pPr>
            <w:r w:rsidRPr="00E520D4">
              <w:rPr>
                <w:rFonts w:eastAsia="標楷體" w:hint="eastAsia"/>
                <w:color w:val="000000"/>
                <w:spacing w:val="-8"/>
                <w:sz w:val="26"/>
                <w:szCs w:val="32"/>
              </w:rPr>
              <w:t>收入之比率</w:t>
            </w:r>
            <w:r w:rsidRPr="00E520D4">
              <w:rPr>
                <w:rFonts w:eastAsia="標楷體"/>
                <w:color w:val="000000"/>
                <w:spacing w:val="-8"/>
                <w:sz w:val="26"/>
                <w:szCs w:val="32"/>
              </w:rPr>
              <w:t>(</w:t>
            </w:r>
            <w:r w:rsidRPr="00E520D4">
              <w:rPr>
                <w:rFonts w:eastAsia="標楷體" w:hint="eastAsia"/>
                <w:color w:val="000000"/>
                <w:spacing w:val="-8"/>
                <w:sz w:val="26"/>
                <w:szCs w:val="32"/>
              </w:rPr>
              <w:t>％</w:t>
            </w:r>
            <w:r w:rsidRPr="00E520D4">
              <w:rPr>
                <w:rFonts w:eastAsia="標楷體"/>
                <w:color w:val="000000"/>
                <w:spacing w:val="-8"/>
                <w:sz w:val="26"/>
                <w:szCs w:val="32"/>
              </w:rPr>
              <w:t>)</w:t>
            </w:r>
          </w:p>
        </w:tc>
        <w:tc>
          <w:tcPr>
            <w:tcW w:w="1194" w:type="dxa"/>
            <w:tcBorders>
              <w:top w:val="nil"/>
              <w:bottom w:val="single" w:sz="12" w:space="0" w:color="auto"/>
            </w:tcBorders>
            <w:vAlign w:val="center"/>
          </w:tcPr>
          <w:p w:rsidR="0052431E" w:rsidRPr="0052431E" w:rsidRDefault="0052431E" w:rsidP="0052431E">
            <w:pPr>
              <w:ind w:rightChars="50" w:right="120"/>
              <w:jc w:val="right"/>
            </w:pPr>
          </w:p>
        </w:tc>
        <w:tc>
          <w:tcPr>
            <w:tcW w:w="836" w:type="dxa"/>
            <w:tcBorders>
              <w:top w:val="nil"/>
              <w:bottom w:val="single" w:sz="12" w:space="0" w:color="auto"/>
            </w:tcBorders>
            <w:vAlign w:val="center"/>
          </w:tcPr>
          <w:p w:rsidR="0052431E" w:rsidRPr="0052431E" w:rsidRDefault="0052431E" w:rsidP="0052431E">
            <w:pPr>
              <w:ind w:rightChars="20" w:right="48"/>
              <w:jc w:val="right"/>
            </w:pPr>
            <w:r w:rsidRPr="0052431E">
              <w:t xml:space="preserve">14.7 </w:t>
            </w:r>
          </w:p>
        </w:tc>
        <w:tc>
          <w:tcPr>
            <w:tcW w:w="1193" w:type="dxa"/>
            <w:tcBorders>
              <w:top w:val="nil"/>
              <w:bottom w:val="single" w:sz="12" w:space="0" w:color="auto"/>
              <w:right w:val="single" w:sz="6" w:space="0" w:color="auto"/>
            </w:tcBorders>
            <w:vAlign w:val="center"/>
          </w:tcPr>
          <w:p w:rsidR="0052431E" w:rsidRPr="0052431E" w:rsidRDefault="0052431E" w:rsidP="0052431E">
            <w:pPr>
              <w:jc w:val="right"/>
              <w:rPr>
                <w:rFonts w:eastAsia="標楷體" w:cs="新細明體"/>
                <w:szCs w:val="24"/>
              </w:rPr>
            </w:pPr>
            <w:r w:rsidRPr="0052431E">
              <w:rPr>
                <w:rFonts w:eastAsia="標楷體" w:hint="eastAsia"/>
              </w:rPr>
              <w:t xml:space="preserve">　</w:t>
            </w:r>
          </w:p>
        </w:tc>
        <w:tc>
          <w:tcPr>
            <w:tcW w:w="836" w:type="dxa"/>
            <w:tcBorders>
              <w:top w:val="nil"/>
              <w:bottom w:val="single" w:sz="12" w:space="0" w:color="auto"/>
              <w:right w:val="single" w:sz="6" w:space="0" w:color="auto"/>
            </w:tcBorders>
            <w:vAlign w:val="center"/>
          </w:tcPr>
          <w:p w:rsidR="0052431E" w:rsidRPr="0052431E" w:rsidRDefault="0052431E" w:rsidP="00744CAD">
            <w:pPr>
              <w:ind w:rightChars="20" w:right="48"/>
              <w:jc w:val="right"/>
            </w:pPr>
            <w:r w:rsidRPr="0052431E">
              <w:t xml:space="preserve"> 8.</w:t>
            </w:r>
            <w:r w:rsidR="00744CAD">
              <w:t>4</w:t>
            </w:r>
            <w:r w:rsidRPr="0052431E">
              <w:t xml:space="preserve"> </w:t>
            </w:r>
          </w:p>
        </w:tc>
        <w:tc>
          <w:tcPr>
            <w:tcW w:w="1190" w:type="dxa"/>
            <w:tcBorders>
              <w:top w:val="nil"/>
              <w:bottom w:val="single" w:sz="12" w:space="0" w:color="auto"/>
              <w:right w:val="single" w:sz="6" w:space="0" w:color="auto"/>
            </w:tcBorders>
            <w:vAlign w:val="center"/>
          </w:tcPr>
          <w:p w:rsidR="0052431E" w:rsidRPr="0052431E" w:rsidRDefault="0052431E" w:rsidP="0052431E">
            <w:pPr>
              <w:ind w:rightChars="50" w:right="120"/>
              <w:jc w:val="right"/>
            </w:pPr>
          </w:p>
        </w:tc>
        <w:tc>
          <w:tcPr>
            <w:tcW w:w="918" w:type="dxa"/>
            <w:tcBorders>
              <w:top w:val="nil"/>
              <w:bottom w:val="single" w:sz="12" w:space="0" w:color="auto"/>
              <w:right w:val="single" w:sz="12" w:space="0" w:color="auto"/>
            </w:tcBorders>
            <w:vAlign w:val="center"/>
          </w:tcPr>
          <w:p w:rsidR="0052431E" w:rsidRPr="0052431E" w:rsidRDefault="0052431E" w:rsidP="0052431E">
            <w:pPr>
              <w:ind w:rightChars="50" w:right="120"/>
              <w:jc w:val="right"/>
            </w:pPr>
          </w:p>
        </w:tc>
      </w:tr>
    </w:tbl>
    <w:p w:rsidR="005216E7" w:rsidRPr="00646DAD" w:rsidRDefault="005216E7" w:rsidP="006B162C">
      <w:pPr>
        <w:pStyle w:val="20"/>
        <w:spacing w:line="240" w:lineRule="exact"/>
        <w:ind w:leftChars="45" w:left="468" w:hangingChars="200" w:hanging="360"/>
        <w:rPr>
          <w:rFonts w:ascii="標楷體" w:eastAsia="標楷體" w:hAnsi="標楷體"/>
          <w:color w:val="000000"/>
          <w:sz w:val="18"/>
          <w:szCs w:val="18"/>
        </w:rPr>
      </w:pPr>
      <w:proofErr w:type="gramStart"/>
      <w:r w:rsidRPr="00646DAD">
        <w:rPr>
          <w:rFonts w:ascii="標楷體" w:eastAsia="標楷體" w:hAnsi="標楷體" w:hint="eastAsia"/>
          <w:color w:val="000000"/>
          <w:sz w:val="18"/>
          <w:szCs w:val="18"/>
        </w:rPr>
        <w:t>註</w:t>
      </w:r>
      <w:proofErr w:type="gramEnd"/>
      <w:r w:rsidRPr="00646DAD">
        <w:rPr>
          <w:rFonts w:ascii="標楷體" w:eastAsia="標楷體" w:hAnsi="標楷體" w:hint="eastAsia"/>
          <w:color w:val="000000"/>
          <w:sz w:val="18"/>
          <w:szCs w:val="18"/>
        </w:rPr>
        <w:t>：</w:t>
      </w:r>
      <w:r w:rsidR="004521D9" w:rsidRPr="00646DAD">
        <w:rPr>
          <w:rFonts w:ascii="標楷體" w:eastAsia="標楷體" w:hAnsi="標楷體" w:hint="eastAsia"/>
          <w:color w:val="000000"/>
          <w:sz w:val="18"/>
          <w:szCs w:val="18"/>
        </w:rPr>
        <w:t>債務</w:t>
      </w:r>
      <w:r w:rsidR="006B162C" w:rsidRPr="006B162C">
        <w:rPr>
          <w:rFonts w:ascii="標楷體" w:eastAsia="標楷體" w:hAnsi="標楷體" w:hint="eastAsia"/>
          <w:color w:val="000000"/>
          <w:sz w:val="18"/>
          <w:szCs w:val="18"/>
        </w:rPr>
        <w:t>之償還</w:t>
      </w:r>
      <w:r w:rsidR="004521D9" w:rsidRPr="00646DAD">
        <w:rPr>
          <w:rFonts w:ascii="標楷體" w:eastAsia="標楷體" w:hAnsi="標楷體" w:hint="eastAsia"/>
          <w:color w:val="000000"/>
          <w:sz w:val="18"/>
          <w:szCs w:val="18"/>
        </w:rPr>
        <w:t>決算數較預算數增加3億元，係依立法院審議</w:t>
      </w:r>
      <w:proofErr w:type="gramStart"/>
      <w:r w:rsidR="004521D9" w:rsidRPr="00646DAD">
        <w:rPr>
          <w:rFonts w:ascii="標楷體" w:eastAsia="標楷體" w:hAnsi="標楷體" w:hint="eastAsia"/>
          <w:color w:val="000000"/>
          <w:sz w:val="18"/>
          <w:szCs w:val="18"/>
        </w:rPr>
        <w:t>106</w:t>
      </w:r>
      <w:proofErr w:type="gramEnd"/>
      <w:r w:rsidR="004521D9" w:rsidRPr="00646DAD">
        <w:rPr>
          <w:rFonts w:ascii="標楷體" w:eastAsia="標楷體" w:hAnsi="標楷體" w:hint="eastAsia"/>
          <w:color w:val="000000"/>
          <w:sz w:val="18"/>
          <w:szCs w:val="18"/>
        </w:rPr>
        <w:t>年度中央政府總預算案之結果增加稅課收入100億元，並決議融資調度部分，於執行</w:t>
      </w:r>
      <w:proofErr w:type="gramStart"/>
      <w:r w:rsidR="004521D9" w:rsidRPr="00646DAD">
        <w:rPr>
          <w:rFonts w:ascii="標楷體" w:eastAsia="標楷體" w:hAnsi="標楷體" w:hint="eastAsia"/>
          <w:color w:val="000000"/>
          <w:sz w:val="18"/>
          <w:szCs w:val="18"/>
        </w:rPr>
        <w:t>106</w:t>
      </w:r>
      <w:proofErr w:type="gramEnd"/>
      <w:r w:rsidR="004521D9" w:rsidRPr="00646DAD">
        <w:rPr>
          <w:rFonts w:ascii="標楷體" w:eastAsia="標楷體" w:hAnsi="標楷體" w:hint="eastAsia"/>
          <w:color w:val="000000"/>
          <w:sz w:val="18"/>
          <w:szCs w:val="18"/>
        </w:rPr>
        <w:t>年度債務還本時，補足</w:t>
      </w:r>
      <w:proofErr w:type="gramStart"/>
      <w:r w:rsidR="004521D9" w:rsidRPr="00646DAD">
        <w:rPr>
          <w:rFonts w:ascii="標楷體" w:eastAsia="標楷體" w:hAnsi="標楷體" w:hint="eastAsia"/>
          <w:color w:val="000000"/>
          <w:sz w:val="18"/>
          <w:szCs w:val="18"/>
        </w:rPr>
        <w:t>106</w:t>
      </w:r>
      <w:proofErr w:type="gramEnd"/>
      <w:r w:rsidR="004521D9" w:rsidRPr="00646DAD">
        <w:rPr>
          <w:rFonts w:ascii="標楷體" w:eastAsia="標楷體" w:hAnsi="標楷體" w:hint="eastAsia"/>
          <w:color w:val="000000"/>
          <w:sz w:val="18"/>
          <w:szCs w:val="18"/>
        </w:rPr>
        <w:t>年度債務還本預算數（740億元）未達稅課收入（總預算稅課收入14,693億元+流域綜</w:t>
      </w:r>
      <w:r w:rsidR="004521D9" w:rsidRPr="00646DAD">
        <w:rPr>
          <w:rFonts w:ascii="標楷體" w:eastAsia="標楷體" w:hAnsi="標楷體"/>
          <w:color w:val="000000"/>
          <w:sz w:val="18"/>
          <w:szCs w:val="18"/>
        </w:rPr>
        <w:t>合治理計</w:t>
      </w:r>
      <w:r w:rsidR="00DF6D6B">
        <w:rPr>
          <w:rFonts w:ascii="標楷體" w:eastAsia="標楷體" w:hAnsi="標楷體" w:hint="eastAsia"/>
          <w:color w:val="000000"/>
          <w:sz w:val="18"/>
          <w:szCs w:val="18"/>
        </w:rPr>
        <w:t>畫第2</w:t>
      </w:r>
      <w:r w:rsidR="004521D9" w:rsidRPr="00646DAD">
        <w:rPr>
          <w:rFonts w:ascii="標楷體" w:eastAsia="標楷體" w:hAnsi="標楷體" w:hint="eastAsia"/>
          <w:color w:val="000000"/>
          <w:sz w:val="18"/>
          <w:szCs w:val="18"/>
        </w:rPr>
        <w:t>期特</w:t>
      </w:r>
      <w:r w:rsidR="004521D9" w:rsidRPr="00646DAD">
        <w:rPr>
          <w:rFonts w:ascii="標楷體" w:eastAsia="標楷體" w:hAnsi="標楷體"/>
          <w:color w:val="000000"/>
          <w:sz w:val="18"/>
          <w:szCs w:val="18"/>
        </w:rPr>
        <w:t>別</w:t>
      </w:r>
      <w:r w:rsidR="004521D9" w:rsidRPr="00646DAD">
        <w:rPr>
          <w:rFonts w:ascii="標楷體" w:eastAsia="標楷體" w:hAnsi="標楷體" w:hint="eastAsia"/>
          <w:color w:val="000000"/>
          <w:sz w:val="18"/>
          <w:szCs w:val="18"/>
        </w:rPr>
        <w:t>預</w:t>
      </w:r>
      <w:r w:rsidR="004521D9" w:rsidRPr="00646DAD">
        <w:rPr>
          <w:rFonts w:ascii="標楷體" w:eastAsia="標楷體" w:hAnsi="標楷體"/>
          <w:color w:val="000000"/>
          <w:sz w:val="18"/>
          <w:szCs w:val="18"/>
        </w:rPr>
        <w:t>算</w:t>
      </w:r>
      <w:r w:rsidR="004521D9" w:rsidRPr="00646DAD">
        <w:rPr>
          <w:rFonts w:ascii="標楷體" w:eastAsia="標楷體" w:hAnsi="標楷體" w:hint="eastAsia"/>
          <w:color w:val="000000"/>
          <w:sz w:val="18"/>
          <w:szCs w:val="18"/>
        </w:rPr>
        <w:t>稅課收入157億元=14,850億元）之5％（14,850億元*5％ =743億元）差額。</w:t>
      </w:r>
    </w:p>
    <w:p w:rsidR="00924420" w:rsidRPr="005216E7" w:rsidRDefault="0052431E" w:rsidP="004521D9">
      <w:pPr>
        <w:pStyle w:val="20"/>
        <w:spacing w:beforeLines="100" w:before="240" w:line="640" w:lineRule="exact"/>
        <w:ind w:firstLineChars="300" w:firstLine="840"/>
        <w:rPr>
          <w:rFonts w:ascii="標楷體" w:eastAsia="標楷體" w:hAnsi="標楷體"/>
          <w:color w:val="000000"/>
          <w:sz w:val="40"/>
        </w:rPr>
      </w:pPr>
      <w:proofErr w:type="gramStart"/>
      <w:r w:rsidRPr="0052431E">
        <w:rPr>
          <w:rFonts w:ascii="標楷體" w:eastAsia="標楷體" w:hAnsi="標楷體" w:hint="eastAsia"/>
          <w:color w:val="000000"/>
          <w:sz w:val="28"/>
        </w:rPr>
        <w:t>105</w:t>
      </w:r>
      <w:proofErr w:type="gramEnd"/>
      <w:r w:rsidRPr="0052431E">
        <w:rPr>
          <w:rFonts w:ascii="標楷體" w:eastAsia="標楷體" w:hAnsi="標楷體" w:hint="eastAsia"/>
          <w:color w:val="000000"/>
          <w:sz w:val="28"/>
        </w:rPr>
        <w:t>年度中央政府總決算經審定結果，以前年度累計賸餘數為24億元，</w:t>
      </w:r>
      <w:r w:rsidR="00CE10C0">
        <w:rPr>
          <w:rFonts w:ascii="標楷體" w:eastAsia="標楷體" w:hAnsi="標楷體" w:hint="eastAsia"/>
          <w:color w:val="000000"/>
          <w:sz w:val="28"/>
        </w:rPr>
        <w:t>加計</w:t>
      </w:r>
      <w:r w:rsidRPr="0052431E">
        <w:rPr>
          <w:rFonts w:ascii="標楷體" w:eastAsia="標楷體" w:hAnsi="標楷體" w:hint="eastAsia"/>
          <w:color w:val="000000"/>
          <w:sz w:val="28"/>
        </w:rPr>
        <w:t>本年度</w:t>
      </w:r>
      <w:r w:rsidR="00CE10C0">
        <w:rPr>
          <w:rFonts w:ascii="標楷體" w:eastAsia="標楷體" w:hAnsi="標楷體" w:hint="eastAsia"/>
          <w:color w:val="000000"/>
          <w:sz w:val="28"/>
        </w:rPr>
        <w:t>註銷以</w:t>
      </w:r>
      <w:r w:rsidR="00CE10C0">
        <w:rPr>
          <w:rFonts w:ascii="標楷體" w:eastAsia="標楷體" w:hAnsi="標楷體"/>
          <w:color w:val="000000"/>
          <w:sz w:val="28"/>
        </w:rPr>
        <w:t>前年度</w:t>
      </w:r>
      <w:r w:rsidRPr="0052431E">
        <w:rPr>
          <w:rFonts w:ascii="標楷體" w:eastAsia="標楷體" w:hAnsi="標楷體" w:hint="eastAsia"/>
          <w:color w:val="000000"/>
          <w:sz w:val="28"/>
        </w:rPr>
        <w:t>歲出保留款等</w:t>
      </w:r>
      <w:r w:rsidR="00CE10C0">
        <w:rPr>
          <w:rFonts w:ascii="標楷體" w:eastAsia="標楷體" w:hAnsi="標楷體" w:hint="eastAsia"/>
          <w:color w:val="000000"/>
          <w:sz w:val="28"/>
        </w:rPr>
        <w:t>增加</w:t>
      </w:r>
      <w:r w:rsidRPr="0052431E">
        <w:rPr>
          <w:rFonts w:ascii="標楷體" w:eastAsia="標楷體" w:hAnsi="標楷體" w:hint="eastAsia"/>
          <w:color w:val="000000"/>
          <w:sz w:val="28"/>
        </w:rPr>
        <w:t>38億元後，</w:t>
      </w:r>
      <w:r w:rsidR="00CE10C0">
        <w:rPr>
          <w:rFonts w:ascii="標楷體" w:eastAsia="標楷體" w:hAnsi="標楷體" w:hint="eastAsia"/>
          <w:color w:val="000000"/>
          <w:sz w:val="28"/>
        </w:rPr>
        <w:t>截至</w:t>
      </w:r>
      <w:r w:rsidRPr="0052431E">
        <w:rPr>
          <w:rFonts w:ascii="標楷體" w:eastAsia="標楷體" w:hAnsi="標楷體" w:hint="eastAsia"/>
          <w:color w:val="000000"/>
          <w:sz w:val="28"/>
        </w:rPr>
        <w:t>本年度</w:t>
      </w:r>
      <w:proofErr w:type="gramStart"/>
      <w:r w:rsidRPr="0052431E">
        <w:rPr>
          <w:rFonts w:ascii="標楷體" w:eastAsia="標楷體" w:hAnsi="標楷體" w:hint="eastAsia"/>
          <w:color w:val="000000"/>
          <w:sz w:val="28"/>
        </w:rPr>
        <w:t>止</w:t>
      </w:r>
      <w:proofErr w:type="gramEnd"/>
      <w:r w:rsidRPr="0052431E">
        <w:rPr>
          <w:rFonts w:ascii="標楷體" w:eastAsia="標楷體" w:hAnsi="標楷體" w:hint="eastAsia"/>
          <w:color w:val="000000"/>
          <w:sz w:val="28"/>
        </w:rPr>
        <w:t>累計賸餘數為62億元；至本年度中央政府債務</w:t>
      </w:r>
      <w:proofErr w:type="gramStart"/>
      <w:r w:rsidRPr="0052431E">
        <w:rPr>
          <w:rFonts w:ascii="標楷體" w:eastAsia="標楷體" w:hAnsi="標楷體" w:hint="eastAsia"/>
          <w:color w:val="000000"/>
          <w:sz w:val="28"/>
        </w:rPr>
        <w:t>未償</w:t>
      </w:r>
      <w:proofErr w:type="gramEnd"/>
      <w:r w:rsidRPr="0052431E">
        <w:rPr>
          <w:rFonts w:ascii="標楷體" w:eastAsia="標楷體" w:hAnsi="標楷體" w:hint="eastAsia"/>
          <w:color w:val="000000"/>
          <w:sz w:val="28"/>
        </w:rPr>
        <w:t>餘額決算數5兆3,608億元，較</w:t>
      </w:r>
      <w:proofErr w:type="gramStart"/>
      <w:r w:rsidRPr="0052431E">
        <w:rPr>
          <w:rFonts w:ascii="標楷體" w:eastAsia="標楷體" w:hAnsi="標楷體" w:hint="eastAsia"/>
          <w:color w:val="000000"/>
          <w:sz w:val="28"/>
        </w:rPr>
        <w:t>105</w:t>
      </w:r>
      <w:proofErr w:type="gramEnd"/>
      <w:r w:rsidRPr="0052431E">
        <w:rPr>
          <w:rFonts w:ascii="標楷體" w:eastAsia="標楷體" w:hAnsi="標楷體" w:hint="eastAsia"/>
          <w:color w:val="000000"/>
          <w:sz w:val="28"/>
        </w:rPr>
        <w:t>年度決算審定數5兆3,44</w:t>
      </w:r>
      <w:r w:rsidR="00737118">
        <w:rPr>
          <w:rFonts w:ascii="標楷體" w:eastAsia="標楷體" w:hAnsi="標楷體"/>
          <w:color w:val="000000"/>
          <w:sz w:val="28"/>
        </w:rPr>
        <w:t>0</w:t>
      </w:r>
      <w:r w:rsidRPr="0052431E">
        <w:rPr>
          <w:rFonts w:ascii="標楷體" w:eastAsia="標楷體" w:hAnsi="標楷體" w:hint="eastAsia"/>
          <w:color w:val="000000"/>
          <w:sz w:val="28"/>
        </w:rPr>
        <w:t>億元，增加16</w:t>
      </w:r>
      <w:r w:rsidR="00737118">
        <w:rPr>
          <w:rFonts w:ascii="標楷體" w:eastAsia="標楷體" w:hAnsi="標楷體"/>
          <w:color w:val="000000"/>
          <w:sz w:val="28"/>
        </w:rPr>
        <w:t>8</w:t>
      </w:r>
      <w:r w:rsidRPr="0052431E">
        <w:rPr>
          <w:rFonts w:ascii="標楷體" w:eastAsia="標楷體" w:hAnsi="標楷體" w:hint="eastAsia"/>
          <w:color w:val="000000"/>
          <w:sz w:val="28"/>
        </w:rPr>
        <w:t>億元。</w:t>
      </w:r>
    </w:p>
    <w:p w:rsidR="005731DE" w:rsidRPr="00E520D4" w:rsidRDefault="005731DE" w:rsidP="005731DE">
      <w:pPr>
        <w:pStyle w:val="20"/>
        <w:spacing w:before="600" w:after="240" w:line="600" w:lineRule="exact"/>
        <w:ind w:firstLine="0"/>
        <w:rPr>
          <w:rFonts w:ascii="標楷體" w:eastAsia="標楷體"/>
          <w:color w:val="000000"/>
          <w:sz w:val="28"/>
        </w:rPr>
      </w:pPr>
      <w:r w:rsidRPr="00E520D4">
        <w:rPr>
          <w:rFonts w:ascii="標楷體" w:eastAsia="標楷體" w:hAnsi="標楷體" w:hint="eastAsia"/>
          <w:color w:val="000000"/>
          <w:sz w:val="40"/>
        </w:rPr>
        <w:lastRenderedPageBreak/>
        <w:t>壹、財務報告之簡述</w:t>
      </w:r>
    </w:p>
    <w:p w:rsidR="005731DE" w:rsidRPr="00E520D4" w:rsidRDefault="005731DE" w:rsidP="005731DE">
      <w:pPr>
        <w:pStyle w:val="40"/>
        <w:spacing w:before="400" w:afterLines="100" w:after="240" w:line="400" w:lineRule="exact"/>
        <w:ind w:firstLine="0"/>
        <w:rPr>
          <w:rFonts w:ascii="標楷體" w:eastAsia="標楷體"/>
          <w:color w:val="000000"/>
          <w:sz w:val="36"/>
        </w:rPr>
      </w:pPr>
      <w:r w:rsidRPr="00E520D4">
        <w:rPr>
          <w:rFonts w:ascii="標楷體" w:eastAsia="標楷體" w:hint="eastAsia"/>
          <w:color w:val="000000"/>
          <w:sz w:val="36"/>
        </w:rPr>
        <w:t>一、總預算執行概況</w:t>
      </w:r>
    </w:p>
    <w:p w:rsidR="005731DE" w:rsidRPr="00E520D4" w:rsidRDefault="005731DE" w:rsidP="005731DE">
      <w:pPr>
        <w:pStyle w:val="20"/>
        <w:spacing w:line="580" w:lineRule="exact"/>
        <w:ind w:firstLine="0"/>
        <w:rPr>
          <w:rFonts w:ascii="標楷體" w:eastAsia="標楷體" w:hAnsi="標楷體"/>
          <w:color w:val="000000"/>
          <w:sz w:val="28"/>
        </w:rPr>
      </w:pPr>
      <w:r w:rsidRPr="00E520D4">
        <w:rPr>
          <w:rFonts w:ascii="標楷體" w:eastAsia="標楷體" w:hint="eastAsia"/>
          <w:color w:val="000000"/>
          <w:sz w:val="28"/>
        </w:rPr>
        <w:t>（一）本年度歲入決算數與預算數之比較</w:t>
      </w:r>
    </w:p>
    <w:p w:rsidR="005731DE" w:rsidRPr="00E520D4" w:rsidRDefault="005731DE" w:rsidP="005731DE">
      <w:pPr>
        <w:pStyle w:val="5"/>
        <w:spacing w:line="580" w:lineRule="exact"/>
        <w:ind w:leftChars="350" w:left="840" w:firstLineChars="200" w:firstLine="560"/>
        <w:rPr>
          <w:rFonts w:ascii="標楷體" w:eastAsia="標楷體"/>
          <w:color w:val="000000"/>
          <w:spacing w:val="-4"/>
          <w:sz w:val="28"/>
        </w:rPr>
      </w:pPr>
      <w:r w:rsidRPr="00E520D4">
        <w:rPr>
          <w:rFonts w:ascii="標楷體" w:eastAsia="標楷體" w:hint="eastAsia"/>
          <w:color w:val="000000"/>
          <w:sz w:val="28"/>
        </w:rPr>
        <w:t>本</w:t>
      </w:r>
      <w:r w:rsidRPr="00E520D4">
        <w:rPr>
          <w:rFonts w:ascii="標楷體" w:eastAsia="標楷體" w:hint="eastAsia"/>
          <w:color w:val="000000"/>
          <w:spacing w:val="-4"/>
          <w:sz w:val="28"/>
        </w:rPr>
        <w:t>年度中央政府總預算歲入</w:t>
      </w:r>
      <w:r w:rsidR="0018236C" w:rsidRPr="0018236C">
        <w:rPr>
          <w:rFonts w:ascii="標楷體" w:eastAsia="標楷體" w:hint="eastAsia"/>
          <w:color w:val="000000"/>
          <w:spacing w:val="-4"/>
          <w:sz w:val="28"/>
        </w:rPr>
        <w:t>1兆8,415億元，執行結果，歲入實現數1兆8,842億元，轉入下年度之</w:t>
      </w:r>
      <w:proofErr w:type="gramStart"/>
      <w:r w:rsidR="0018236C" w:rsidRPr="0018236C">
        <w:rPr>
          <w:rFonts w:ascii="標楷體" w:eastAsia="標楷體" w:hint="eastAsia"/>
          <w:color w:val="000000"/>
          <w:spacing w:val="-4"/>
          <w:sz w:val="28"/>
        </w:rPr>
        <w:t>應收數371億元</w:t>
      </w:r>
      <w:proofErr w:type="gramEnd"/>
      <w:r w:rsidR="0018236C" w:rsidRPr="0018236C">
        <w:rPr>
          <w:rFonts w:ascii="標楷體" w:eastAsia="標楷體" w:hint="eastAsia"/>
          <w:color w:val="000000"/>
          <w:spacing w:val="-4"/>
          <w:sz w:val="28"/>
        </w:rPr>
        <w:t>，</w:t>
      </w:r>
      <w:proofErr w:type="gramStart"/>
      <w:r w:rsidR="0018236C" w:rsidRPr="0018236C">
        <w:rPr>
          <w:rFonts w:ascii="標楷體" w:eastAsia="標楷體" w:hint="eastAsia"/>
          <w:color w:val="000000"/>
          <w:spacing w:val="-4"/>
          <w:sz w:val="28"/>
        </w:rPr>
        <w:t>決算數合共</w:t>
      </w:r>
      <w:proofErr w:type="gramEnd"/>
      <w:r w:rsidR="0018236C" w:rsidRPr="0018236C">
        <w:rPr>
          <w:rFonts w:ascii="標楷體" w:eastAsia="標楷體" w:hint="eastAsia"/>
          <w:color w:val="000000"/>
          <w:spacing w:val="-4"/>
          <w:sz w:val="28"/>
        </w:rPr>
        <w:t>1兆9,213億元，較預算數增加798億元，約增4</w:t>
      </w:r>
      <w:r w:rsidR="00D3773A">
        <w:rPr>
          <w:rFonts w:ascii="標楷體" w:eastAsia="標楷體" w:hint="eastAsia"/>
          <w:color w:val="000000"/>
          <w:spacing w:val="-4"/>
          <w:sz w:val="28"/>
        </w:rPr>
        <w:t>.3</w:t>
      </w:r>
      <w:r w:rsidR="0018236C" w:rsidRPr="0018236C">
        <w:rPr>
          <w:rFonts w:ascii="標楷體" w:eastAsia="標楷體" w:hint="eastAsia"/>
          <w:color w:val="000000"/>
          <w:spacing w:val="-4"/>
          <w:sz w:val="28"/>
        </w:rPr>
        <w:t>％，</w:t>
      </w:r>
      <w:proofErr w:type="gramStart"/>
      <w:r w:rsidRPr="00E520D4">
        <w:rPr>
          <w:rFonts w:ascii="標楷體" w:eastAsia="標楷體" w:hint="eastAsia"/>
          <w:color w:val="000000"/>
          <w:spacing w:val="-4"/>
          <w:sz w:val="28"/>
        </w:rPr>
        <w:t>主要係稅課</w:t>
      </w:r>
      <w:proofErr w:type="gramEnd"/>
      <w:r w:rsidRPr="00E520D4">
        <w:rPr>
          <w:rFonts w:ascii="標楷體" w:eastAsia="標楷體" w:hint="eastAsia"/>
          <w:color w:val="000000"/>
          <w:spacing w:val="-4"/>
          <w:sz w:val="28"/>
        </w:rPr>
        <w:t>收入</w:t>
      </w:r>
      <w:r w:rsidR="0018236C">
        <w:rPr>
          <w:rFonts w:ascii="標楷體" w:eastAsia="標楷體" w:hint="eastAsia"/>
          <w:color w:val="000000"/>
          <w:spacing w:val="-4"/>
          <w:sz w:val="28"/>
        </w:rPr>
        <w:t>、</w:t>
      </w:r>
      <w:r w:rsidR="0018236C" w:rsidRPr="0018236C">
        <w:rPr>
          <w:rFonts w:ascii="標楷體" w:eastAsia="標楷體" w:hint="eastAsia"/>
          <w:color w:val="000000"/>
          <w:spacing w:val="-4"/>
          <w:sz w:val="28"/>
        </w:rPr>
        <w:t>規費及罰款收入</w:t>
      </w:r>
      <w:r w:rsidR="004D6DF1">
        <w:rPr>
          <w:rFonts w:ascii="標楷體" w:eastAsia="標楷體" w:hint="eastAsia"/>
          <w:color w:val="000000"/>
          <w:spacing w:val="-4"/>
          <w:sz w:val="28"/>
        </w:rPr>
        <w:t>、</w:t>
      </w:r>
      <w:r w:rsidR="004D6DF1">
        <w:rPr>
          <w:rFonts w:ascii="標楷體" w:eastAsia="標楷體"/>
          <w:color w:val="000000"/>
          <w:spacing w:val="-4"/>
          <w:sz w:val="28"/>
        </w:rPr>
        <w:t>其他收入</w:t>
      </w:r>
      <w:r w:rsidR="00BF687B">
        <w:rPr>
          <w:rFonts w:ascii="標楷體" w:eastAsia="標楷體" w:hint="eastAsia"/>
          <w:color w:val="000000"/>
          <w:spacing w:val="-4"/>
          <w:sz w:val="28"/>
        </w:rPr>
        <w:t>較預</w:t>
      </w:r>
      <w:r w:rsidR="00BF687B">
        <w:rPr>
          <w:rFonts w:ascii="標楷體" w:eastAsia="標楷體"/>
          <w:color w:val="000000"/>
          <w:spacing w:val="-4"/>
          <w:sz w:val="28"/>
        </w:rPr>
        <w:t>算數增加</w:t>
      </w:r>
      <w:r w:rsidRPr="00E520D4">
        <w:rPr>
          <w:rFonts w:ascii="標楷體" w:eastAsia="標楷體" w:hint="eastAsia"/>
          <w:color w:val="000000"/>
          <w:spacing w:val="-4"/>
          <w:sz w:val="28"/>
        </w:rPr>
        <w:t>，與財產收入因</w:t>
      </w:r>
      <w:r w:rsidR="00346E52">
        <w:rPr>
          <w:rFonts w:ascii="標楷體" w:eastAsia="標楷體" w:hint="eastAsia"/>
          <w:color w:val="000000"/>
          <w:spacing w:val="-4"/>
          <w:sz w:val="28"/>
        </w:rPr>
        <w:t>財</w:t>
      </w:r>
      <w:r w:rsidR="00346E52">
        <w:rPr>
          <w:rFonts w:ascii="標楷體" w:eastAsia="標楷體"/>
          <w:color w:val="000000"/>
          <w:spacing w:val="-4"/>
          <w:sz w:val="28"/>
        </w:rPr>
        <w:t>政部</w:t>
      </w:r>
      <w:r w:rsidR="008E5848">
        <w:rPr>
          <w:rFonts w:ascii="標楷體" w:eastAsia="標楷體"/>
          <w:color w:val="000000"/>
          <w:spacing w:val="-4"/>
          <w:sz w:val="28"/>
        </w:rPr>
        <w:t>依</w:t>
      </w:r>
      <w:r w:rsidRPr="00E520D4">
        <w:rPr>
          <w:rFonts w:ascii="標楷體" w:eastAsia="標楷體" w:hint="eastAsia"/>
          <w:color w:val="000000"/>
          <w:spacing w:val="-4"/>
          <w:sz w:val="28"/>
        </w:rPr>
        <w:t>立法院決議未出售投資事業股票等增減互抵所致。茲將執行情形分項說明如下：</w:t>
      </w:r>
      <w:r w:rsidR="006E28BD">
        <w:rPr>
          <w:rFonts w:ascii="標楷體" w:eastAsia="標楷體" w:hint="eastAsia"/>
          <w:color w:val="000000"/>
          <w:spacing w:val="-4"/>
          <w:sz w:val="28"/>
        </w:rPr>
        <w:t xml:space="preserve"> </w:t>
      </w:r>
    </w:p>
    <w:p w:rsidR="0018236C" w:rsidRPr="0018236C" w:rsidRDefault="0018236C" w:rsidP="0018236C">
      <w:pPr>
        <w:pStyle w:val="7"/>
        <w:spacing w:beforeLines="100" w:before="240" w:line="580" w:lineRule="exact"/>
        <w:ind w:leftChars="250" w:left="880" w:hangingChars="100" w:hanging="280"/>
        <w:rPr>
          <w:rFonts w:ascii="標楷體" w:eastAsia="標楷體"/>
          <w:spacing w:val="2"/>
          <w:sz w:val="28"/>
        </w:rPr>
      </w:pPr>
      <w:r w:rsidRPr="0018236C">
        <w:rPr>
          <w:rFonts w:ascii="標楷體" w:eastAsia="標楷體"/>
          <w:sz w:val="28"/>
        </w:rPr>
        <w:t>1.</w:t>
      </w:r>
      <w:r w:rsidRPr="0018236C">
        <w:rPr>
          <w:rFonts w:ascii="標楷體" w:eastAsia="標楷體" w:hint="eastAsia"/>
          <w:sz w:val="28"/>
        </w:rPr>
        <w:t>稅</w:t>
      </w:r>
      <w:r w:rsidRPr="0018236C">
        <w:rPr>
          <w:rFonts w:ascii="標楷體" w:eastAsia="標楷體" w:hint="eastAsia"/>
          <w:spacing w:val="2"/>
          <w:sz w:val="28"/>
        </w:rPr>
        <w:t>課收入：</w:t>
      </w:r>
      <w:r w:rsidR="000119D0">
        <w:rPr>
          <w:rFonts w:ascii="標楷體" w:eastAsia="標楷體" w:hint="eastAsia"/>
          <w:spacing w:val="-4"/>
          <w:sz w:val="28"/>
        </w:rPr>
        <w:t>決算數（包括</w:t>
      </w:r>
      <w:r w:rsidR="000119D0" w:rsidRPr="009F7CAA">
        <w:rPr>
          <w:rFonts w:ascii="標楷體" w:eastAsia="標楷體" w:hint="eastAsia"/>
          <w:spacing w:val="-4"/>
          <w:sz w:val="28"/>
        </w:rPr>
        <w:t>歲入實現數、</w:t>
      </w:r>
      <w:r w:rsidRPr="009F7CAA">
        <w:rPr>
          <w:rFonts w:ascii="標楷體" w:eastAsia="標楷體" w:hint="eastAsia"/>
          <w:spacing w:val="-4"/>
          <w:sz w:val="28"/>
        </w:rPr>
        <w:t>應收數</w:t>
      </w:r>
      <w:r w:rsidR="000119D0" w:rsidRPr="009F7CAA">
        <w:rPr>
          <w:rFonts w:ascii="標楷體" w:eastAsia="標楷體" w:hint="eastAsia"/>
          <w:spacing w:val="-4"/>
          <w:sz w:val="28"/>
        </w:rPr>
        <w:t>及保留數</w:t>
      </w:r>
      <w:r w:rsidRPr="009F7CAA">
        <w:rPr>
          <w:rFonts w:ascii="標楷體" w:eastAsia="標楷體" w:hint="eastAsia"/>
          <w:spacing w:val="-4"/>
          <w:sz w:val="28"/>
        </w:rPr>
        <w:t>，</w:t>
      </w:r>
      <w:r w:rsidRPr="0018236C">
        <w:rPr>
          <w:rFonts w:ascii="標楷體" w:eastAsia="標楷體" w:hint="eastAsia"/>
          <w:spacing w:val="-4"/>
          <w:sz w:val="28"/>
        </w:rPr>
        <w:t>以下同）</w:t>
      </w:r>
      <w:r w:rsidRPr="0018236C">
        <w:rPr>
          <w:rFonts w:ascii="標楷體" w:eastAsia="標楷體"/>
          <w:spacing w:val="-4"/>
          <w:sz w:val="28"/>
        </w:rPr>
        <w:t>1</w:t>
      </w:r>
      <w:r w:rsidRPr="0018236C">
        <w:rPr>
          <w:rFonts w:ascii="標楷體" w:eastAsia="標楷體" w:hint="eastAsia"/>
          <w:spacing w:val="-4"/>
          <w:sz w:val="28"/>
        </w:rPr>
        <w:t>兆5</w:t>
      </w:r>
      <w:r w:rsidRPr="0018236C">
        <w:rPr>
          <w:rFonts w:ascii="標楷體" w:eastAsia="標楷體"/>
          <w:spacing w:val="-4"/>
          <w:sz w:val="28"/>
        </w:rPr>
        <w:t>,</w:t>
      </w:r>
      <w:r w:rsidRPr="0018236C">
        <w:rPr>
          <w:rFonts w:ascii="標楷體" w:eastAsia="標楷體" w:hint="eastAsia"/>
          <w:spacing w:val="-4"/>
          <w:sz w:val="28"/>
        </w:rPr>
        <w:t>229</w:t>
      </w:r>
      <w:r w:rsidRPr="0018236C">
        <w:rPr>
          <w:rFonts w:ascii="標楷體" w:eastAsia="標楷體" w:hint="eastAsia"/>
          <w:sz w:val="28"/>
        </w:rPr>
        <w:t>億元</w:t>
      </w:r>
      <w:r w:rsidRPr="0018236C">
        <w:rPr>
          <w:rFonts w:ascii="標楷體" w:eastAsia="標楷體" w:hint="eastAsia"/>
          <w:spacing w:val="-4"/>
          <w:sz w:val="28"/>
        </w:rPr>
        <w:t>，較</w:t>
      </w:r>
      <w:r w:rsidRPr="0018236C">
        <w:rPr>
          <w:rFonts w:ascii="標楷體" w:eastAsia="標楷體" w:hint="eastAsia"/>
          <w:spacing w:val="2"/>
          <w:sz w:val="28"/>
        </w:rPr>
        <w:t>預算數</w:t>
      </w:r>
      <w:r w:rsidRPr="0018236C">
        <w:rPr>
          <w:rFonts w:ascii="標楷體" w:eastAsia="標楷體"/>
          <w:spacing w:val="-4"/>
          <w:sz w:val="28"/>
        </w:rPr>
        <w:t>1</w:t>
      </w:r>
      <w:r w:rsidRPr="0018236C">
        <w:rPr>
          <w:rFonts w:ascii="標楷體" w:eastAsia="標楷體" w:hint="eastAsia"/>
          <w:spacing w:val="-4"/>
          <w:sz w:val="28"/>
        </w:rPr>
        <w:t>兆4</w:t>
      </w:r>
      <w:r w:rsidRPr="0018236C">
        <w:rPr>
          <w:rFonts w:ascii="標楷體" w:eastAsia="標楷體"/>
          <w:spacing w:val="-4"/>
          <w:sz w:val="28"/>
        </w:rPr>
        <w:t>,</w:t>
      </w:r>
      <w:r w:rsidRPr="0018236C">
        <w:rPr>
          <w:rFonts w:ascii="標楷體" w:eastAsia="標楷體" w:hint="eastAsia"/>
          <w:spacing w:val="-4"/>
          <w:sz w:val="28"/>
        </w:rPr>
        <w:t>693</w:t>
      </w:r>
      <w:r w:rsidRPr="0018236C">
        <w:rPr>
          <w:rFonts w:ascii="標楷體" w:eastAsia="標楷體" w:hint="eastAsia"/>
          <w:sz w:val="28"/>
        </w:rPr>
        <w:t>億元</w:t>
      </w:r>
      <w:r w:rsidRPr="0018236C">
        <w:rPr>
          <w:rFonts w:ascii="標楷體" w:eastAsia="標楷體" w:hint="eastAsia"/>
          <w:spacing w:val="-4"/>
          <w:sz w:val="28"/>
        </w:rPr>
        <w:t>，計</w:t>
      </w:r>
      <w:r w:rsidR="00BF687B" w:rsidRPr="00BF687B">
        <w:rPr>
          <w:rFonts w:ascii="標楷體" w:eastAsia="標楷體" w:hint="eastAsia"/>
          <w:spacing w:val="-4"/>
          <w:sz w:val="28"/>
        </w:rPr>
        <w:t>增加</w:t>
      </w:r>
      <w:r w:rsidRPr="0018236C">
        <w:rPr>
          <w:rFonts w:ascii="標楷體" w:eastAsia="標楷體" w:hint="eastAsia"/>
          <w:spacing w:val="-4"/>
          <w:sz w:val="28"/>
        </w:rPr>
        <w:t>536</w:t>
      </w:r>
      <w:r w:rsidRPr="0018236C">
        <w:rPr>
          <w:rFonts w:ascii="標楷體" w:eastAsia="標楷體" w:hint="eastAsia"/>
          <w:sz w:val="28"/>
        </w:rPr>
        <w:t>億元及3.6</w:t>
      </w:r>
      <w:r w:rsidRPr="0018236C">
        <w:rPr>
          <w:rFonts w:ascii="標楷體" w:eastAsia="標楷體" w:hint="eastAsia"/>
          <w:spacing w:val="-4"/>
          <w:sz w:val="28"/>
        </w:rPr>
        <w:t>％，本項收入占歲入決算數總額之79</w:t>
      </w:r>
      <w:r w:rsidRPr="0018236C">
        <w:rPr>
          <w:rFonts w:ascii="標楷體" w:eastAsia="標楷體"/>
          <w:spacing w:val="-4"/>
          <w:sz w:val="28"/>
        </w:rPr>
        <w:t>.</w:t>
      </w:r>
      <w:r w:rsidRPr="0018236C">
        <w:rPr>
          <w:rFonts w:ascii="標楷體" w:eastAsia="標楷體" w:hint="eastAsia"/>
          <w:spacing w:val="-4"/>
          <w:sz w:val="28"/>
        </w:rPr>
        <w:t>3％</w:t>
      </w:r>
      <w:r w:rsidRPr="0018236C">
        <w:rPr>
          <w:rFonts w:ascii="標楷體" w:eastAsia="標楷體" w:hint="eastAsia"/>
          <w:spacing w:val="2"/>
          <w:sz w:val="28"/>
        </w:rPr>
        <w:t>。</w:t>
      </w:r>
    </w:p>
    <w:p w:rsidR="0018236C" w:rsidRPr="0018236C" w:rsidRDefault="0018236C" w:rsidP="0018236C">
      <w:pPr>
        <w:pStyle w:val="7"/>
        <w:spacing w:line="580" w:lineRule="exact"/>
        <w:ind w:leftChars="250" w:left="849" w:hangingChars="89" w:hanging="249"/>
        <w:rPr>
          <w:rFonts w:ascii="標楷體" w:eastAsia="標楷體"/>
          <w:sz w:val="28"/>
        </w:rPr>
      </w:pPr>
      <w:r w:rsidRPr="0018236C">
        <w:rPr>
          <w:rFonts w:ascii="標楷體" w:eastAsia="標楷體" w:hint="eastAsia"/>
          <w:sz w:val="28"/>
        </w:rPr>
        <w:t>2.營業盈餘及事業收入：決算數</w:t>
      </w:r>
      <w:r w:rsidRPr="0018236C">
        <w:rPr>
          <w:rFonts w:ascii="標楷體" w:eastAsia="標楷體"/>
          <w:sz w:val="28"/>
        </w:rPr>
        <w:t>2,3</w:t>
      </w:r>
      <w:r w:rsidRPr="0018236C">
        <w:rPr>
          <w:rFonts w:ascii="標楷體" w:eastAsia="標楷體" w:hint="eastAsia"/>
          <w:sz w:val="28"/>
        </w:rPr>
        <w:t>35億元，較預算數</w:t>
      </w:r>
      <w:r w:rsidRPr="0018236C">
        <w:rPr>
          <w:rFonts w:ascii="標楷體" w:eastAsia="標楷體"/>
          <w:sz w:val="28"/>
        </w:rPr>
        <w:t>2,</w:t>
      </w:r>
      <w:r w:rsidRPr="0018236C">
        <w:rPr>
          <w:rFonts w:ascii="標楷體" w:eastAsia="標楷體" w:hint="eastAsia"/>
          <w:sz w:val="28"/>
        </w:rPr>
        <w:t>244億元，計</w:t>
      </w:r>
      <w:r w:rsidR="00BF687B" w:rsidRPr="00BF687B">
        <w:rPr>
          <w:rFonts w:ascii="標楷體" w:eastAsia="標楷體" w:hint="eastAsia"/>
          <w:sz w:val="28"/>
        </w:rPr>
        <w:t>增加</w:t>
      </w:r>
      <w:r w:rsidRPr="0018236C">
        <w:rPr>
          <w:rFonts w:ascii="標楷體" w:eastAsia="標楷體" w:hint="eastAsia"/>
          <w:sz w:val="28"/>
        </w:rPr>
        <w:t>91億元及4</w:t>
      </w:r>
      <w:r w:rsidRPr="0018236C">
        <w:rPr>
          <w:rFonts w:ascii="標楷體" w:eastAsia="標楷體"/>
          <w:sz w:val="28"/>
        </w:rPr>
        <w:t>.1</w:t>
      </w:r>
      <w:r w:rsidRPr="0018236C">
        <w:rPr>
          <w:rFonts w:ascii="標楷體" w:eastAsia="標楷體" w:hint="eastAsia"/>
          <w:sz w:val="28"/>
        </w:rPr>
        <w:t>％，本項收入占歲入決算數總額之</w:t>
      </w:r>
      <w:r w:rsidRPr="0018236C">
        <w:rPr>
          <w:rFonts w:ascii="標楷體" w:eastAsia="標楷體"/>
          <w:sz w:val="28"/>
        </w:rPr>
        <w:t>12.</w:t>
      </w:r>
      <w:r w:rsidRPr="0018236C">
        <w:rPr>
          <w:rFonts w:ascii="標楷體" w:eastAsia="標楷體" w:hint="eastAsia"/>
          <w:sz w:val="28"/>
        </w:rPr>
        <w:t>1％。</w:t>
      </w:r>
    </w:p>
    <w:p w:rsidR="0018236C" w:rsidRPr="0018236C" w:rsidRDefault="0018236C" w:rsidP="0018236C">
      <w:pPr>
        <w:pStyle w:val="7"/>
        <w:spacing w:line="580" w:lineRule="exact"/>
        <w:ind w:leftChars="239" w:left="893" w:hangingChars="114" w:hanging="319"/>
        <w:rPr>
          <w:rFonts w:ascii="標楷體" w:eastAsia="標楷體"/>
          <w:sz w:val="28"/>
        </w:rPr>
      </w:pPr>
      <w:r w:rsidRPr="0018236C">
        <w:rPr>
          <w:rFonts w:ascii="標楷體" w:eastAsia="標楷體" w:hint="eastAsia"/>
          <w:sz w:val="28"/>
        </w:rPr>
        <w:t>3.規費及罰款收入：決算數1,2</w:t>
      </w:r>
      <w:r w:rsidRPr="0018236C">
        <w:rPr>
          <w:rFonts w:ascii="標楷體" w:eastAsia="標楷體"/>
          <w:sz w:val="28"/>
        </w:rPr>
        <w:t>05</w:t>
      </w:r>
      <w:r w:rsidRPr="0018236C">
        <w:rPr>
          <w:rFonts w:ascii="標楷體" w:eastAsia="標楷體" w:hint="eastAsia"/>
          <w:sz w:val="28"/>
        </w:rPr>
        <w:t>億元，較預算數990億元，計</w:t>
      </w:r>
      <w:r w:rsidR="00BF687B" w:rsidRPr="00BF687B">
        <w:rPr>
          <w:rFonts w:ascii="標楷體" w:eastAsia="標楷體" w:hint="eastAsia"/>
          <w:sz w:val="28"/>
        </w:rPr>
        <w:t>增加</w:t>
      </w:r>
      <w:r w:rsidRPr="0018236C">
        <w:rPr>
          <w:rFonts w:ascii="標楷體" w:eastAsia="標楷體" w:hint="eastAsia"/>
          <w:sz w:val="28"/>
        </w:rPr>
        <w:t>2</w:t>
      </w:r>
      <w:r w:rsidRPr="0018236C">
        <w:rPr>
          <w:rFonts w:ascii="標楷體" w:eastAsia="標楷體"/>
          <w:sz w:val="28"/>
        </w:rPr>
        <w:t>15</w:t>
      </w:r>
      <w:r w:rsidRPr="0018236C">
        <w:rPr>
          <w:rFonts w:ascii="標楷體" w:eastAsia="標楷體" w:hint="eastAsia"/>
          <w:sz w:val="28"/>
        </w:rPr>
        <w:t>億元及2</w:t>
      </w:r>
      <w:r w:rsidRPr="0018236C">
        <w:rPr>
          <w:rFonts w:ascii="標楷體" w:eastAsia="標楷體"/>
          <w:sz w:val="28"/>
        </w:rPr>
        <w:t>1.</w:t>
      </w:r>
      <w:r w:rsidRPr="0018236C">
        <w:rPr>
          <w:rFonts w:ascii="標楷體" w:eastAsia="標楷體" w:hint="eastAsia"/>
          <w:sz w:val="28"/>
        </w:rPr>
        <w:t>7％，本項收入占歲入決算數總額之6</w:t>
      </w:r>
      <w:r w:rsidRPr="0018236C">
        <w:rPr>
          <w:rFonts w:ascii="標楷體" w:eastAsia="標楷體"/>
          <w:sz w:val="28"/>
        </w:rPr>
        <w:t>.3</w:t>
      </w:r>
      <w:r w:rsidRPr="0018236C">
        <w:rPr>
          <w:rFonts w:ascii="標楷體" w:eastAsia="標楷體" w:hint="eastAsia"/>
          <w:sz w:val="28"/>
        </w:rPr>
        <w:t>％。</w:t>
      </w:r>
    </w:p>
    <w:p w:rsidR="0018236C" w:rsidRPr="0018236C" w:rsidRDefault="0018236C" w:rsidP="0018236C">
      <w:pPr>
        <w:pStyle w:val="7"/>
        <w:spacing w:line="580" w:lineRule="exact"/>
        <w:ind w:leftChars="233" w:left="833" w:hangingChars="98" w:hanging="274"/>
        <w:rPr>
          <w:rFonts w:ascii="標楷體" w:eastAsia="標楷體"/>
          <w:sz w:val="28"/>
        </w:rPr>
      </w:pPr>
      <w:r w:rsidRPr="0018236C">
        <w:rPr>
          <w:rFonts w:ascii="標楷體" w:eastAsia="標楷體"/>
          <w:sz w:val="28"/>
        </w:rPr>
        <w:t>4.</w:t>
      </w:r>
      <w:r w:rsidRPr="0018236C">
        <w:rPr>
          <w:rFonts w:ascii="標楷體" w:eastAsia="標楷體" w:hint="eastAsia"/>
          <w:sz w:val="28"/>
        </w:rPr>
        <w:t>財產收入：決算數22</w:t>
      </w:r>
      <w:r w:rsidR="006E28BD">
        <w:rPr>
          <w:rFonts w:ascii="標楷體" w:eastAsia="標楷體"/>
          <w:sz w:val="28"/>
        </w:rPr>
        <w:t>7</w:t>
      </w:r>
      <w:r w:rsidRPr="0018236C">
        <w:rPr>
          <w:rFonts w:ascii="標楷體" w:eastAsia="標楷體" w:hint="eastAsia"/>
          <w:sz w:val="28"/>
        </w:rPr>
        <w:t>億元，較預算數37</w:t>
      </w:r>
      <w:r w:rsidR="006E28BD">
        <w:rPr>
          <w:rFonts w:ascii="標楷體" w:eastAsia="標楷體"/>
          <w:sz w:val="28"/>
        </w:rPr>
        <w:t>4</w:t>
      </w:r>
      <w:r w:rsidRPr="0018236C">
        <w:rPr>
          <w:rFonts w:ascii="標楷體" w:eastAsia="標楷體" w:hint="eastAsia"/>
          <w:sz w:val="28"/>
        </w:rPr>
        <w:t>億元，計</w:t>
      </w:r>
      <w:r w:rsidR="00BF687B">
        <w:rPr>
          <w:rFonts w:ascii="標楷體" w:eastAsia="標楷體" w:hint="eastAsia"/>
          <w:sz w:val="28"/>
        </w:rPr>
        <w:t>減少</w:t>
      </w:r>
      <w:r w:rsidRPr="0018236C">
        <w:rPr>
          <w:rFonts w:ascii="標楷體" w:eastAsia="標楷體" w:hint="eastAsia"/>
          <w:sz w:val="28"/>
        </w:rPr>
        <w:t>147億元及39.</w:t>
      </w:r>
      <w:r w:rsidR="00215D89">
        <w:rPr>
          <w:rFonts w:ascii="標楷體" w:eastAsia="標楷體"/>
          <w:sz w:val="28"/>
        </w:rPr>
        <w:t>3</w:t>
      </w:r>
      <w:r w:rsidRPr="0018236C">
        <w:rPr>
          <w:rFonts w:ascii="標楷體" w:eastAsia="標楷體" w:hint="eastAsia"/>
          <w:sz w:val="28"/>
        </w:rPr>
        <w:t>％，本項收入占歲入決算數總額之1</w:t>
      </w:r>
      <w:r w:rsidRPr="0018236C">
        <w:rPr>
          <w:rFonts w:ascii="標楷體" w:eastAsia="標楷體"/>
          <w:sz w:val="28"/>
        </w:rPr>
        <w:t>.</w:t>
      </w:r>
      <w:r w:rsidRPr="0018236C">
        <w:rPr>
          <w:rFonts w:ascii="標楷體" w:eastAsia="標楷體" w:hint="eastAsia"/>
          <w:sz w:val="28"/>
        </w:rPr>
        <w:t>2％。</w:t>
      </w:r>
    </w:p>
    <w:p w:rsidR="0018236C" w:rsidRPr="0018236C" w:rsidRDefault="0018236C" w:rsidP="0018236C">
      <w:pPr>
        <w:pStyle w:val="7"/>
        <w:spacing w:line="580" w:lineRule="exact"/>
        <w:ind w:left="357" w:firstLineChars="72" w:firstLine="202"/>
        <w:rPr>
          <w:rFonts w:ascii="標楷體" w:eastAsia="標楷體"/>
          <w:sz w:val="28"/>
        </w:rPr>
      </w:pPr>
      <w:r w:rsidRPr="0018236C">
        <w:rPr>
          <w:rFonts w:ascii="標楷體" w:eastAsia="標楷體"/>
          <w:sz w:val="28"/>
        </w:rPr>
        <w:t>5.</w:t>
      </w:r>
      <w:r w:rsidRPr="0018236C">
        <w:rPr>
          <w:rFonts w:ascii="標楷體" w:eastAsia="標楷體" w:hint="eastAsia"/>
          <w:sz w:val="28"/>
        </w:rPr>
        <w:t>其他收入：決算數21</w:t>
      </w:r>
      <w:r w:rsidR="006E28BD">
        <w:rPr>
          <w:rFonts w:ascii="標楷體" w:eastAsia="標楷體"/>
          <w:sz w:val="28"/>
        </w:rPr>
        <w:t>7</w:t>
      </w:r>
      <w:r w:rsidRPr="0018236C">
        <w:rPr>
          <w:rFonts w:ascii="標楷體" w:eastAsia="標楷體" w:hint="eastAsia"/>
          <w:sz w:val="28"/>
        </w:rPr>
        <w:t>億元，較預算數11</w:t>
      </w:r>
      <w:r w:rsidR="006E28BD">
        <w:rPr>
          <w:rFonts w:ascii="標楷體" w:eastAsia="標楷體"/>
          <w:sz w:val="28"/>
        </w:rPr>
        <w:t>4</w:t>
      </w:r>
      <w:r w:rsidRPr="0018236C">
        <w:rPr>
          <w:rFonts w:ascii="標楷體" w:eastAsia="標楷體" w:hint="eastAsia"/>
          <w:sz w:val="28"/>
        </w:rPr>
        <w:t>億元，計</w:t>
      </w:r>
      <w:r w:rsidR="00BF687B" w:rsidRPr="00BF687B">
        <w:rPr>
          <w:rFonts w:ascii="標楷體" w:eastAsia="標楷體" w:hint="eastAsia"/>
          <w:sz w:val="28"/>
        </w:rPr>
        <w:t>增加</w:t>
      </w:r>
      <w:r w:rsidRPr="0018236C">
        <w:rPr>
          <w:rFonts w:ascii="標楷體" w:eastAsia="標楷體" w:hint="eastAsia"/>
          <w:sz w:val="28"/>
        </w:rPr>
        <w:t>103億元及</w:t>
      </w:r>
    </w:p>
    <w:p w:rsidR="0018236C" w:rsidRPr="0018236C" w:rsidRDefault="00215D89" w:rsidP="0018236C">
      <w:pPr>
        <w:pStyle w:val="7"/>
        <w:spacing w:line="580" w:lineRule="exact"/>
        <w:ind w:left="357" w:firstLineChars="172" w:firstLine="482"/>
        <w:rPr>
          <w:rFonts w:ascii="標楷體" w:eastAsia="標楷體"/>
          <w:sz w:val="28"/>
        </w:rPr>
      </w:pPr>
      <w:r>
        <w:rPr>
          <w:rFonts w:ascii="標楷體" w:eastAsia="標楷體"/>
          <w:sz w:val="28"/>
        </w:rPr>
        <w:t>90</w:t>
      </w:r>
      <w:r w:rsidR="0018236C" w:rsidRPr="0018236C">
        <w:rPr>
          <w:rFonts w:ascii="標楷體" w:eastAsia="標楷體" w:hint="eastAsia"/>
          <w:sz w:val="28"/>
        </w:rPr>
        <w:t>.</w:t>
      </w:r>
      <w:r>
        <w:rPr>
          <w:rFonts w:ascii="標楷體" w:eastAsia="標楷體"/>
          <w:sz w:val="28"/>
        </w:rPr>
        <w:t>8</w:t>
      </w:r>
      <w:r w:rsidR="0018236C" w:rsidRPr="0018236C">
        <w:rPr>
          <w:rFonts w:ascii="標楷體" w:eastAsia="標楷體" w:hint="eastAsia"/>
          <w:sz w:val="28"/>
        </w:rPr>
        <w:t>％，本項收入占歲入決算數總額之1.1％。</w:t>
      </w:r>
    </w:p>
    <w:p w:rsidR="005731DE" w:rsidRDefault="005731DE" w:rsidP="005731DE">
      <w:pPr>
        <w:pStyle w:val="7"/>
        <w:spacing w:line="620" w:lineRule="exact"/>
        <w:ind w:left="0" w:firstLine="0"/>
        <w:rPr>
          <w:rFonts w:ascii="標楷體" w:eastAsia="標楷體"/>
          <w:color w:val="000000"/>
          <w:spacing w:val="2"/>
          <w:sz w:val="28"/>
        </w:rPr>
      </w:pPr>
    </w:p>
    <w:p w:rsidR="008E5848" w:rsidRPr="00215D89" w:rsidRDefault="008E5848" w:rsidP="005731DE">
      <w:pPr>
        <w:pStyle w:val="7"/>
        <w:spacing w:line="620" w:lineRule="exact"/>
        <w:ind w:left="0" w:firstLine="0"/>
        <w:rPr>
          <w:rFonts w:ascii="標楷體" w:eastAsia="標楷體"/>
          <w:color w:val="000000"/>
          <w:spacing w:val="2"/>
          <w:sz w:val="28"/>
        </w:rPr>
      </w:pPr>
    </w:p>
    <w:p w:rsidR="005731DE" w:rsidRPr="005731DE" w:rsidRDefault="005731DE" w:rsidP="005731DE">
      <w:pPr>
        <w:pStyle w:val="5"/>
        <w:spacing w:beforeLines="50" w:before="120" w:line="600" w:lineRule="exact"/>
        <w:ind w:left="0" w:right="-62" w:firstLine="0"/>
        <w:rPr>
          <w:rFonts w:ascii="標楷體" w:eastAsia="標楷體"/>
          <w:color w:val="000000"/>
          <w:spacing w:val="2"/>
          <w:sz w:val="28"/>
        </w:rPr>
      </w:pPr>
    </w:p>
    <w:p w:rsidR="00924420" w:rsidRPr="00E520D4" w:rsidRDefault="002163EF" w:rsidP="00924420">
      <w:pPr>
        <w:pStyle w:val="7"/>
        <w:spacing w:line="620" w:lineRule="exact"/>
        <w:ind w:left="0" w:firstLine="0"/>
        <w:rPr>
          <w:rFonts w:ascii="標楷體" w:eastAsia="標楷體"/>
          <w:color w:val="000000"/>
          <w:spacing w:val="2"/>
          <w:sz w:val="28"/>
        </w:rPr>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1458734</wp:posOffset>
                </wp:positionH>
                <wp:positionV relativeFrom="paragraph">
                  <wp:posOffset>-37465</wp:posOffset>
                </wp:positionV>
                <wp:extent cx="1435994" cy="218941"/>
                <wp:effectExtent l="0" t="0" r="0" b="10160"/>
                <wp:wrapNone/>
                <wp:docPr id="3" name="文字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994" cy="218941"/>
                        </a:xfrm>
                        <a:prstGeom prst="rect">
                          <a:avLst/>
                        </a:prstGeom>
                        <a:noFill/>
                        <a:ln>
                          <a:noFill/>
                        </a:ln>
                        <a:extLst/>
                      </wps:spPr>
                      <wps:txbx>
                        <w:txbxContent>
                          <w:p w:rsidR="001D439C" w:rsidRPr="0039701D" w:rsidRDefault="001D439C" w:rsidP="00E57B12">
                            <w:pPr>
                              <w:pStyle w:val="Web"/>
                              <w:spacing w:before="0" w:after="0"/>
                              <w:rPr>
                                <w:sz w:val="22"/>
                                <w:szCs w:val="22"/>
                              </w:rPr>
                            </w:pPr>
                            <w:r w:rsidRPr="0039701D">
                              <w:rPr>
                                <w:rFonts w:ascii="標楷體" w:eastAsia="標楷體" w:hAnsi="標楷體" w:hint="eastAsia"/>
                                <w:sz w:val="22"/>
                                <w:szCs w:val="22"/>
                              </w:rPr>
                              <w:t>總額：1兆</w:t>
                            </w:r>
                            <w:r>
                              <w:rPr>
                                <w:rFonts w:ascii="標楷體" w:eastAsia="標楷體" w:hAnsi="標楷體"/>
                                <w:sz w:val="22"/>
                                <w:szCs w:val="22"/>
                              </w:rPr>
                              <w:t>9</w:t>
                            </w:r>
                            <w:r w:rsidRPr="0039701D">
                              <w:rPr>
                                <w:rFonts w:ascii="標楷體" w:eastAsia="標楷體" w:hAnsi="標楷體" w:hint="eastAsia"/>
                                <w:sz w:val="22"/>
                                <w:szCs w:val="22"/>
                              </w:rPr>
                              <w:t>,</w:t>
                            </w:r>
                            <w:r>
                              <w:rPr>
                                <w:rFonts w:ascii="標楷體" w:eastAsia="標楷體" w:hAnsi="標楷體"/>
                                <w:sz w:val="22"/>
                                <w:szCs w:val="22"/>
                              </w:rPr>
                              <w:t>213</w:t>
                            </w:r>
                            <w:r w:rsidRPr="0039701D">
                              <w:rPr>
                                <w:rFonts w:ascii="標楷體" w:eastAsia="標楷體" w:hAnsi="標楷體" w:hint="eastAsia"/>
                                <w:sz w:val="22"/>
                                <w:szCs w:val="22"/>
                              </w:rPr>
                              <w:t>億元</w:t>
                            </w:r>
                          </w:p>
                        </w:txbxContent>
                      </wps:txbx>
                      <wps:bodyPr vertOverflow="clip" wrap="square" lIns="36576" tIns="32004" rIns="36576" bIns="0" anchor="t"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 1" o:spid="_x0000_s1026" type="#_x0000_t202" style="position:absolute;left:0;text-align:left;margin-left:114.85pt;margin-top:-2.95pt;width:113.05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" filled="f" stroked="f">
                <v:textbox inset="2.88pt,2.52pt,2.88pt,0">
                  <w:txbxContent>
                    <w:p w:rsidR="001D439C" w:rsidRPr="0039701D" w:rsidRDefault="001D439C" w:rsidP="00E57B12">
                      <w:pPr>
                        <w:pStyle w:val="Web"/>
                        <w:spacing w:before="0" w:after="0"/>
                        <w:rPr>
                          <w:sz w:val="22"/>
                          <w:szCs w:val="22"/>
                        </w:rPr>
                      </w:pPr>
                      <w:r w:rsidRPr="0039701D">
                        <w:rPr>
                          <w:rFonts w:ascii="標楷體" w:eastAsia="標楷體" w:hAnsi="標楷體" w:hint="eastAsia"/>
                          <w:sz w:val="22"/>
                          <w:szCs w:val="22"/>
                        </w:rPr>
                        <w:t>總額：1兆</w:t>
                      </w:r>
                      <w:r>
                        <w:rPr>
                          <w:rFonts w:ascii="標楷體" w:eastAsia="標楷體" w:hAnsi="標楷體"/>
                          <w:sz w:val="22"/>
                          <w:szCs w:val="22"/>
                        </w:rPr>
                        <w:t>9</w:t>
                      </w:r>
                      <w:r w:rsidRPr="0039701D">
                        <w:rPr>
                          <w:rFonts w:ascii="標楷體" w:eastAsia="標楷體" w:hAnsi="標楷體" w:hint="eastAsia"/>
                          <w:sz w:val="22"/>
                          <w:szCs w:val="22"/>
                        </w:rPr>
                        <w:t>,</w:t>
                      </w:r>
                      <w:r>
                        <w:rPr>
                          <w:rFonts w:ascii="標楷體" w:eastAsia="標楷體" w:hAnsi="標楷體"/>
                          <w:sz w:val="22"/>
                          <w:szCs w:val="22"/>
                        </w:rPr>
                        <w:t>213</w:t>
                      </w:r>
                      <w:r w:rsidRPr="0039701D">
                        <w:rPr>
                          <w:rFonts w:ascii="標楷體" w:eastAsia="標楷體" w:hAnsi="標楷體" w:hint="eastAsia"/>
                          <w:sz w:val="22"/>
                          <w:szCs w:val="22"/>
                        </w:rPr>
                        <w:t>億元</w:t>
                      </w:r>
                    </w:p>
                  </w:txbxContent>
                </v:textbox>
              </v:shape>
            </w:pict>
          </mc:Fallback>
        </mc:AlternateContent>
      </w:r>
      <w:r w:rsidR="00E57B12">
        <w:rPr>
          <w:noProof/>
        </w:rPr>
        <w:drawing>
          <wp:anchor distT="0" distB="0" distL="114300" distR="114300" simplePos="0" relativeHeight="251673088" behindDoc="1" locked="0" layoutInCell="1" allowOverlap="1" wp14:anchorId="6C5B6A95" wp14:editId="0A14C27B">
            <wp:simplePos x="0" y="0"/>
            <wp:positionH relativeFrom="column">
              <wp:posOffset>163195</wp:posOffset>
            </wp:positionH>
            <wp:positionV relativeFrom="paragraph">
              <wp:posOffset>219898</wp:posOffset>
            </wp:positionV>
            <wp:extent cx="5791200" cy="3657600"/>
            <wp:effectExtent l="0" t="0" r="0" b="0"/>
            <wp:wrapNone/>
            <wp:docPr id="15" name="物件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355836" w:rsidRDefault="00355836" w:rsidP="00924420">
      <w:pPr>
        <w:pStyle w:val="7"/>
        <w:spacing w:line="620" w:lineRule="exact"/>
        <w:ind w:left="0" w:firstLine="0"/>
        <w:rPr>
          <w:rFonts w:ascii="標楷體" w:eastAsia="標楷體"/>
          <w:color w:val="000000"/>
          <w:spacing w:val="2"/>
          <w:sz w:val="28"/>
        </w:rPr>
      </w:pPr>
    </w:p>
    <w:p w:rsidR="00355836" w:rsidRDefault="00355836" w:rsidP="00924420">
      <w:pPr>
        <w:pStyle w:val="7"/>
        <w:spacing w:line="620" w:lineRule="exact"/>
        <w:ind w:left="0" w:firstLine="0"/>
        <w:rPr>
          <w:rFonts w:ascii="標楷體" w:eastAsia="標楷體"/>
          <w:color w:val="000000"/>
          <w:spacing w:val="2"/>
          <w:sz w:val="28"/>
        </w:rPr>
      </w:pPr>
    </w:p>
    <w:p w:rsidR="00355836" w:rsidRDefault="00714FDA" w:rsidP="00714FDA">
      <w:pPr>
        <w:pStyle w:val="7"/>
        <w:tabs>
          <w:tab w:val="left" w:pos="7503"/>
        </w:tabs>
        <w:spacing w:line="620" w:lineRule="exact"/>
        <w:ind w:left="0" w:firstLine="0"/>
        <w:rPr>
          <w:rFonts w:ascii="標楷體" w:eastAsia="標楷體"/>
          <w:color w:val="000000"/>
          <w:spacing w:val="2"/>
          <w:sz w:val="28"/>
        </w:rPr>
      </w:pPr>
      <w:r>
        <w:rPr>
          <w:rFonts w:ascii="標楷體" w:eastAsia="標楷體"/>
          <w:color w:val="000000"/>
          <w:spacing w:val="2"/>
          <w:sz w:val="28"/>
        </w:rPr>
        <w:tab/>
      </w:r>
    </w:p>
    <w:p w:rsidR="00355836" w:rsidRDefault="00355836" w:rsidP="00924420">
      <w:pPr>
        <w:pStyle w:val="7"/>
        <w:spacing w:line="620" w:lineRule="exact"/>
        <w:ind w:left="0" w:firstLine="0"/>
        <w:rPr>
          <w:rFonts w:ascii="標楷體" w:eastAsia="標楷體"/>
          <w:color w:val="000000"/>
          <w:spacing w:val="2"/>
          <w:sz w:val="28"/>
        </w:rPr>
      </w:pPr>
    </w:p>
    <w:p w:rsidR="00355836" w:rsidRDefault="00355836" w:rsidP="00924420">
      <w:pPr>
        <w:pStyle w:val="7"/>
        <w:spacing w:line="620" w:lineRule="exact"/>
        <w:ind w:left="0" w:firstLine="0"/>
        <w:rPr>
          <w:rFonts w:ascii="標楷體" w:eastAsia="標楷體"/>
          <w:color w:val="000000"/>
          <w:spacing w:val="2"/>
          <w:sz w:val="28"/>
        </w:rPr>
      </w:pPr>
    </w:p>
    <w:p w:rsidR="00924420" w:rsidRDefault="00924420" w:rsidP="00924420">
      <w:pPr>
        <w:pStyle w:val="7"/>
        <w:spacing w:line="620" w:lineRule="exact"/>
        <w:ind w:left="0" w:firstLine="0"/>
        <w:rPr>
          <w:rFonts w:ascii="標楷體" w:eastAsia="標楷體"/>
          <w:color w:val="000000"/>
          <w:spacing w:val="2"/>
          <w:sz w:val="28"/>
        </w:rPr>
      </w:pPr>
      <w:bookmarkStart w:id="0" w:name="_GoBack"/>
      <w:bookmarkEnd w:id="0"/>
    </w:p>
    <w:p w:rsidR="00355836" w:rsidRDefault="00355836" w:rsidP="00924420">
      <w:pPr>
        <w:pStyle w:val="7"/>
        <w:spacing w:line="620" w:lineRule="exact"/>
        <w:ind w:left="0" w:firstLine="0"/>
        <w:rPr>
          <w:rFonts w:ascii="標楷體" w:eastAsia="標楷體"/>
          <w:color w:val="000000"/>
          <w:spacing w:val="2"/>
          <w:sz w:val="28"/>
        </w:rPr>
      </w:pPr>
    </w:p>
    <w:p w:rsidR="00355836" w:rsidRDefault="00355836" w:rsidP="00924420">
      <w:pPr>
        <w:pStyle w:val="7"/>
        <w:spacing w:line="620" w:lineRule="exact"/>
        <w:ind w:left="0" w:firstLine="0"/>
        <w:rPr>
          <w:rFonts w:ascii="標楷體" w:eastAsia="標楷體"/>
          <w:color w:val="000000"/>
          <w:spacing w:val="2"/>
          <w:sz w:val="28"/>
        </w:rPr>
      </w:pPr>
    </w:p>
    <w:p w:rsidR="00355836" w:rsidRDefault="0029411A" w:rsidP="00924420">
      <w:pPr>
        <w:pStyle w:val="7"/>
        <w:spacing w:line="620" w:lineRule="exact"/>
        <w:ind w:left="0" w:firstLine="0"/>
        <w:rPr>
          <w:rFonts w:ascii="標楷體" w:eastAsia="標楷體"/>
          <w:color w:val="000000"/>
          <w:spacing w:val="2"/>
          <w:sz w:val="28"/>
        </w:rPr>
      </w:pPr>
      <w:r w:rsidRPr="0029411A">
        <w:rPr>
          <w:rFonts w:ascii="Times New Roman" w:eastAsia="細明體"/>
          <w:noProof/>
          <w:sz w:val="24"/>
        </w:rPr>
        <mc:AlternateContent>
          <mc:Choice Requires="wps">
            <w:drawing>
              <wp:anchor distT="0" distB="0" distL="114300" distR="114300" simplePos="0" relativeHeight="251680256" behindDoc="0" locked="0" layoutInCell="1" allowOverlap="1" wp14:anchorId="2697E3DC" wp14:editId="25668DBF">
                <wp:simplePos x="0" y="0"/>
                <wp:positionH relativeFrom="column">
                  <wp:posOffset>24888</wp:posOffset>
                </wp:positionH>
                <wp:positionV relativeFrom="paragraph">
                  <wp:posOffset>197426</wp:posOffset>
                </wp:positionV>
                <wp:extent cx="6115049" cy="504982"/>
                <wp:effectExtent l="0" t="0" r="635" b="9525"/>
                <wp:wrapNone/>
                <wp:docPr id="1"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49" cy="504982"/>
                        </a:xfrm>
                        <a:prstGeom prst="rect">
                          <a:avLst/>
                        </a:prstGeom>
                        <a:noFill/>
                        <a:ln>
                          <a:noFill/>
                        </a:ln>
                        <a:extLst/>
                      </wps:spPr>
                      <wps:txbx>
                        <w:txbxContent>
                          <w:p w:rsidR="0029411A" w:rsidRDefault="0029411A" w:rsidP="0029411A">
                            <w:pPr>
                              <w:pStyle w:val="Web"/>
                              <w:spacing w:after="0"/>
                              <w:jc w:val="center"/>
                              <w:rPr>
                                <w:szCs w:val="24"/>
                              </w:rPr>
                            </w:pPr>
                            <w:r>
                              <w:rPr>
                                <w:rFonts w:eastAsia="標楷體" w:hAnsi="標楷體" w:hint="eastAsia"/>
                                <w:sz w:val="32"/>
                                <w:szCs w:val="32"/>
                              </w:rPr>
                              <w:t>本年度中央政府總決算歲</w:t>
                            </w:r>
                            <w:r>
                              <w:rPr>
                                <w:rFonts w:eastAsia="標楷體" w:hAnsi="標楷體" w:hint="eastAsia"/>
                                <w:sz w:val="32"/>
                                <w:szCs w:val="32"/>
                              </w:rPr>
                              <w:t>入</w:t>
                            </w:r>
                            <w:r>
                              <w:rPr>
                                <w:rFonts w:eastAsia="標楷體" w:hAnsi="標楷體" w:hint="eastAsia"/>
                                <w:sz w:val="32"/>
                                <w:szCs w:val="32"/>
                              </w:rPr>
                              <w:t>構成</w:t>
                            </w:r>
                          </w:p>
                        </w:txbxContent>
                      </wps:txbx>
                      <wps:bodyPr wrap="square" lIns="36576" tIns="32004" rIns="36576" bIns="0" anchor="t" upright="1"/>
                    </wps:wsp>
                  </a:graphicData>
                </a:graphic>
              </wp:anchor>
            </w:drawing>
          </mc:Choice>
          <mc:Fallback>
            <w:pict>
              <v:shape w14:anchorId="2697E3DC" id="文字方塊 5" o:spid="_x0000_s1027" type="#_x0000_t202" style="position:absolute;left:0;text-align:left;margin-left:1.95pt;margin-top:15.55pt;width:481.5pt;height:39.75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" filled="f" stroked="f">
                <v:textbox inset="2.88pt,2.52pt,2.88pt,0">
                  <w:txbxContent>
                    <w:p w:rsidR="0029411A" w:rsidRDefault="0029411A" w:rsidP="0029411A">
                      <w:pPr>
                        <w:pStyle w:val="Web"/>
                        <w:spacing w:after="0"/>
                        <w:jc w:val="center"/>
                        <w:rPr>
                          <w:szCs w:val="24"/>
                        </w:rPr>
                      </w:pPr>
                      <w:r>
                        <w:rPr>
                          <w:rFonts w:eastAsia="標楷體" w:hAnsi="標楷體" w:hint="eastAsia"/>
                          <w:sz w:val="32"/>
                          <w:szCs w:val="32"/>
                        </w:rPr>
                        <w:t>本年度中央政府總決算歲</w:t>
                      </w:r>
                      <w:r>
                        <w:rPr>
                          <w:rFonts w:eastAsia="標楷體" w:hAnsi="標楷體" w:hint="eastAsia"/>
                          <w:sz w:val="32"/>
                          <w:szCs w:val="32"/>
                        </w:rPr>
                        <w:t>入</w:t>
                      </w:r>
                      <w:r>
                        <w:rPr>
                          <w:rFonts w:eastAsia="標楷體" w:hAnsi="標楷體" w:hint="eastAsia"/>
                          <w:sz w:val="32"/>
                          <w:szCs w:val="32"/>
                        </w:rPr>
                        <w:t>構成</w:t>
                      </w:r>
                    </w:p>
                  </w:txbxContent>
                </v:textbox>
              </v:shape>
            </w:pict>
          </mc:Fallback>
        </mc:AlternateContent>
      </w:r>
    </w:p>
    <w:p w:rsidR="00355836" w:rsidRPr="00E520D4" w:rsidRDefault="00355836" w:rsidP="00E57B12">
      <w:pPr>
        <w:pStyle w:val="7"/>
        <w:spacing w:line="620" w:lineRule="exact"/>
        <w:ind w:left="0" w:firstLine="0"/>
        <w:rPr>
          <w:rFonts w:ascii="標楷體" w:eastAsia="標楷體"/>
          <w:color w:val="000000"/>
          <w:spacing w:val="2"/>
          <w:sz w:val="28"/>
        </w:rPr>
      </w:pPr>
    </w:p>
    <w:p w:rsidR="00924420" w:rsidRPr="00E520D4" w:rsidRDefault="001A65BF" w:rsidP="00924420">
      <w:pPr>
        <w:tabs>
          <w:tab w:val="left" w:pos="4110"/>
        </w:tabs>
        <w:snapToGrid w:val="0"/>
        <w:spacing w:beforeLines="150" w:before="360" w:line="480" w:lineRule="exact"/>
        <w:ind w:firstLineChars="600" w:firstLine="1800"/>
        <w:jc w:val="both"/>
        <w:rPr>
          <w:rFonts w:ascii="標楷體" w:eastAsia="標楷體" w:hAnsi="標楷體"/>
          <w:color w:val="000000"/>
          <w:sz w:val="30"/>
        </w:rPr>
      </w:pPr>
      <w:r w:rsidRPr="00E520D4">
        <w:rPr>
          <w:rFonts w:ascii="標楷體" w:eastAsia="標楷體" w:hAnsi="標楷體" w:hint="eastAsia"/>
          <w:color w:val="000000"/>
          <w:sz w:val="30"/>
        </w:rPr>
        <w:t>本</w:t>
      </w:r>
      <w:r w:rsidR="00924420" w:rsidRPr="00E520D4">
        <w:rPr>
          <w:rFonts w:ascii="標楷體" w:eastAsia="標楷體" w:hAnsi="標楷體" w:hint="eastAsia"/>
          <w:color w:val="000000"/>
          <w:sz w:val="30"/>
        </w:rPr>
        <w:t>年度中央政府歲入</w:t>
      </w:r>
      <w:proofErr w:type="gramStart"/>
      <w:r w:rsidR="00924420" w:rsidRPr="00E520D4">
        <w:rPr>
          <w:rFonts w:ascii="標楷體" w:eastAsia="標楷體" w:hAnsi="標楷體" w:hint="eastAsia"/>
          <w:color w:val="000000"/>
          <w:sz w:val="30"/>
        </w:rPr>
        <w:t>來源別預決算</w:t>
      </w:r>
      <w:proofErr w:type="gramEnd"/>
      <w:r w:rsidR="00924420" w:rsidRPr="00E520D4">
        <w:rPr>
          <w:rFonts w:ascii="標楷體" w:eastAsia="標楷體" w:hAnsi="標楷體" w:hint="eastAsia"/>
          <w:color w:val="000000"/>
          <w:sz w:val="30"/>
        </w:rPr>
        <w:t>情形比較表</w:t>
      </w:r>
    </w:p>
    <w:p w:rsidR="00924420" w:rsidRPr="00E520D4" w:rsidRDefault="00924420" w:rsidP="00924420">
      <w:pPr>
        <w:tabs>
          <w:tab w:val="left" w:pos="4110"/>
        </w:tabs>
        <w:snapToGrid w:val="0"/>
        <w:spacing w:beforeLines="30" w:before="72" w:line="280" w:lineRule="exact"/>
        <w:ind w:firstLineChars="3100" w:firstLine="7440"/>
        <w:jc w:val="both"/>
        <w:rPr>
          <w:rFonts w:ascii="標楷體" w:eastAsia="標楷體" w:hAnsi="標楷體"/>
          <w:color w:val="000000"/>
          <w:szCs w:val="28"/>
        </w:rPr>
      </w:pPr>
      <w:r w:rsidRPr="00E520D4">
        <w:rPr>
          <w:rFonts w:ascii="標楷體" w:eastAsia="標楷體" w:hAnsi="標楷體" w:hint="eastAsia"/>
          <w:color w:val="000000"/>
        </w:rPr>
        <w:t>單位：新臺幣億元</w:t>
      </w:r>
    </w:p>
    <w:tbl>
      <w:tblPr>
        <w:tblW w:w="9120"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0"/>
        <w:gridCol w:w="2160"/>
        <w:gridCol w:w="1320"/>
        <w:gridCol w:w="960"/>
        <w:gridCol w:w="1200"/>
        <w:gridCol w:w="840"/>
        <w:gridCol w:w="1200"/>
        <w:gridCol w:w="840"/>
      </w:tblGrid>
      <w:tr w:rsidR="0018236C" w:rsidRPr="00E520D4" w:rsidTr="00714FDA">
        <w:trPr>
          <w:cantSplit/>
          <w:trHeight w:val="450"/>
        </w:trPr>
        <w:tc>
          <w:tcPr>
            <w:tcW w:w="2760" w:type="dxa"/>
            <w:gridSpan w:val="2"/>
            <w:vMerge w:val="restart"/>
            <w:tcBorders>
              <w:top w:val="single" w:sz="12" w:space="0" w:color="auto"/>
              <w:left w:val="single" w:sz="12" w:space="0" w:color="auto"/>
            </w:tcBorders>
            <w:vAlign w:val="center"/>
          </w:tcPr>
          <w:p w:rsidR="0018236C" w:rsidRPr="00E520D4" w:rsidRDefault="0018236C" w:rsidP="00714FDA">
            <w:pPr>
              <w:spacing w:line="280" w:lineRule="exact"/>
              <w:jc w:val="center"/>
              <w:rPr>
                <w:rFonts w:ascii="標楷體" w:eastAsia="標楷體" w:hAnsi="標楷體"/>
                <w:color w:val="000000"/>
                <w:sz w:val="26"/>
              </w:rPr>
            </w:pPr>
            <w:r w:rsidRPr="00E520D4">
              <w:rPr>
                <w:rFonts w:ascii="標楷體" w:eastAsia="標楷體" w:hAnsi="標楷體" w:hint="eastAsia"/>
                <w:color w:val="000000"/>
                <w:sz w:val="26"/>
              </w:rPr>
              <w:t>項</w:t>
            </w:r>
            <w:r w:rsidRPr="00E520D4">
              <w:rPr>
                <w:rFonts w:ascii="標楷體" w:eastAsia="標楷體" w:hAnsi="標楷體"/>
                <w:color w:val="000000"/>
                <w:sz w:val="26"/>
              </w:rPr>
              <w:t xml:space="preserve">        </w:t>
            </w:r>
            <w:r w:rsidRPr="00E520D4">
              <w:rPr>
                <w:rFonts w:ascii="標楷體" w:eastAsia="標楷體" w:hAnsi="標楷體" w:hint="eastAsia"/>
                <w:color w:val="000000"/>
                <w:sz w:val="26"/>
              </w:rPr>
              <w:t>目</w:t>
            </w:r>
          </w:p>
        </w:tc>
        <w:tc>
          <w:tcPr>
            <w:tcW w:w="2280" w:type="dxa"/>
            <w:gridSpan w:val="2"/>
            <w:tcBorders>
              <w:top w:val="single" w:sz="12" w:space="0" w:color="auto"/>
              <w:bottom w:val="single" w:sz="6" w:space="0" w:color="auto"/>
            </w:tcBorders>
            <w:vAlign w:val="center"/>
          </w:tcPr>
          <w:p w:rsidR="0018236C" w:rsidRPr="00E520D4" w:rsidRDefault="0018236C" w:rsidP="00714FDA">
            <w:pPr>
              <w:tabs>
                <w:tab w:val="left" w:pos="4110"/>
              </w:tabs>
              <w:snapToGrid w:val="0"/>
              <w:spacing w:line="280" w:lineRule="exact"/>
              <w:ind w:leftChars="30" w:left="72"/>
              <w:jc w:val="center"/>
              <w:rPr>
                <w:rFonts w:ascii="標楷體" w:eastAsia="標楷體" w:hAnsi="標楷體"/>
                <w:color w:val="000000"/>
                <w:sz w:val="26"/>
                <w:szCs w:val="28"/>
              </w:rPr>
            </w:pPr>
            <w:r w:rsidRPr="00E520D4">
              <w:rPr>
                <w:rFonts w:ascii="標楷體" w:eastAsia="標楷體" w:hAnsi="標楷體" w:hint="eastAsia"/>
                <w:color w:val="000000"/>
                <w:sz w:val="26"/>
                <w:szCs w:val="28"/>
              </w:rPr>
              <w:t>決算數</w:t>
            </w:r>
          </w:p>
        </w:tc>
        <w:tc>
          <w:tcPr>
            <w:tcW w:w="2040" w:type="dxa"/>
            <w:gridSpan w:val="2"/>
            <w:tcBorders>
              <w:top w:val="single" w:sz="12" w:space="0" w:color="auto"/>
              <w:bottom w:val="single" w:sz="6" w:space="0" w:color="auto"/>
              <w:right w:val="single" w:sz="4" w:space="0" w:color="auto"/>
            </w:tcBorders>
            <w:vAlign w:val="center"/>
          </w:tcPr>
          <w:p w:rsidR="0018236C" w:rsidRPr="00E520D4" w:rsidRDefault="0018236C" w:rsidP="00714FDA">
            <w:pPr>
              <w:tabs>
                <w:tab w:val="left" w:pos="4110"/>
              </w:tabs>
              <w:snapToGrid w:val="0"/>
              <w:spacing w:line="280" w:lineRule="exact"/>
              <w:ind w:leftChars="30" w:left="72"/>
              <w:jc w:val="center"/>
              <w:rPr>
                <w:rFonts w:ascii="標楷體" w:eastAsia="標楷體" w:hAnsi="標楷體"/>
                <w:color w:val="000000"/>
                <w:sz w:val="26"/>
                <w:szCs w:val="28"/>
              </w:rPr>
            </w:pPr>
            <w:r w:rsidRPr="00E520D4">
              <w:rPr>
                <w:rFonts w:ascii="標楷體" w:eastAsia="標楷體" w:hAnsi="標楷體" w:hint="eastAsia"/>
                <w:color w:val="000000"/>
                <w:sz w:val="26"/>
                <w:szCs w:val="28"/>
              </w:rPr>
              <w:t>預算數</w:t>
            </w:r>
          </w:p>
        </w:tc>
        <w:tc>
          <w:tcPr>
            <w:tcW w:w="1200" w:type="dxa"/>
            <w:tcBorders>
              <w:top w:val="single" w:sz="12" w:space="0" w:color="auto"/>
              <w:left w:val="single" w:sz="4" w:space="0" w:color="auto"/>
              <w:bottom w:val="single" w:sz="6" w:space="0" w:color="auto"/>
              <w:right w:val="nil"/>
            </w:tcBorders>
            <w:vAlign w:val="center"/>
          </w:tcPr>
          <w:p w:rsidR="0018236C" w:rsidRPr="00E520D4" w:rsidRDefault="0018236C" w:rsidP="00714FDA">
            <w:pPr>
              <w:tabs>
                <w:tab w:val="left" w:pos="4110"/>
              </w:tabs>
              <w:snapToGrid w:val="0"/>
              <w:spacing w:line="280" w:lineRule="exact"/>
              <w:jc w:val="center"/>
              <w:rPr>
                <w:rFonts w:ascii="標楷體" w:eastAsia="標楷體" w:hAnsi="標楷體"/>
                <w:color w:val="000000"/>
                <w:spacing w:val="6"/>
                <w:sz w:val="26"/>
                <w:szCs w:val="28"/>
              </w:rPr>
            </w:pPr>
            <w:r w:rsidRPr="00E520D4">
              <w:rPr>
                <w:rFonts w:ascii="標楷體" w:eastAsia="標楷體" w:hAnsi="標楷體"/>
                <w:color w:val="000000"/>
                <w:spacing w:val="6"/>
                <w:sz w:val="26"/>
                <w:szCs w:val="28"/>
              </w:rPr>
              <w:t xml:space="preserve">   </w:t>
            </w:r>
            <w:r w:rsidRPr="00E520D4">
              <w:rPr>
                <w:rFonts w:ascii="標楷體" w:eastAsia="標楷體" w:hAnsi="標楷體" w:hint="eastAsia"/>
                <w:color w:val="000000"/>
                <w:spacing w:val="6"/>
                <w:sz w:val="26"/>
                <w:szCs w:val="28"/>
              </w:rPr>
              <w:t>比</w:t>
            </w:r>
          </w:p>
        </w:tc>
        <w:tc>
          <w:tcPr>
            <w:tcW w:w="840" w:type="dxa"/>
            <w:tcBorders>
              <w:top w:val="single" w:sz="12" w:space="0" w:color="auto"/>
              <w:left w:val="nil"/>
              <w:bottom w:val="single" w:sz="6" w:space="0" w:color="auto"/>
              <w:right w:val="single" w:sz="12" w:space="0" w:color="auto"/>
            </w:tcBorders>
            <w:vAlign w:val="center"/>
          </w:tcPr>
          <w:p w:rsidR="0018236C" w:rsidRPr="00E520D4" w:rsidRDefault="0018236C" w:rsidP="00714FDA">
            <w:pPr>
              <w:tabs>
                <w:tab w:val="left" w:pos="4110"/>
              </w:tabs>
              <w:snapToGrid w:val="0"/>
              <w:spacing w:line="280" w:lineRule="exact"/>
              <w:rPr>
                <w:rFonts w:ascii="標楷體" w:eastAsia="標楷體" w:hAnsi="標楷體"/>
                <w:color w:val="000000"/>
                <w:spacing w:val="6"/>
                <w:sz w:val="26"/>
                <w:szCs w:val="28"/>
              </w:rPr>
            </w:pPr>
            <w:r w:rsidRPr="00E520D4">
              <w:rPr>
                <w:rFonts w:ascii="標楷體" w:eastAsia="標楷體" w:hAnsi="標楷體" w:hint="eastAsia"/>
                <w:color w:val="000000"/>
                <w:spacing w:val="6"/>
                <w:sz w:val="26"/>
                <w:szCs w:val="28"/>
              </w:rPr>
              <w:t>較</w:t>
            </w:r>
          </w:p>
        </w:tc>
      </w:tr>
      <w:tr w:rsidR="0018236C" w:rsidRPr="00E520D4" w:rsidTr="00714FDA">
        <w:trPr>
          <w:cantSplit/>
          <w:trHeight w:val="450"/>
        </w:trPr>
        <w:tc>
          <w:tcPr>
            <w:tcW w:w="2760" w:type="dxa"/>
            <w:gridSpan w:val="2"/>
            <w:vMerge/>
            <w:tcBorders>
              <w:left w:val="single" w:sz="12" w:space="0" w:color="auto"/>
            </w:tcBorders>
            <w:vAlign w:val="center"/>
          </w:tcPr>
          <w:p w:rsidR="0018236C" w:rsidRPr="00E520D4" w:rsidRDefault="0018236C" w:rsidP="00714FDA">
            <w:pPr>
              <w:spacing w:line="280" w:lineRule="exact"/>
              <w:jc w:val="center"/>
              <w:rPr>
                <w:rFonts w:ascii="標楷體" w:eastAsia="標楷體" w:hAnsi="標楷體"/>
                <w:color w:val="000000"/>
                <w:sz w:val="28"/>
              </w:rPr>
            </w:pPr>
          </w:p>
        </w:tc>
        <w:tc>
          <w:tcPr>
            <w:tcW w:w="1320" w:type="dxa"/>
            <w:tcBorders>
              <w:top w:val="single" w:sz="6" w:space="0" w:color="auto"/>
              <w:bottom w:val="nil"/>
            </w:tcBorders>
            <w:vAlign w:val="center"/>
          </w:tcPr>
          <w:p w:rsidR="0018236C" w:rsidRPr="00E520D4" w:rsidRDefault="0018236C" w:rsidP="00714FDA">
            <w:pPr>
              <w:tabs>
                <w:tab w:val="left" w:pos="4110"/>
              </w:tabs>
              <w:snapToGrid w:val="0"/>
              <w:spacing w:line="320" w:lineRule="exact"/>
              <w:jc w:val="center"/>
              <w:rPr>
                <w:rFonts w:ascii="標楷體" w:eastAsia="標楷體" w:hAnsi="標楷體"/>
                <w:color w:val="000000"/>
                <w:sz w:val="26"/>
                <w:szCs w:val="28"/>
              </w:rPr>
            </w:pPr>
            <w:r w:rsidRPr="00E520D4">
              <w:rPr>
                <w:rFonts w:ascii="標楷體" w:eastAsia="標楷體" w:hAnsi="標楷體" w:hint="eastAsia"/>
                <w:color w:val="000000"/>
                <w:sz w:val="26"/>
                <w:szCs w:val="28"/>
              </w:rPr>
              <w:t>金額</w:t>
            </w:r>
          </w:p>
        </w:tc>
        <w:tc>
          <w:tcPr>
            <w:tcW w:w="960" w:type="dxa"/>
            <w:vMerge w:val="restart"/>
            <w:tcBorders>
              <w:top w:val="single" w:sz="6" w:space="0" w:color="auto"/>
            </w:tcBorders>
            <w:vAlign w:val="center"/>
          </w:tcPr>
          <w:p w:rsidR="0018236C" w:rsidRPr="00E520D4" w:rsidRDefault="0018236C" w:rsidP="00714FDA">
            <w:pPr>
              <w:tabs>
                <w:tab w:val="left" w:pos="4110"/>
              </w:tabs>
              <w:snapToGrid w:val="0"/>
              <w:spacing w:line="320" w:lineRule="exact"/>
              <w:jc w:val="center"/>
              <w:rPr>
                <w:rFonts w:ascii="標楷體" w:eastAsia="標楷體" w:hAnsi="標楷體"/>
                <w:color w:val="000000"/>
                <w:sz w:val="26"/>
                <w:szCs w:val="28"/>
              </w:rPr>
            </w:pPr>
            <w:r w:rsidRPr="00E520D4">
              <w:rPr>
                <w:rFonts w:ascii="標楷體" w:eastAsia="標楷體" w:hAnsi="標楷體" w:hint="eastAsia"/>
                <w:color w:val="000000"/>
                <w:sz w:val="26"/>
                <w:szCs w:val="28"/>
              </w:rPr>
              <w:t>％</w:t>
            </w:r>
          </w:p>
        </w:tc>
        <w:tc>
          <w:tcPr>
            <w:tcW w:w="1200" w:type="dxa"/>
            <w:tcBorders>
              <w:top w:val="single" w:sz="6" w:space="0" w:color="auto"/>
              <w:bottom w:val="nil"/>
              <w:right w:val="single" w:sz="6" w:space="0" w:color="auto"/>
            </w:tcBorders>
            <w:vAlign w:val="center"/>
          </w:tcPr>
          <w:p w:rsidR="0018236C" w:rsidRPr="00E520D4" w:rsidRDefault="0018236C" w:rsidP="00714FDA">
            <w:pPr>
              <w:tabs>
                <w:tab w:val="left" w:pos="4110"/>
              </w:tabs>
              <w:snapToGrid w:val="0"/>
              <w:spacing w:line="320" w:lineRule="exact"/>
              <w:jc w:val="center"/>
              <w:rPr>
                <w:rFonts w:ascii="標楷體" w:eastAsia="標楷體" w:hAnsi="標楷體"/>
                <w:color w:val="000000"/>
                <w:sz w:val="26"/>
                <w:szCs w:val="28"/>
              </w:rPr>
            </w:pPr>
            <w:r w:rsidRPr="00E520D4">
              <w:rPr>
                <w:rFonts w:ascii="標楷體" w:eastAsia="標楷體" w:hAnsi="標楷體" w:hint="eastAsia"/>
                <w:color w:val="000000"/>
                <w:sz w:val="26"/>
                <w:szCs w:val="28"/>
              </w:rPr>
              <w:t>金額</w:t>
            </w:r>
          </w:p>
        </w:tc>
        <w:tc>
          <w:tcPr>
            <w:tcW w:w="840" w:type="dxa"/>
            <w:vMerge w:val="restart"/>
            <w:tcBorders>
              <w:top w:val="single" w:sz="6" w:space="0" w:color="auto"/>
              <w:right w:val="single" w:sz="6" w:space="0" w:color="auto"/>
            </w:tcBorders>
            <w:vAlign w:val="center"/>
          </w:tcPr>
          <w:p w:rsidR="0018236C" w:rsidRPr="00E520D4" w:rsidRDefault="0018236C" w:rsidP="00714FDA">
            <w:pPr>
              <w:tabs>
                <w:tab w:val="left" w:pos="4110"/>
              </w:tabs>
              <w:snapToGrid w:val="0"/>
              <w:spacing w:line="320" w:lineRule="exact"/>
              <w:jc w:val="center"/>
              <w:rPr>
                <w:rFonts w:ascii="標楷體" w:eastAsia="標楷體" w:hAnsi="標楷體"/>
                <w:color w:val="000000"/>
                <w:sz w:val="26"/>
                <w:szCs w:val="28"/>
              </w:rPr>
            </w:pPr>
            <w:r w:rsidRPr="00E520D4">
              <w:rPr>
                <w:rFonts w:ascii="標楷體" w:eastAsia="標楷體" w:hAnsi="標楷體" w:hint="eastAsia"/>
                <w:color w:val="000000"/>
                <w:sz w:val="26"/>
                <w:szCs w:val="28"/>
              </w:rPr>
              <w:t>％</w:t>
            </w:r>
          </w:p>
        </w:tc>
        <w:tc>
          <w:tcPr>
            <w:tcW w:w="1200" w:type="dxa"/>
            <w:tcBorders>
              <w:top w:val="single" w:sz="6" w:space="0" w:color="auto"/>
              <w:bottom w:val="nil"/>
              <w:right w:val="single" w:sz="6" w:space="0" w:color="auto"/>
            </w:tcBorders>
            <w:vAlign w:val="center"/>
          </w:tcPr>
          <w:p w:rsidR="0018236C" w:rsidRPr="00E520D4" w:rsidRDefault="0018236C" w:rsidP="00714FDA">
            <w:pPr>
              <w:tabs>
                <w:tab w:val="left" w:pos="4110"/>
              </w:tabs>
              <w:snapToGrid w:val="0"/>
              <w:spacing w:line="320" w:lineRule="exact"/>
              <w:jc w:val="center"/>
              <w:rPr>
                <w:rFonts w:ascii="標楷體" w:eastAsia="標楷體" w:hAnsi="標楷體"/>
                <w:color w:val="000000"/>
                <w:sz w:val="26"/>
                <w:szCs w:val="28"/>
              </w:rPr>
            </w:pPr>
            <w:r w:rsidRPr="00E520D4">
              <w:rPr>
                <w:rFonts w:ascii="標楷體" w:eastAsia="標楷體" w:hAnsi="標楷體" w:hint="eastAsia"/>
                <w:color w:val="000000"/>
                <w:sz w:val="26"/>
                <w:szCs w:val="28"/>
              </w:rPr>
              <w:t>金額</w:t>
            </w:r>
          </w:p>
        </w:tc>
        <w:tc>
          <w:tcPr>
            <w:tcW w:w="840" w:type="dxa"/>
            <w:vMerge w:val="restart"/>
            <w:tcBorders>
              <w:top w:val="single" w:sz="6" w:space="0" w:color="auto"/>
              <w:right w:val="single" w:sz="12" w:space="0" w:color="auto"/>
            </w:tcBorders>
            <w:vAlign w:val="bottom"/>
          </w:tcPr>
          <w:p w:rsidR="0018236C" w:rsidRPr="00E520D4" w:rsidRDefault="0018236C" w:rsidP="00714FDA">
            <w:pPr>
              <w:tabs>
                <w:tab w:val="left" w:pos="4110"/>
              </w:tabs>
              <w:snapToGrid w:val="0"/>
              <w:spacing w:line="320" w:lineRule="exact"/>
              <w:jc w:val="center"/>
              <w:rPr>
                <w:rFonts w:ascii="標楷體" w:eastAsia="標楷體" w:hAnsi="標楷體"/>
                <w:color w:val="000000"/>
                <w:sz w:val="26"/>
                <w:szCs w:val="28"/>
              </w:rPr>
            </w:pPr>
            <w:r w:rsidRPr="00E520D4">
              <w:rPr>
                <w:rFonts w:ascii="標楷體" w:eastAsia="標楷體" w:hAnsi="標楷體" w:hint="eastAsia"/>
                <w:color w:val="000000"/>
                <w:sz w:val="26"/>
                <w:szCs w:val="28"/>
              </w:rPr>
              <w:t>增減</w:t>
            </w:r>
          </w:p>
          <w:p w:rsidR="0018236C" w:rsidRPr="00E520D4" w:rsidRDefault="0018236C" w:rsidP="00714FDA">
            <w:pPr>
              <w:tabs>
                <w:tab w:val="left" w:pos="4110"/>
              </w:tabs>
              <w:snapToGrid w:val="0"/>
              <w:spacing w:line="320" w:lineRule="exact"/>
              <w:jc w:val="center"/>
              <w:rPr>
                <w:rFonts w:ascii="標楷體" w:eastAsia="標楷體" w:hAnsi="標楷體"/>
                <w:color w:val="000000"/>
                <w:sz w:val="26"/>
                <w:szCs w:val="28"/>
              </w:rPr>
            </w:pPr>
            <w:r w:rsidRPr="00E520D4">
              <w:rPr>
                <w:rFonts w:ascii="標楷體" w:eastAsia="標楷體" w:hAnsi="標楷體" w:hint="eastAsia"/>
                <w:color w:val="000000"/>
                <w:sz w:val="26"/>
                <w:szCs w:val="28"/>
              </w:rPr>
              <w:t>％</w:t>
            </w:r>
          </w:p>
        </w:tc>
      </w:tr>
      <w:tr w:rsidR="0018236C" w:rsidRPr="00E520D4" w:rsidTr="00714FDA">
        <w:trPr>
          <w:cantSplit/>
          <w:trHeight w:hRule="exact" w:val="227"/>
        </w:trPr>
        <w:tc>
          <w:tcPr>
            <w:tcW w:w="2760" w:type="dxa"/>
            <w:gridSpan w:val="2"/>
            <w:vMerge/>
            <w:tcBorders>
              <w:left w:val="single" w:sz="12" w:space="0" w:color="auto"/>
              <w:bottom w:val="single" w:sz="6" w:space="0" w:color="auto"/>
            </w:tcBorders>
            <w:vAlign w:val="center"/>
          </w:tcPr>
          <w:p w:rsidR="0018236C" w:rsidRPr="00E520D4" w:rsidRDefault="0018236C" w:rsidP="00714FDA">
            <w:pPr>
              <w:spacing w:line="200" w:lineRule="exact"/>
              <w:jc w:val="center"/>
              <w:rPr>
                <w:rFonts w:ascii="標楷體" w:eastAsia="標楷體" w:hAnsi="標楷體"/>
                <w:color w:val="000000"/>
                <w:sz w:val="28"/>
              </w:rPr>
            </w:pPr>
          </w:p>
        </w:tc>
        <w:tc>
          <w:tcPr>
            <w:tcW w:w="1320" w:type="dxa"/>
            <w:tcBorders>
              <w:top w:val="nil"/>
              <w:bottom w:val="single" w:sz="6" w:space="0" w:color="auto"/>
            </w:tcBorders>
            <w:vAlign w:val="center"/>
          </w:tcPr>
          <w:p w:rsidR="0018236C" w:rsidRPr="00E520D4" w:rsidRDefault="0018236C" w:rsidP="00714FDA">
            <w:pPr>
              <w:tabs>
                <w:tab w:val="left" w:pos="4110"/>
              </w:tabs>
              <w:snapToGrid w:val="0"/>
              <w:spacing w:line="200" w:lineRule="exact"/>
              <w:jc w:val="center"/>
              <w:rPr>
                <w:rFonts w:ascii="標楷體" w:eastAsia="標楷體" w:hAnsi="標楷體"/>
                <w:color w:val="000000"/>
                <w:sz w:val="28"/>
                <w:szCs w:val="28"/>
              </w:rPr>
            </w:pPr>
            <w:r w:rsidRPr="00E520D4">
              <w:rPr>
                <w:rFonts w:eastAsia="標楷體"/>
                <w:color w:val="000000"/>
                <w:sz w:val="20"/>
                <w:szCs w:val="28"/>
              </w:rPr>
              <w:t>(A)</w:t>
            </w:r>
          </w:p>
        </w:tc>
        <w:tc>
          <w:tcPr>
            <w:tcW w:w="960" w:type="dxa"/>
            <w:vMerge/>
            <w:tcBorders>
              <w:bottom w:val="single" w:sz="6" w:space="0" w:color="auto"/>
            </w:tcBorders>
            <w:vAlign w:val="center"/>
          </w:tcPr>
          <w:p w:rsidR="0018236C" w:rsidRPr="00E520D4" w:rsidRDefault="0018236C" w:rsidP="00714FDA">
            <w:pPr>
              <w:tabs>
                <w:tab w:val="left" w:pos="4110"/>
              </w:tabs>
              <w:snapToGrid w:val="0"/>
              <w:spacing w:line="200" w:lineRule="exact"/>
              <w:jc w:val="center"/>
              <w:rPr>
                <w:rFonts w:ascii="標楷體" w:eastAsia="標楷體" w:hAnsi="標楷體"/>
                <w:color w:val="000000"/>
                <w:sz w:val="28"/>
                <w:szCs w:val="28"/>
              </w:rPr>
            </w:pPr>
          </w:p>
        </w:tc>
        <w:tc>
          <w:tcPr>
            <w:tcW w:w="1200" w:type="dxa"/>
            <w:tcBorders>
              <w:top w:val="nil"/>
              <w:bottom w:val="single" w:sz="6" w:space="0" w:color="auto"/>
              <w:right w:val="single" w:sz="6" w:space="0" w:color="auto"/>
            </w:tcBorders>
            <w:vAlign w:val="center"/>
          </w:tcPr>
          <w:p w:rsidR="0018236C" w:rsidRPr="00E520D4" w:rsidRDefault="0018236C" w:rsidP="00714FDA">
            <w:pPr>
              <w:tabs>
                <w:tab w:val="left" w:pos="4110"/>
              </w:tabs>
              <w:snapToGrid w:val="0"/>
              <w:spacing w:line="200" w:lineRule="exact"/>
              <w:jc w:val="center"/>
              <w:rPr>
                <w:rFonts w:ascii="標楷體" w:eastAsia="標楷體" w:hAnsi="標楷體"/>
                <w:color w:val="000000"/>
                <w:sz w:val="28"/>
                <w:szCs w:val="28"/>
              </w:rPr>
            </w:pPr>
            <w:r w:rsidRPr="00E520D4">
              <w:rPr>
                <w:rFonts w:eastAsia="標楷體"/>
                <w:color w:val="000000"/>
                <w:sz w:val="20"/>
                <w:szCs w:val="28"/>
              </w:rPr>
              <w:t>(B)</w:t>
            </w:r>
          </w:p>
        </w:tc>
        <w:tc>
          <w:tcPr>
            <w:tcW w:w="840" w:type="dxa"/>
            <w:vMerge/>
            <w:tcBorders>
              <w:bottom w:val="single" w:sz="6" w:space="0" w:color="auto"/>
              <w:right w:val="single" w:sz="6" w:space="0" w:color="auto"/>
            </w:tcBorders>
            <w:vAlign w:val="center"/>
          </w:tcPr>
          <w:p w:rsidR="0018236C" w:rsidRPr="00E520D4" w:rsidRDefault="0018236C" w:rsidP="00714FDA">
            <w:pPr>
              <w:tabs>
                <w:tab w:val="left" w:pos="4110"/>
              </w:tabs>
              <w:snapToGrid w:val="0"/>
              <w:spacing w:line="200" w:lineRule="exact"/>
              <w:jc w:val="center"/>
              <w:rPr>
                <w:rFonts w:ascii="標楷體" w:eastAsia="標楷體" w:hAnsi="標楷體"/>
                <w:color w:val="000000"/>
                <w:sz w:val="28"/>
                <w:szCs w:val="28"/>
              </w:rPr>
            </w:pPr>
          </w:p>
        </w:tc>
        <w:tc>
          <w:tcPr>
            <w:tcW w:w="1200" w:type="dxa"/>
            <w:tcBorders>
              <w:top w:val="nil"/>
              <w:bottom w:val="single" w:sz="6" w:space="0" w:color="auto"/>
              <w:right w:val="single" w:sz="6" w:space="0" w:color="auto"/>
            </w:tcBorders>
            <w:vAlign w:val="center"/>
          </w:tcPr>
          <w:p w:rsidR="0018236C" w:rsidRPr="00E520D4" w:rsidRDefault="0018236C" w:rsidP="00714FDA">
            <w:pPr>
              <w:tabs>
                <w:tab w:val="left" w:pos="4110"/>
              </w:tabs>
              <w:snapToGrid w:val="0"/>
              <w:spacing w:line="200" w:lineRule="exact"/>
              <w:jc w:val="center"/>
              <w:rPr>
                <w:rFonts w:ascii="標楷體" w:eastAsia="標楷體" w:hAnsi="標楷體"/>
                <w:color w:val="000000"/>
                <w:sz w:val="28"/>
                <w:szCs w:val="28"/>
              </w:rPr>
            </w:pPr>
            <w:r w:rsidRPr="00E520D4">
              <w:rPr>
                <w:rFonts w:eastAsia="標楷體"/>
                <w:color w:val="000000"/>
                <w:sz w:val="20"/>
                <w:szCs w:val="28"/>
              </w:rPr>
              <w:t>(A-B)</w:t>
            </w:r>
          </w:p>
        </w:tc>
        <w:tc>
          <w:tcPr>
            <w:tcW w:w="840" w:type="dxa"/>
            <w:vMerge/>
            <w:tcBorders>
              <w:bottom w:val="single" w:sz="6" w:space="0" w:color="auto"/>
              <w:right w:val="single" w:sz="12" w:space="0" w:color="auto"/>
            </w:tcBorders>
            <w:vAlign w:val="center"/>
          </w:tcPr>
          <w:p w:rsidR="0018236C" w:rsidRPr="00E520D4" w:rsidRDefault="0018236C" w:rsidP="00714FDA">
            <w:pPr>
              <w:tabs>
                <w:tab w:val="left" w:pos="4110"/>
              </w:tabs>
              <w:snapToGrid w:val="0"/>
              <w:spacing w:line="200" w:lineRule="exact"/>
              <w:jc w:val="center"/>
              <w:rPr>
                <w:rFonts w:ascii="標楷體" w:eastAsia="標楷體" w:hAnsi="標楷體"/>
                <w:color w:val="000000"/>
                <w:sz w:val="28"/>
                <w:szCs w:val="28"/>
              </w:rPr>
            </w:pPr>
          </w:p>
        </w:tc>
      </w:tr>
      <w:tr w:rsidR="0018236C" w:rsidRPr="00E520D4" w:rsidTr="00714FDA">
        <w:trPr>
          <w:cantSplit/>
          <w:trHeight w:hRule="exact" w:val="510"/>
        </w:trPr>
        <w:tc>
          <w:tcPr>
            <w:tcW w:w="2760" w:type="dxa"/>
            <w:gridSpan w:val="2"/>
            <w:tcBorders>
              <w:top w:val="single" w:sz="6" w:space="0" w:color="auto"/>
              <w:left w:val="single" w:sz="12" w:space="0" w:color="auto"/>
              <w:bottom w:val="single" w:sz="4" w:space="0" w:color="auto"/>
              <w:right w:val="single" w:sz="4" w:space="0" w:color="auto"/>
            </w:tcBorders>
            <w:vAlign w:val="center"/>
          </w:tcPr>
          <w:p w:rsidR="0018236C" w:rsidRPr="00E520D4" w:rsidRDefault="0018236C" w:rsidP="00714FDA">
            <w:pPr>
              <w:spacing w:line="320" w:lineRule="exact"/>
              <w:jc w:val="center"/>
              <w:rPr>
                <w:rFonts w:ascii="標楷體" w:eastAsia="標楷體" w:hAnsi="標楷體"/>
                <w:color w:val="000000"/>
                <w:spacing w:val="-4"/>
                <w:sz w:val="26"/>
                <w:szCs w:val="32"/>
              </w:rPr>
            </w:pPr>
            <w:r w:rsidRPr="00E520D4">
              <w:rPr>
                <w:rFonts w:ascii="標楷體" w:eastAsia="標楷體" w:hAnsi="標楷體" w:hint="eastAsia"/>
                <w:color w:val="000000"/>
                <w:spacing w:val="-4"/>
                <w:sz w:val="26"/>
                <w:szCs w:val="32"/>
              </w:rPr>
              <w:t>合</w:t>
            </w:r>
            <w:r w:rsidRPr="00E520D4">
              <w:rPr>
                <w:rFonts w:ascii="標楷體" w:eastAsia="標楷體" w:hAnsi="標楷體"/>
                <w:color w:val="000000"/>
                <w:spacing w:val="-4"/>
                <w:sz w:val="26"/>
                <w:szCs w:val="32"/>
              </w:rPr>
              <w:t xml:space="preserve">       </w:t>
            </w:r>
            <w:r w:rsidRPr="00E520D4">
              <w:rPr>
                <w:rFonts w:ascii="標楷體" w:eastAsia="標楷體" w:hAnsi="標楷體" w:hint="eastAsia"/>
                <w:color w:val="000000"/>
                <w:spacing w:val="-4"/>
                <w:sz w:val="26"/>
                <w:szCs w:val="32"/>
              </w:rPr>
              <w:t>計</w:t>
            </w:r>
          </w:p>
        </w:tc>
        <w:tc>
          <w:tcPr>
            <w:tcW w:w="1320" w:type="dxa"/>
            <w:tcBorders>
              <w:top w:val="single" w:sz="6" w:space="0" w:color="auto"/>
              <w:left w:val="single" w:sz="4" w:space="0" w:color="auto"/>
              <w:bottom w:val="single" w:sz="4" w:space="0" w:color="auto"/>
              <w:right w:val="single" w:sz="4" w:space="0" w:color="auto"/>
            </w:tcBorders>
            <w:vAlign w:val="center"/>
          </w:tcPr>
          <w:p w:rsidR="0018236C" w:rsidRPr="0018236C" w:rsidRDefault="0018236C" w:rsidP="00714FDA">
            <w:pPr>
              <w:spacing w:line="280" w:lineRule="exact"/>
              <w:ind w:rightChars="50" w:right="120"/>
              <w:jc w:val="right"/>
            </w:pPr>
            <w:r w:rsidRPr="0018236C">
              <w:rPr>
                <w:rFonts w:hint="eastAsia"/>
              </w:rPr>
              <w:t>19,213</w:t>
            </w:r>
          </w:p>
        </w:tc>
        <w:tc>
          <w:tcPr>
            <w:tcW w:w="960" w:type="dxa"/>
            <w:tcBorders>
              <w:top w:val="single" w:sz="6" w:space="0" w:color="auto"/>
              <w:left w:val="single" w:sz="4" w:space="0" w:color="auto"/>
              <w:bottom w:val="single" w:sz="4" w:space="0" w:color="auto"/>
              <w:right w:val="single" w:sz="4" w:space="0" w:color="auto"/>
            </w:tcBorders>
            <w:vAlign w:val="center"/>
          </w:tcPr>
          <w:p w:rsidR="0018236C" w:rsidRPr="0018236C" w:rsidRDefault="0018236C" w:rsidP="00714FDA">
            <w:pPr>
              <w:spacing w:line="280" w:lineRule="exact"/>
              <w:ind w:rightChars="50" w:right="120"/>
              <w:jc w:val="right"/>
            </w:pPr>
            <w:r w:rsidRPr="0018236C">
              <w:t xml:space="preserve">100.0 </w:t>
            </w:r>
          </w:p>
        </w:tc>
        <w:tc>
          <w:tcPr>
            <w:tcW w:w="1200" w:type="dxa"/>
            <w:tcBorders>
              <w:top w:val="single" w:sz="6" w:space="0" w:color="auto"/>
              <w:left w:val="single" w:sz="4" w:space="0" w:color="auto"/>
              <w:bottom w:val="single" w:sz="4" w:space="0" w:color="auto"/>
              <w:right w:val="single" w:sz="4" w:space="0" w:color="auto"/>
            </w:tcBorders>
            <w:vAlign w:val="center"/>
          </w:tcPr>
          <w:p w:rsidR="0018236C" w:rsidRPr="0018236C" w:rsidRDefault="0018236C" w:rsidP="00714FDA">
            <w:pPr>
              <w:spacing w:line="280" w:lineRule="exact"/>
              <w:ind w:rightChars="50" w:right="120"/>
              <w:jc w:val="right"/>
            </w:pPr>
            <w:r w:rsidRPr="0018236C">
              <w:rPr>
                <w:rFonts w:hint="eastAsia"/>
              </w:rPr>
              <w:t>18,415</w:t>
            </w:r>
          </w:p>
        </w:tc>
        <w:tc>
          <w:tcPr>
            <w:tcW w:w="840" w:type="dxa"/>
            <w:tcBorders>
              <w:top w:val="single" w:sz="6" w:space="0" w:color="auto"/>
              <w:left w:val="single" w:sz="4" w:space="0" w:color="auto"/>
              <w:bottom w:val="single" w:sz="4" w:space="0" w:color="auto"/>
              <w:right w:val="single" w:sz="4" w:space="0" w:color="auto"/>
            </w:tcBorders>
            <w:vAlign w:val="center"/>
          </w:tcPr>
          <w:p w:rsidR="0018236C" w:rsidRPr="0018236C" w:rsidRDefault="0018236C" w:rsidP="00714FDA">
            <w:pPr>
              <w:spacing w:line="280" w:lineRule="exact"/>
              <w:ind w:rightChars="50" w:right="120"/>
              <w:jc w:val="right"/>
            </w:pPr>
            <w:r w:rsidRPr="0018236C">
              <w:t xml:space="preserve">100.0 </w:t>
            </w:r>
          </w:p>
        </w:tc>
        <w:tc>
          <w:tcPr>
            <w:tcW w:w="1200" w:type="dxa"/>
            <w:tcBorders>
              <w:top w:val="single" w:sz="6" w:space="0" w:color="auto"/>
              <w:left w:val="single" w:sz="4" w:space="0" w:color="auto"/>
              <w:bottom w:val="single" w:sz="4" w:space="0" w:color="auto"/>
              <w:right w:val="single" w:sz="4" w:space="0" w:color="auto"/>
            </w:tcBorders>
            <w:vAlign w:val="center"/>
          </w:tcPr>
          <w:p w:rsidR="0018236C" w:rsidRPr="0018236C" w:rsidRDefault="0018236C" w:rsidP="00714FDA">
            <w:pPr>
              <w:spacing w:line="280" w:lineRule="exact"/>
              <w:ind w:rightChars="50" w:right="120"/>
              <w:jc w:val="right"/>
            </w:pPr>
            <w:r w:rsidRPr="0018236C">
              <w:rPr>
                <w:rFonts w:hint="eastAsia"/>
              </w:rPr>
              <w:t>798</w:t>
            </w:r>
          </w:p>
        </w:tc>
        <w:tc>
          <w:tcPr>
            <w:tcW w:w="840" w:type="dxa"/>
            <w:tcBorders>
              <w:top w:val="single" w:sz="6" w:space="0" w:color="auto"/>
              <w:left w:val="single" w:sz="4" w:space="0" w:color="auto"/>
              <w:bottom w:val="single" w:sz="4" w:space="0" w:color="auto"/>
              <w:right w:val="single" w:sz="12" w:space="0" w:color="auto"/>
            </w:tcBorders>
            <w:vAlign w:val="center"/>
          </w:tcPr>
          <w:p w:rsidR="0018236C" w:rsidRPr="0018236C" w:rsidRDefault="0018236C" w:rsidP="00714FDA">
            <w:pPr>
              <w:spacing w:line="280" w:lineRule="exact"/>
              <w:ind w:rightChars="50" w:right="120"/>
              <w:jc w:val="right"/>
            </w:pPr>
            <w:r w:rsidRPr="0018236C">
              <w:rPr>
                <w:rFonts w:hint="eastAsia"/>
              </w:rPr>
              <w:t>4.3</w:t>
            </w:r>
          </w:p>
        </w:tc>
      </w:tr>
      <w:tr w:rsidR="0018236C" w:rsidRPr="00E520D4" w:rsidTr="00714FDA">
        <w:trPr>
          <w:cantSplit/>
          <w:trHeight w:hRule="exact" w:val="510"/>
        </w:trPr>
        <w:tc>
          <w:tcPr>
            <w:tcW w:w="2760" w:type="dxa"/>
            <w:gridSpan w:val="2"/>
            <w:tcBorders>
              <w:top w:val="single" w:sz="4" w:space="0" w:color="auto"/>
              <w:left w:val="single" w:sz="12" w:space="0" w:color="auto"/>
              <w:bottom w:val="nil"/>
              <w:right w:val="single" w:sz="4" w:space="0" w:color="auto"/>
            </w:tcBorders>
            <w:vAlign w:val="center"/>
          </w:tcPr>
          <w:p w:rsidR="0018236C" w:rsidRPr="00E520D4" w:rsidRDefault="0018236C" w:rsidP="00714FDA">
            <w:pPr>
              <w:jc w:val="both"/>
              <w:rPr>
                <w:rFonts w:eastAsia="標楷體"/>
                <w:color w:val="000000"/>
                <w:sz w:val="26"/>
                <w:szCs w:val="24"/>
              </w:rPr>
            </w:pPr>
            <w:r w:rsidRPr="00E520D4">
              <w:rPr>
                <w:rFonts w:eastAsia="標楷體"/>
                <w:color w:val="000000"/>
                <w:sz w:val="26"/>
              </w:rPr>
              <w:t>1.</w:t>
            </w:r>
            <w:r w:rsidRPr="00E520D4">
              <w:rPr>
                <w:rFonts w:eastAsia="標楷體" w:hAnsi="標楷體" w:hint="eastAsia"/>
                <w:color w:val="000000"/>
                <w:sz w:val="26"/>
              </w:rPr>
              <w:t>稅課收入</w:t>
            </w:r>
          </w:p>
        </w:tc>
        <w:tc>
          <w:tcPr>
            <w:tcW w:w="1320" w:type="dxa"/>
            <w:tcBorders>
              <w:top w:val="single" w:sz="4" w:space="0" w:color="auto"/>
              <w:left w:val="single" w:sz="4" w:space="0" w:color="auto"/>
              <w:bottom w:val="single" w:sz="4" w:space="0" w:color="auto"/>
              <w:right w:val="single" w:sz="4" w:space="0" w:color="auto"/>
            </w:tcBorders>
            <w:vAlign w:val="center"/>
          </w:tcPr>
          <w:p w:rsidR="0018236C" w:rsidRPr="0018236C" w:rsidRDefault="0018236C" w:rsidP="00714FDA">
            <w:pPr>
              <w:spacing w:line="280" w:lineRule="exact"/>
              <w:ind w:rightChars="50" w:right="120"/>
              <w:jc w:val="right"/>
            </w:pPr>
            <w:r w:rsidRPr="0018236C">
              <w:rPr>
                <w:rFonts w:hint="eastAsia"/>
              </w:rPr>
              <w:t>15,229</w:t>
            </w:r>
          </w:p>
        </w:tc>
        <w:tc>
          <w:tcPr>
            <w:tcW w:w="960" w:type="dxa"/>
            <w:tcBorders>
              <w:top w:val="single" w:sz="4" w:space="0" w:color="auto"/>
              <w:left w:val="single" w:sz="4" w:space="0" w:color="auto"/>
              <w:bottom w:val="single" w:sz="4" w:space="0" w:color="auto"/>
              <w:right w:val="single" w:sz="4" w:space="0" w:color="auto"/>
            </w:tcBorders>
            <w:vAlign w:val="center"/>
          </w:tcPr>
          <w:p w:rsidR="0018236C" w:rsidRPr="0018236C" w:rsidRDefault="0018236C" w:rsidP="00714FDA">
            <w:pPr>
              <w:spacing w:line="280" w:lineRule="exact"/>
              <w:ind w:rightChars="50" w:right="120"/>
              <w:jc w:val="right"/>
            </w:pPr>
            <w:r w:rsidRPr="0018236C">
              <w:rPr>
                <w:rFonts w:hint="eastAsia"/>
              </w:rPr>
              <w:t>79.3</w:t>
            </w:r>
            <w:r w:rsidRPr="0018236C">
              <w:t xml:space="preserve"> </w:t>
            </w:r>
          </w:p>
        </w:tc>
        <w:tc>
          <w:tcPr>
            <w:tcW w:w="1200" w:type="dxa"/>
            <w:tcBorders>
              <w:top w:val="single" w:sz="4" w:space="0" w:color="auto"/>
              <w:left w:val="single" w:sz="4" w:space="0" w:color="auto"/>
              <w:bottom w:val="single" w:sz="4" w:space="0" w:color="auto"/>
              <w:right w:val="single" w:sz="4" w:space="0" w:color="auto"/>
            </w:tcBorders>
            <w:vAlign w:val="center"/>
          </w:tcPr>
          <w:p w:rsidR="0018236C" w:rsidRPr="0018236C" w:rsidRDefault="0018236C" w:rsidP="00714FDA">
            <w:pPr>
              <w:spacing w:line="280" w:lineRule="exact"/>
              <w:ind w:rightChars="50" w:right="120"/>
              <w:jc w:val="right"/>
            </w:pPr>
            <w:r w:rsidRPr="0018236C">
              <w:rPr>
                <w:rFonts w:hint="eastAsia"/>
              </w:rPr>
              <w:t>14,693</w:t>
            </w:r>
          </w:p>
        </w:tc>
        <w:tc>
          <w:tcPr>
            <w:tcW w:w="840" w:type="dxa"/>
            <w:tcBorders>
              <w:top w:val="single" w:sz="4" w:space="0" w:color="auto"/>
              <w:left w:val="single" w:sz="4" w:space="0" w:color="auto"/>
              <w:bottom w:val="single" w:sz="4" w:space="0" w:color="auto"/>
              <w:right w:val="single" w:sz="4" w:space="0" w:color="auto"/>
            </w:tcBorders>
            <w:vAlign w:val="center"/>
          </w:tcPr>
          <w:p w:rsidR="0018236C" w:rsidRPr="0018236C" w:rsidRDefault="0018236C" w:rsidP="00714FDA">
            <w:pPr>
              <w:spacing w:line="280" w:lineRule="exact"/>
              <w:ind w:rightChars="50" w:right="120"/>
              <w:jc w:val="right"/>
            </w:pPr>
            <w:r w:rsidRPr="0018236C">
              <w:rPr>
                <w:rFonts w:hint="eastAsia"/>
              </w:rPr>
              <w:t>79.8</w:t>
            </w:r>
          </w:p>
        </w:tc>
        <w:tc>
          <w:tcPr>
            <w:tcW w:w="1200" w:type="dxa"/>
            <w:tcBorders>
              <w:top w:val="single" w:sz="4" w:space="0" w:color="auto"/>
              <w:left w:val="single" w:sz="4" w:space="0" w:color="auto"/>
              <w:bottom w:val="single" w:sz="4" w:space="0" w:color="auto"/>
              <w:right w:val="single" w:sz="4" w:space="0" w:color="auto"/>
            </w:tcBorders>
            <w:vAlign w:val="center"/>
          </w:tcPr>
          <w:p w:rsidR="0018236C" w:rsidRPr="0018236C" w:rsidRDefault="0018236C" w:rsidP="00714FDA">
            <w:pPr>
              <w:spacing w:line="280" w:lineRule="exact"/>
              <w:ind w:rightChars="50" w:right="120"/>
              <w:jc w:val="right"/>
            </w:pPr>
            <w:r w:rsidRPr="0018236C">
              <w:rPr>
                <w:rFonts w:hint="eastAsia"/>
              </w:rPr>
              <w:t>536</w:t>
            </w:r>
          </w:p>
        </w:tc>
        <w:tc>
          <w:tcPr>
            <w:tcW w:w="840" w:type="dxa"/>
            <w:tcBorders>
              <w:top w:val="single" w:sz="4" w:space="0" w:color="auto"/>
              <w:left w:val="single" w:sz="4" w:space="0" w:color="auto"/>
              <w:bottom w:val="single" w:sz="4" w:space="0" w:color="auto"/>
              <w:right w:val="single" w:sz="12" w:space="0" w:color="auto"/>
            </w:tcBorders>
            <w:vAlign w:val="center"/>
          </w:tcPr>
          <w:p w:rsidR="0018236C" w:rsidRPr="0018236C" w:rsidRDefault="0018236C" w:rsidP="00714FDA">
            <w:pPr>
              <w:spacing w:line="280" w:lineRule="exact"/>
              <w:ind w:rightChars="50" w:right="120"/>
              <w:jc w:val="right"/>
            </w:pPr>
            <w:r w:rsidRPr="0018236C">
              <w:rPr>
                <w:rFonts w:hint="eastAsia"/>
              </w:rPr>
              <w:t>3.6</w:t>
            </w:r>
          </w:p>
        </w:tc>
      </w:tr>
      <w:tr w:rsidR="0018236C" w:rsidRPr="00E520D4" w:rsidTr="00714FDA">
        <w:trPr>
          <w:trHeight w:hRule="exact" w:val="397"/>
        </w:trPr>
        <w:tc>
          <w:tcPr>
            <w:tcW w:w="600" w:type="dxa"/>
            <w:tcBorders>
              <w:top w:val="nil"/>
              <w:left w:val="single" w:sz="12" w:space="0" w:color="auto"/>
              <w:bottom w:val="nil"/>
              <w:right w:val="single" w:sz="4" w:space="0" w:color="auto"/>
            </w:tcBorders>
            <w:vAlign w:val="center"/>
          </w:tcPr>
          <w:p w:rsidR="0018236C" w:rsidRPr="00E520D4" w:rsidRDefault="0018236C" w:rsidP="00714FDA">
            <w:pPr>
              <w:spacing w:line="260" w:lineRule="exact"/>
              <w:ind w:firstLineChars="238" w:firstLine="619"/>
              <w:jc w:val="both"/>
              <w:rPr>
                <w:rFonts w:ascii="標楷體" w:eastAsia="標楷體" w:hAnsi="標楷體"/>
                <w:color w:val="000000"/>
                <w:sz w:val="26"/>
                <w:szCs w:val="26"/>
              </w:rPr>
            </w:pPr>
          </w:p>
        </w:tc>
        <w:tc>
          <w:tcPr>
            <w:tcW w:w="2160" w:type="dxa"/>
            <w:tcBorders>
              <w:top w:val="single" w:sz="4" w:space="0" w:color="auto"/>
              <w:left w:val="single" w:sz="4" w:space="0" w:color="auto"/>
              <w:bottom w:val="single" w:sz="4" w:space="0" w:color="auto"/>
              <w:right w:val="single" w:sz="4" w:space="0" w:color="auto"/>
            </w:tcBorders>
          </w:tcPr>
          <w:p w:rsidR="0018236C" w:rsidRPr="00E520D4" w:rsidRDefault="0018236C" w:rsidP="00714FDA">
            <w:pPr>
              <w:rPr>
                <w:rFonts w:eastAsia="標楷體"/>
                <w:color w:val="000000"/>
              </w:rPr>
            </w:pPr>
            <w:r w:rsidRPr="00E520D4">
              <w:rPr>
                <w:rFonts w:eastAsia="標楷體" w:hAnsi="標楷體" w:hint="eastAsia"/>
                <w:color w:val="000000"/>
              </w:rPr>
              <w:t>所得稅</w:t>
            </w:r>
          </w:p>
        </w:tc>
        <w:tc>
          <w:tcPr>
            <w:tcW w:w="1320" w:type="dxa"/>
            <w:tcBorders>
              <w:top w:val="single" w:sz="4" w:space="0" w:color="auto"/>
              <w:left w:val="single" w:sz="4" w:space="0" w:color="auto"/>
              <w:bottom w:val="single" w:sz="4" w:space="0" w:color="auto"/>
              <w:right w:val="single" w:sz="4" w:space="0" w:color="auto"/>
            </w:tcBorders>
            <w:vAlign w:val="center"/>
          </w:tcPr>
          <w:p w:rsidR="0018236C" w:rsidRPr="0018236C" w:rsidRDefault="0018236C" w:rsidP="00714FDA">
            <w:pPr>
              <w:spacing w:line="280" w:lineRule="exact"/>
              <w:ind w:rightChars="50" w:right="120"/>
              <w:jc w:val="right"/>
            </w:pPr>
            <w:r w:rsidRPr="0018236C">
              <w:rPr>
                <w:rFonts w:hint="eastAsia"/>
              </w:rPr>
              <w:t>8,697</w:t>
            </w:r>
          </w:p>
        </w:tc>
        <w:tc>
          <w:tcPr>
            <w:tcW w:w="960" w:type="dxa"/>
            <w:tcBorders>
              <w:top w:val="single" w:sz="4" w:space="0" w:color="auto"/>
              <w:left w:val="single" w:sz="4" w:space="0" w:color="auto"/>
              <w:bottom w:val="single" w:sz="4" w:space="0" w:color="auto"/>
              <w:right w:val="single" w:sz="4" w:space="0" w:color="auto"/>
            </w:tcBorders>
            <w:vAlign w:val="center"/>
          </w:tcPr>
          <w:p w:rsidR="0018236C" w:rsidRPr="0018236C" w:rsidRDefault="0018236C" w:rsidP="00714FDA">
            <w:pPr>
              <w:spacing w:line="280" w:lineRule="exact"/>
              <w:ind w:rightChars="50" w:right="120"/>
              <w:jc w:val="right"/>
            </w:pPr>
            <w:r w:rsidRPr="0018236C">
              <w:rPr>
                <w:rFonts w:hint="eastAsia"/>
              </w:rPr>
              <w:t>45.3</w:t>
            </w:r>
          </w:p>
        </w:tc>
        <w:tc>
          <w:tcPr>
            <w:tcW w:w="1200" w:type="dxa"/>
            <w:tcBorders>
              <w:top w:val="single" w:sz="4" w:space="0" w:color="auto"/>
              <w:left w:val="single" w:sz="4" w:space="0" w:color="auto"/>
              <w:bottom w:val="single" w:sz="4" w:space="0" w:color="auto"/>
              <w:right w:val="single" w:sz="4" w:space="0" w:color="auto"/>
            </w:tcBorders>
            <w:vAlign w:val="center"/>
          </w:tcPr>
          <w:p w:rsidR="0018236C" w:rsidRPr="0018236C" w:rsidRDefault="0018236C" w:rsidP="00714FDA">
            <w:pPr>
              <w:spacing w:line="280" w:lineRule="exact"/>
              <w:ind w:rightChars="50" w:right="120"/>
              <w:jc w:val="right"/>
            </w:pPr>
            <w:r w:rsidRPr="0018236C">
              <w:rPr>
                <w:rFonts w:hint="eastAsia"/>
              </w:rPr>
              <w:t>8,184</w:t>
            </w:r>
          </w:p>
        </w:tc>
        <w:tc>
          <w:tcPr>
            <w:tcW w:w="840" w:type="dxa"/>
            <w:tcBorders>
              <w:top w:val="single" w:sz="4" w:space="0" w:color="auto"/>
              <w:left w:val="single" w:sz="4" w:space="0" w:color="auto"/>
              <w:bottom w:val="single" w:sz="4" w:space="0" w:color="auto"/>
              <w:right w:val="single" w:sz="4" w:space="0" w:color="auto"/>
            </w:tcBorders>
            <w:vAlign w:val="center"/>
          </w:tcPr>
          <w:p w:rsidR="0018236C" w:rsidRPr="0018236C" w:rsidRDefault="0018236C" w:rsidP="00714FDA">
            <w:pPr>
              <w:spacing w:line="280" w:lineRule="exact"/>
              <w:ind w:rightChars="50" w:right="120"/>
              <w:jc w:val="right"/>
            </w:pPr>
            <w:r w:rsidRPr="0018236C">
              <w:rPr>
                <w:rFonts w:hint="eastAsia"/>
              </w:rPr>
              <w:t>44.4</w:t>
            </w:r>
          </w:p>
        </w:tc>
        <w:tc>
          <w:tcPr>
            <w:tcW w:w="1200" w:type="dxa"/>
            <w:tcBorders>
              <w:top w:val="single" w:sz="4" w:space="0" w:color="auto"/>
              <w:left w:val="single" w:sz="4" w:space="0" w:color="auto"/>
              <w:bottom w:val="single" w:sz="4" w:space="0" w:color="auto"/>
              <w:right w:val="single" w:sz="4" w:space="0" w:color="auto"/>
            </w:tcBorders>
            <w:vAlign w:val="center"/>
          </w:tcPr>
          <w:p w:rsidR="0018236C" w:rsidRPr="0018236C" w:rsidRDefault="0018236C" w:rsidP="00714FDA">
            <w:pPr>
              <w:spacing w:line="280" w:lineRule="exact"/>
              <w:ind w:rightChars="50" w:right="120"/>
              <w:jc w:val="right"/>
            </w:pPr>
            <w:r w:rsidRPr="0018236C">
              <w:rPr>
                <w:rFonts w:hint="eastAsia"/>
              </w:rPr>
              <w:t>513</w:t>
            </w:r>
          </w:p>
        </w:tc>
        <w:tc>
          <w:tcPr>
            <w:tcW w:w="840" w:type="dxa"/>
            <w:tcBorders>
              <w:top w:val="single" w:sz="4" w:space="0" w:color="auto"/>
              <w:left w:val="single" w:sz="4" w:space="0" w:color="auto"/>
              <w:bottom w:val="single" w:sz="4" w:space="0" w:color="auto"/>
              <w:right w:val="single" w:sz="12" w:space="0" w:color="auto"/>
            </w:tcBorders>
            <w:vAlign w:val="center"/>
          </w:tcPr>
          <w:p w:rsidR="0018236C" w:rsidRPr="0018236C" w:rsidRDefault="0018236C" w:rsidP="00714FDA">
            <w:pPr>
              <w:spacing w:line="280" w:lineRule="exact"/>
              <w:ind w:rightChars="50" w:right="120"/>
              <w:jc w:val="right"/>
            </w:pPr>
            <w:r w:rsidRPr="0018236C">
              <w:rPr>
                <w:rFonts w:hint="eastAsia"/>
              </w:rPr>
              <w:t>6.3</w:t>
            </w:r>
          </w:p>
        </w:tc>
      </w:tr>
      <w:tr w:rsidR="0018236C" w:rsidRPr="00E520D4" w:rsidTr="00714FDA">
        <w:trPr>
          <w:trHeight w:hRule="exact" w:val="397"/>
        </w:trPr>
        <w:tc>
          <w:tcPr>
            <w:tcW w:w="600" w:type="dxa"/>
            <w:tcBorders>
              <w:top w:val="nil"/>
              <w:left w:val="single" w:sz="12" w:space="0" w:color="auto"/>
              <w:bottom w:val="nil"/>
              <w:right w:val="single" w:sz="4" w:space="0" w:color="auto"/>
            </w:tcBorders>
            <w:vAlign w:val="center"/>
          </w:tcPr>
          <w:p w:rsidR="0018236C" w:rsidRPr="00E520D4" w:rsidRDefault="0018236C" w:rsidP="00714FDA">
            <w:pPr>
              <w:spacing w:line="260" w:lineRule="exact"/>
              <w:ind w:firstLineChars="238" w:firstLine="619"/>
              <w:jc w:val="both"/>
              <w:rPr>
                <w:rFonts w:ascii="標楷體" w:eastAsia="標楷體" w:hAnsi="標楷體"/>
                <w:color w:val="000000"/>
                <w:sz w:val="26"/>
                <w:szCs w:val="24"/>
              </w:rPr>
            </w:pPr>
          </w:p>
        </w:tc>
        <w:tc>
          <w:tcPr>
            <w:tcW w:w="2160" w:type="dxa"/>
            <w:tcBorders>
              <w:top w:val="single" w:sz="4" w:space="0" w:color="auto"/>
              <w:left w:val="single" w:sz="4" w:space="0" w:color="auto"/>
              <w:bottom w:val="single" w:sz="4" w:space="0" w:color="auto"/>
              <w:right w:val="single" w:sz="4" w:space="0" w:color="auto"/>
            </w:tcBorders>
          </w:tcPr>
          <w:p w:rsidR="0018236C" w:rsidRPr="00E520D4" w:rsidRDefault="0018236C" w:rsidP="00714FDA">
            <w:pPr>
              <w:rPr>
                <w:rFonts w:eastAsia="標楷體"/>
                <w:color w:val="000000"/>
              </w:rPr>
            </w:pPr>
            <w:r w:rsidRPr="00E520D4">
              <w:rPr>
                <w:rFonts w:eastAsia="標楷體" w:hAnsi="標楷體" w:hint="eastAsia"/>
                <w:color w:val="000000"/>
              </w:rPr>
              <w:t>營業稅</w:t>
            </w:r>
          </w:p>
        </w:tc>
        <w:tc>
          <w:tcPr>
            <w:tcW w:w="1320" w:type="dxa"/>
            <w:tcBorders>
              <w:top w:val="single" w:sz="4" w:space="0" w:color="auto"/>
              <w:left w:val="single" w:sz="4" w:space="0" w:color="auto"/>
              <w:bottom w:val="single" w:sz="4" w:space="0" w:color="auto"/>
              <w:right w:val="single" w:sz="4" w:space="0" w:color="auto"/>
            </w:tcBorders>
            <w:vAlign w:val="center"/>
          </w:tcPr>
          <w:p w:rsidR="0018236C" w:rsidRPr="0018236C" w:rsidRDefault="0018236C" w:rsidP="00714FDA">
            <w:pPr>
              <w:spacing w:line="280" w:lineRule="exact"/>
              <w:ind w:rightChars="50" w:right="120"/>
              <w:jc w:val="right"/>
            </w:pPr>
            <w:r w:rsidRPr="0018236C">
              <w:rPr>
                <w:rFonts w:hint="eastAsia"/>
              </w:rPr>
              <w:t>2,215</w:t>
            </w:r>
          </w:p>
        </w:tc>
        <w:tc>
          <w:tcPr>
            <w:tcW w:w="960" w:type="dxa"/>
            <w:tcBorders>
              <w:top w:val="single" w:sz="4" w:space="0" w:color="auto"/>
              <w:left w:val="single" w:sz="4" w:space="0" w:color="auto"/>
              <w:bottom w:val="single" w:sz="4" w:space="0" w:color="auto"/>
              <w:right w:val="single" w:sz="4" w:space="0" w:color="auto"/>
            </w:tcBorders>
            <w:vAlign w:val="center"/>
          </w:tcPr>
          <w:p w:rsidR="0018236C" w:rsidRPr="0018236C" w:rsidRDefault="0018236C" w:rsidP="00714FDA">
            <w:pPr>
              <w:spacing w:line="280" w:lineRule="exact"/>
              <w:ind w:rightChars="50" w:right="120"/>
              <w:jc w:val="right"/>
            </w:pPr>
            <w:r w:rsidRPr="0018236C">
              <w:rPr>
                <w:rFonts w:hint="eastAsia"/>
              </w:rPr>
              <w:t>11.5</w:t>
            </w:r>
          </w:p>
        </w:tc>
        <w:tc>
          <w:tcPr>
            <w:tcW w:w="1200" w:type="dxa"/>
            <w:tcBorders>
              <w:top w:val="single" w:sz="4" w:space="0" w:color="auto"/>
              <w:left w:val="single" w:sz="4" w:space="0" w:color="auto"/>
              <w:bottom w:val="single" w:sz="4" w:space="0" w:color="auto"/>
              <w:right w:val="single" w:sz="4" w:space="0" w:color="auto"/>
            </w:tcBorders>
            <w:vAlign w:val="center"/>
          </w:tcPr>
          <w:p w:rsidR="0018236C" w:rsidRPr="0018236C" w:rsidRDefault="0018236C" w:rsidP="00714FDA">
            <w:pPr>
              <w:spacing w:line="280" w:lineRule="exact"/>
              <w:ind w:rightChars="50" w:right="120"/>
              <w:jc w:val="right"/>
            </w:pPr>
            <w:r w:rsidRPr="0018236C">
              <w:rPr>
                <w:rFonts w:hint="eastAsia"/>
              </w:rPr>
              <w:t>2,155</w:t>
            </w:r>
          </w:p>
        </w:tc>
        <w:tc>
          <w:tcPr>
            <w:tcW w:w="840" w:type="dxa"/>
            <w:tcBorders>
              <w:top w:val="single" w:sz="4" w:space="0" w:color="auto"/>
              <w:left w:val="single" w:sz="4" w:space="0" w:color="auto"/>
              <w:bottom w:val="single" w:sz="4" w:space="0" w:color="auto"/>
              <w:right w:val="single" w:sz="4" w:space="0" w:color="auto"/>
            </w:tcBorders>
            <w:vAlign w:val="center"/>
          </w:tcPr>
          <w:p w:rsidR="0018236C" w:rsidRPr="0018236C" w:rsidRDefault="0018236C" w:rsidP="00714FDA">
            <w:pPr>
              <w:spacing w:line="280" w:lineRule="exact"/>
              <w:ind w:rightChars="50" w:right="120"/>
              <w:jc w:val="right"/>
            </w:pPr>
            <w:r w:rsidRPr="0018236C">
              <w:rPr>
                <w:rFonts w:hint="eastAsia"/>
              </w:rPr>
              <w:t>11.7</w:t>
            </w:r>
          </w:p>
        </w:tc>
        <w:tc>
          <w:tcPr>
            <w:tcW w:w="1200" w:type="dxa"/>
            <w:tcBorders>
              <w:top w:val="single" w:sz="4" w:space="0" w:color="auto"/>
              <w:left w:val="single" w:sz="4" w:space="0" w:color="auto"/>
              <w:bottom w:val="single" w:sz="4" w:space="0" w:color="auto"/>
              <w:right w:val="single" w:sz="4" w:space="0" w:color="auto"/>
            </w:tcBorders>
            <w:vAlign w:val="center"/>
          </w:tcPr>
          <w:p w:rsidR="0018236C" w:rsidRPr="0018236C" w:rsidRDefault="0018236C" w:rsidP="00714FDA">
            <w:pPr>
              <w:spacing w:line="280" w:lineRule="exact"/>
              <w:ind w:rightChars="50" w:right="120"/>
              <w:jc w:val="right"/>
            </w:pPr>
            <w:r w:rsidRPr="0018236C">
              <w:rPr>
                <w:rFonts w:hint="eastAsia"/>
              </w:rPr>
              <w:t>60</w:t>
            </w:r>
          </w:p>
        </w:tc>
        <w:tc>
          <w:tcPr>
            <w:tcW w:w="840" w:type="dxa"/>
            <w:tcBorders>
              <w:top w:val="single" w:sz="4" w:space="0" w:color="auto"/>
              <w:left w:val="single" w:sz="4" w:space="0" w:color="auto"/>
              <w:bottom w:val="single" w:sz="4" w:space="0" w:color="auto"/>
              <w:right w:val="single" w:sz="12" w:space="0" w:color="auto"/>
            </w:tcBorders>
            <w:vAlign w:val="center"/>
          </w:tcPr>
          <w:p w:rsidR="0018236C" w:rsidRPr="0018236C" w:rsidRDefault="0018236C" w:rsidP="00714FDA">
            <w:pPr>
              <w:spacing w:line="280" w:lineRule="exact"/>
              <w:ind w:rightChars="50" w:right="120"/>
              <w:jc w:val="right"/>
            </w:pPr>
            <w:r w:rsidRPr="0018236C">
              <w:rPr>
                <w:rFonts w:hint="eastAsia"/>
              </w:rPr>
              <w:t>2.8</w:t>
            </w:r>
          </w:p>
        </w:tc>
      </w:tr>
      <w:tr w:rsidR="0018236C" w:rsidRPr="00E520D4" w:rsidTr="00714FDA">
        <w:trPr>
          <w:trHeight w:hRule="exact" w:val="397"/>
        </w:trPr>
        <w:tc>
          <w:tcPr>
            <w:tcW w:w="600" w:type="dxa"/>
            <w:tcBorders>
              <w:top w:val="nil"/>
              <w:left w:val="single" w:sz="12" w:space="0" w:color="auto"/>
              <w:bottom w:val="nil"/>
              <w:right w:val="single" w:sz="4" w:space="0" w:color="auto"/>
            </w:tcBorders>
            <w:vAlign w:val="center"/>
          </w:tcPr>
          <w:p w:rsidR="0018236C" w:rsidRPr="00E520D4" w:rsidRDefault="0018236C" w:rsidP="00714FDA">
            <w:pPr>
              <w:spacing w:line="260" w:lineRule="exact"/>
              <w:ind w:firstLineChars="238" w:firstLine="619"/>
              <w:jc w:val="both"/>
              <w:rPr>
                <w:rFonts w:ascii="標楷體" w:eastAsia="標楷體" w:hAnsi="標楷體"/>
                <w:color w:val="000000"/>
                <w:sz w:val="26"/>
                <w:szCs w:val="24"/>
              </w:rPr>
            </w:pPr>
          </w:p>
        </w:tc>
        <w:tc>
          <w:tcPr>
            <w:tcW w:w="2160" w:type="dxa"/>
            <w:tcBorders>
              <w:top w:val="single" w:sz="4" w:space="0" w:color="auto"/>
              <w:left w:val="single" w:sz="4" w:space="0" w:color="auto"/>
              <w:bottom w:val="single" w:sz="4" w:space="0" w:color="auto"/>
              <w:right w:val="single" w:sz="4" w:space="0" w:color="auto"/>
            </w:tcBorders>
          </w:tcPr>
          <w:p w:rsidR="0018236C" w:rsidRPr="00E520D4" w:rsidRDefault="0018236C" w:rsidP="00714FDA">
            <w:pPr>
              <w:rPr>
                <w:rFonts w:eastAsia="標楷體"/>
                <w:color w:val="000000"/>
              </w:rPr>
            </w:pPr>
            <w:r w:rsidRPr="00E520D4">
              <w:rPr>
                <w:rFonts w:eastAsia="標楷體" w:hAnsi="標楷體" w:hint="eastAsia"/>
                <w:color w:val="000000"/>
              </w:rPr>
              <w:t>貨物稅</w:t>
            </w:r>
          </w:p>
        </w:tc>
        <w:tc>
          <w:tcPr>
            <w:tcW w:w="1320" w:type="dxa"/>
            <w:tcBorders>
              <w:top w:val="single" w:sz="4" w:space="0" w:color="auto"/>
              <w:left w:val="single" w:sz="4" w:space="0" w:color="auto"/>
              <w:bottom w:val="single" w:sz="4" w:space="0" w:color="auto"/>
              <w:right w:val="single" w:sz="4" w:space="0" w:color="auto"/>
            </w:tcBorders>
            <w:vAlign w:val="center"/>
          </w:tcPr>
          <w:p w:rsidR="0018236C" w:rsidRPr="0018236C" w:rsidRDefault="0018236C" w:rsidP="00714FDA">
            <w:pPr>
              <w:spacing w:line="280" w:lineRule="exact"/>
              <w:ind w:rightChars="50" w:right="120"/>
              <w:jc w:val="right"/>
            </w:pPr>
            <w:r w:rsidRPr="0018236C">
              <w:rPr>
                <w:rFonts w:hint="eastAsia"/>
              </w:rPr>
              <w:t>1,606</w:t>
            </w:r>
          </w:p>
        </w:tc>
        <w:tc>
          <w:tcPr>
            <w:tcW w:w="960" w:type="dxa"/>
            <w:tcBorders>
              <w:top w:val="single" w:sz="4" w:space="0" w:color="auto"/>
              <w:left w:val="single" w:sz="4" w:space="0" w:color="auto"/>
              <w:bottom w:val="single" w:sz="4" w:space="0" w:color="auto"/>
              <w:right w:val="single" w:sz="4" w:space="0" w:color="auto"/>
            </w:tcBorders>
            <w:vAlign w:val="center"/>
          </w:tcPr>
          <w:p w:rsidR="0018236C" w:rsidRPr="0018236C" w:rsidRDefault="0018236C" w:rsidP="00714FDA">
            <w:pPr>
              <w:spacing w:line="280" w:lineRule="exact"/>
              <w:ind w:rightChars="50" w:right="120"/>
              <w:jc w:val="right"/>
            </w:pPr>
            <w:r w:rsidRPr="0018236C">
              <w:rPr>
                <w:rFonts w:hint="eastAsia"/>
              </w:rPr>
              <w:t>8.4</w:t>
            </w:r>
          </w:p>
        </w:tc>
        <w:tc>
          <w:tcPr>
            <w:tcW w:w="1200" w:type="dxa"/>
            <w:tcBorders>
              <w:top w:val="single" w:sz="4" w:space="0" w:color="auto"/>
              <w:left w:val="single" w:sz="4" w:space="0" w:color="auto"/>
              <w:bottom w:val="single" w:sz="4" w:space="0" w:color="auto"/>
              <w:right w:val="single" w:sz="4" w:space="0" w:color="auto"/>
            </w:tcBorders>
            <w:vAlign w:val="center"/>
          </w:tcPr>
          <w:p w:rsidR="0018236C" w:rsidRPr="0018236C" w:rsidRDefault="0018236C" w:rsidP="00714FDA">
            <w:pPr>
              <w:spacing w:line="280" w:lineRule="exact"/>
              <w:ind w:rightChars="50" w:right="120"/>
              <w:jc w:val="right"/>
            </w:pPr>
            <w:r w:rsidRPr="0018236C">
              <w:rPr>
                <w:rFonts w:hint="eastAsia"/>
              </w:rPr>
              <w:t>1,675</w:t>
            </w:r>
          </w:p>
        </w:tc>
        <w:tc>
          <w:tcPr>
            <w:tcW w:w="840" w:type="dxa"/>
            <w:tcBorders>
              <w:top w:val="single" w:sz="4" w:space="0" w:color="auto"/>
              <w:left w:val="single" w:sz="4" w:space="0" w:color="auto"/>
              <w:bottom w:val="single" w:sz="4" w:space="0" w:color="auto"/>
              <w:right w:val="single" w:sz="4" w:space="0" w:color="auto"/>
            </w:tcBorders>
            <w:vAlign w:val="center"/>
          </w:tcPr>
          <w:p w:rsidR="0018236C" w:rsidRPr="0018236C" w:rsidRDefault="0018236C" w:rsidP="00714FDA">
            <w:pPr>
              <w:spacing w:line="280" w:lineRule="exact"/>
              <w:ind w:rightChars="50" w:right="120"/>
              <w:jc w:val="right"/>
            </w:pPr>
            <w:r w:rsidRPr="0018236C">
              <w:rPr>
                <w:rFonts w:hint="eastAsia"/>
              </w:rPr>
              <w:t>9.1</w:t>
            </w:r>
          </w:p>
        </w:tc>
        <w:tc>
          <w:tcPr>
            <w:tcW w:w="1200" w:type="dxa"/>
            <w:tcBorders>
              <w:top w:val="single" w:sz="4" w:space="0" w:color="auto"/>
              <w:left w:val="single" w:sz="4" w:space="0" w:color="auto"/>
              <w:bottom w:val="single" w:sz="4" w:space="0" w:color="auto"/>
              <w:right w:val="single" w:sz="4" w:space="0" w:color="auto"/>
            </w:tcBorders>
            <w:vAlign w:val="center"/>
          </w:tcPr>
          <w:p w:rsidR="0018236C" w:rsidRPr="0018236C" w:rsidRDefault="0018236C" w:rsidP="00714FDA">
            <w:pPr>
              <w:spacing w:line="280" w:lineRule="exact"/>
              <w:ind w:rightChars="50" w:right="120"/>
              <w:jc w:val="right"/>
            </w:pPr>
            <w:r w:rsidRPr="0018236C">
              <w:rPr>
                <w:rFonts w:hint="eastAsia"/>
              </w:rPr>
              <w:t>-69</w:t>
            </w:r>
          </w:p>
        </w:tc>
        <w:tc>
          <w:tcPr>
            <w:tcW w:w="840" w:type="dxa"/>
            <w:tcBorders>
              <w:top w:val="single" w:sz="4" w:space="0" w:color="auto"/>
              <w:left w:val="single" w:sz="4" w:space="0" w:color="auto"/>
              <w:bottom w:val="single" w:sz="4" w:space="0" w:color="auto"/>
              <w:right w:val="single" w:sz="12" w:space="0" w:color="auto"/>
            </w:tcBorders>
            <w:vAlign w:val="center"/>
          </w:tcPr>
          <w:p w:rsidR="0018236C" w:rsidRPr="0018236C" w:rsidRDefault="0018236C" w:rsidP="00714FDA">
            <w:pPr>
              <w:spacing w:line="280" w:lineRule="exact"/>
              <w:ind w:rightChars="50" w:right="120"/>
              <w:jc w:val="right"/>
            </w:pPr>
            <w:r w:rsidRPr="0018236C">
              <w:rPr>
                <w:rFonts w:hint="eastAsia"/>
              </w:rPr>
              <w:t>-4.1</w:t>
            </w:r>
          </w:p>
        </w:tc>
      </w:tr>
      <w:tr w:rsidR="0018236C" w:rsidRPr="00E520D4" w:rsidTr="00714FDA">
        <w:trPr>
          <w:trHeight w:hRule="exact" w:val="397"/>
        </w:trPr>
        <w:tc>
          <w:tcPr>
            <w:tcW w:w="600" w:type="dxa"/>
            <w:tcBorders>
              <w:top w:val="nil"/>
              <w:left w:val="single" w:sz="12" w:space="0" w:color="auto"/>
              <w:bottom w:val="nil"/>
              <w:right w:val="single" w:sz="4" w:space="0" w:color="auto"/>
            </w:tcBorders>
            <w:vAlign w:val="center"/>
          </w:tcPr>
          <w:p w:rsidR="0018236C" w:rsidRPr="00E520D4" w:rsidRDefault="0018236C" w:rsidP="00714FDA">
            <w:pPr>
              <w:spacing w:line="260" w:lineRule="exact"/>
              <w:ind w:firstLineChars="238" w:firstLine="619"/>
              <w:jc w:val="both"/>
              <w:rPr>
                <w:rFonts w:ascii="標楷體" w:eastAsia="標楷體" w:hAnsi="標楷體"/>
                <w:color w:val="000000"/>
                <w:sz w:val="26"/>
                <w:szCs w:val="24"/>
              </w:rPr>
            </w:pPr>
          </w:p>
        </w:tc>
        <w:tc>
          <w:tcPr>
            <w:tcW w:w="2160" w:type="dxa"/>
            <w:tcBorders>
              <w:top w:val="single" w:sz="4" w:space="0" w:color="auto"/>
              <w:left w:val="single" w:sz="4" w:space="0" w:color="auto"/>
              <w:bottom w:val="single" w:sz="4" w:space="0" w:color="auto"/>
              <w:right w:val="single" w:sz="4" w:space="0" w:color="auto"/>
            </w:tcBorders>
          </w:tcPr>
          <w:p w:rsidR="0018236C" w:rsidRPr="00E520D4" w:rsidRDefault="0018236C" w:rsidP="00714FDA">
            <w:pPr>
              <w:rPr>
                <w:rFonts w:eastAsia="標楷體" w:hAnsi="標楷體"/>
                <w:color w:val="000000"/>
              </w:rPr>
            </w:pPr>
            <w:r w:rsidRPr="00E520D4">
              <w:rPr>
                <w:rFonts w:eastAsia="標楷體" w:hAnsi="標楷體" w:hint="eastAsia"/>
                <w:color w:val="000000"/>
              </w:rPr>
              <w:t>關稅</w:t>
            </w:r>
          </w:p>
        </w:tc>
        <w:tc>
          <w:tcPr>
            <w:tcW w:w="1320" w:type="dxa"/>
            <w:tcBorders>
              <w:top w:val="single" w:sz="4" w:space="0" w:color="auto"/>
              <w:left w:val="single" w:sz="4" w:space="0" w:color="auto"/>
              <w:bottom w:val="single" w:sz="4" w:space="0" w:color="auto"/>
              <w:right w:val="single" w:sz="4" w:space="0" w:color="auto"/>
            </w:tcBorders>
            <w:vAlign w:val="center"/>
          </w:tcPr>
          <w:p w:rsidR="0018236C" w:rsidRPr="0018236C" w:rsidRDefault="0018236C" w:rsidP="00714FDA">
            <w:pPr>
              <w:spacing w:line="280" w:lineRule="exact"/>
              <w:ind w:rightChars="50" w:right="120"/>
              <w:jc w:val="right"/>
            </w:pPr>
            <w:r w:rsidRPr="0018236C">
              <w:rPr>
                <w:rFonts w:hint="eastAsia"/>
              </w:rPr>
              <w:t>1,150</w:t>
            </w:r>
          </w:p>
        </w:tc>
        <w:tc>
          <w:tcPr>
            <w:tcW w:w="960" w:type="dxa"/>
            <w:tcBorders>
              <w:top w:val="single" w:sz="4" w:space="0" w:color="auto"/>
              <w:left w:val="single" w:sz="4" w:space="0" w:color="auto"/>
              <w:bottom w:val="single" w:sz="4" w:space="0" w:color="auto"/>
              <w:right w:val="single" w:sz="4" w:space="0" w:color="auto"/>
            </w:tcBorders>
            <w:vAlign w:val="center"/>
          </w:tcPr>
          <w:p w:rsidR="0018236C" w:rsidRPr="0018236C" w:rsidRDefault="0018236C" w:rsidP="00714FDA">
            <w:pPr>
              <w:spacing w:line="280" w:lineRule="exact"/>
              <w:ind w:rightChars="50" w:right="120"/>
              <w:jc w:val="right"/>
            </w:pPr>
            <w:r w:rsidRPr="0018236C">
              <w:rPr>
                <w:rFonts w:hint="eastAsia"/>
              </w:rPr>
              <w:t>6.0</w:t>
            </w:r>
          </w:p>
        </w:tc>
        <w:tc>
          <w:tcPr>
            <w:tcW w:w="1200" w:type="dxa"/>
            <w:tcBorders>
              <w:top w:val="single" w:sz="4" w:space="0" w:color="auto"/>
              <w:left w:val="single" w:sz="4" w:space="0" w:color="auto"/>
              <w:bottom w:val="single" w:sz="4" w:space="0" w:color="auto"/>
              <w:right w:val="single" w:sz="4" w:space="0" w:color="auto"/>
            </w:tcBorders>
            <w:vAlign w:val="center"/>
          </w:tcPr>
          <w:p w:rsidR="0018236C" w:rsidRPr="0018236C" w:rsidRDefault="0018236C" w:rsidP="00714FDA">
            <w:pPr>
              <w:spacing w:line="280" w:lineRule="exact"/>
              <w:ind w:rightChars="50" w:right="120"/>
              <w:jc w:val="right"/>
            </w:pPr>
            <w:r w:rsidRPr="0018236C">
              <w:rPr>
                <w:rFonts w:hint="eastAsia"/>
              </w:rPr>
              <w:t>1,153</w:t>
            </w:r>
          </w:p>
        </w:tc>
        <w:tc>
          <w:tcPr>
            <w:tcW w:w="840" w:type="dxa"/>
            <w:tcBorders>
              <w:top w:val="single" w:sz="4" w:space="0" w:color="auto"/>
              <w:left w:val="single" w:sz="4" w:space="0" w:color="auto"/>
              <w:bottom w:val="single" w:sz="4" w:space="0" w:color="auto"/>
              <w:right w:val="single" w:sz="4" w:space="0" w:color="auto"/>
            </w:tcBorders>
            <w:vAlign w:val="center"/>
          </w:tcPr>
          <w:p w:rsidR="0018236C" w:rsidRPr="0018236C" w:rsidRDefault="0018236C" w:rsidP="00714FDA">
            <w:pPr>
              <w:spacing w:line="280" w:lineRule="exact"/>
              <w:ind w:rightChars="50" w:right="120"/>
              <w:jc w:val="right"/>
            </w:pPr>
            <w:r w:rsidRPr="0018236C">
              <w:rPr>
                <w:rFonts w:hint="eastAsia"/>
              </w:rPr>
              <w:t>6.3</w:t>
            </w:r>
          </w:p>
        </w:tc>
        <w:tc>
          <w:tcPr>
            <w:tcW w:w="1200" w:type="dxa"/>
            <w:tcBorders>
              <w:top w:val="single" w:sz="4" w:space="0" w:color="auto"/>
              <w:left w:val="single" w:sz="4" w:space="0" w:color="auto"/>
              <w:bottom w:val="single" w:sz="4" w:space="0" w:color="auto"/>
              <w:right w:val="single" w:sz="4" w:space="0" w:color="auto"/>
            </w:tcBorders>
            <w:vAlign w:val="center"/>
          </w:tcPr>
          <w:p w:rsidR="0018236C" w:rsidRPr="0018236C" w:rsidRDefault="0018236C" w:rsidP="00714FDA">
            <w:pPr>
              <w:spacing w:line="280" w:lineRule="exact"/>
              <w:ind w:rightChars="50" w:right="120"/>
              <w:jc w:val="right"/>
            </w:pPr>
            <w:r w:rsidRPr="0018236C">
              <w:rPr>
                <w:rFonts w:hint="eastAsia"/>
              </w:rPr>
              <w:t>-3</w:t>
            </w:r>
          </w:p>
        </w:tc>
        <w:tc>
          <w:tcPr>
            <w:tcW w:w="840" w:type="dxa"/>
            <w:tcBorders>
              <w:top w:val="single" w:sz="4" w:space="0" w:color="auto"/>
              <w:left w:val="single" w:sz="4" w:space="0" w:color="auto"/>
              <w:bottom w:val="single" w:sz="4" w:space="0" w:color="auto"/>
              <w:right w:val="single" w:sz="12" w:space="0" w:color="auto"/>
            </w:tcBorders>
            <w:vAlign w:val="center"/>
          </w:tcPr>
          <w:p w:rsidR="0018236C" w:rsidRPr="0018236C" w:rsidRDefault="0018236C" w:rsidP="00714FDA">
            <w:pPr>
              <w:spacing w:line="280" w:lineRule="exact"/>
              <w:ind w:rightChars="50" w:right="120"/>
              <w:jc w:val="right"/>
            </w:pPr>
            <w:r w:rsidRPr="0018236C">
              <w:rPr>
                <w:rFonts w:hint="eastAsia"/>
              </w:rPr>
              <w:t>-0.3</w:t>
            </w:r>
          </w:p>
        </w:tc>
      </w:tr>
      <w:tr w:rsidR="0018236C" w:rsidRPr="00E520D4" w:rsidTr="00714FDA">
        <w:trPr>
          <w:cantSplit/>
          <w:trHeight w:hRule="exact" w:val="454"/>
        </w:trPr>
        <w:tc>
          <w:tcPr>
            <w:tcW w:w="2760" w:type="dxa"/>
            <w:gridSpan w:val="2"/>
            <w:tcBorders>
              <w:top w:val="single" w:sz="4" w:space="0" w:color="auto"/>
              <w:left w:val="single" w:sz="12" w:space="0" w:color="auto"/>
              <w:bottom w:val="single" w:sz="4" w:space="0" w:color="auto"/>
              <w:right w:val="single" w:sz="4" w:space="0" w:color="auto"/>
            </w:tcBorders>
            <w:vAlign w:val="center"/>
          </w:tcPr>
          <w:p w:rsidR="0018236C" w:rsidRPr="00E520D4" w:rsidRDefault="0018236C" w:rsidP="00714FDA">
            <w:pPr>
              <w:jc w:val="both"/>
              <w:rPr>
                <w:rFonts w:eastAsia="標楷體"/>
                <w:color w:val="000000"/>
                <w:sz w:val="26"/>
                <w:szCs w:val="24"/>
              </w:rPr>
            </w:pPr>
            <w:r w:rsidRPr="00E520D4">
              <w:rPr>
                <w:rFonts w:eastAsia="標楷體"/>
                <w:color w:val="000000"/>
                <w:sz w:val="26"/>
              </w:rPr>
              <w:t>2.</w:t>
            </w:r>
            <w:r w:rsidRPr="00E520D4">
              <w:rPr>
                <w:rFonts w:eastAsia="標楷體" w:hAnsi="標楷體" w:hint="eastAsia"/>
                <w:color w:val="000000"/>
                <w:sz w:val="26"/>
              </w:rPr>
              <w:t>營業盈餘及事業收入</w:t>
            </w:r>
          </w:p>
        </w:tc>
        <w:tc>
          <w:tcPr>
            <w:tcW w:w="1320" w:type="dxa"/>
            <w:tcBorders>
              <w:top w:val="single" w:sz="4" w:space="0" w:color="auto"/>
              <w:left w:val="single" w:sz="4" w:space="0" w:color="auto"/>
              <w:bottom w:val="single" w:sz="4" w:space="0" w:color="auto"/>
              <w:right w:val="single" w:sz="4" w:space="0" w:color="auto"/>
            </w:tcBorders>
            <w:vAlign w:val="center"/>
          </w:tcPr>
          <w:p w:rsidR="0018236C" w:rsidRPr="0018236C" w:rsidRDefault="0018236C" w:rsidP="00714FDA">
            <w:pPr>
              <w:spacing w:line="280" w:lineRule="exact"/>
              <w:ind w:rightChars="50" w:right="120"/>
              <w:jc w:val="right"/>
            </w:pPr>
            <w:r w:rsidRPr="0018236C">
              <w:rPr>
                <w:rFonts w:hint="eastAsia"/>
              </w:rPr>
              <w:t>2,335</w:t>
            </w:r>
          </w:p>
        </w:tc>
        <w:tc>
          <w:tcPr>
            <w:tcW w:w="960" w:type="dxa"/>
            <w:tcBorders>
              <w:top w:val="single" w:sz="4" w:space="0" w:color="auto"/>
              <w:left w:val="single" w:sz="4" w:space="0" w:color="auto"/>
              <w:bottom w:val="single" w:sz="4" w:space="0" w:color="auto"/>
              <w:right w:val="single" w:sz="4" w:space="0" w:color="auto"/>
            </w:tcBorders>
            <w:vAlign w:val="center"/>
          </w:tcPr>
          <w:p w:rsidR="0018236C" w:rsidRPr="0018236C" w:rsidRDefault="0018236C" w:rsidP="00714FDA">
            <w:pPr>
              <w:spacing w:line="280" w:lineRule="exact"/>
              <w:ind w:rightChars="50" w:right="120"/>
              <w:jc w:val="right"/>
            </w:pPr>
            <w:r w:rsidRPr="0018236C">
              <w:rPr>
                <w:rFonts w:hint="eastAsia"/>
              </w:rPr>
              <w:t>12.1</w:t>
            </w:r>
          </w:p>
        </w:tc>
        <w:tc>
          <w:tcPr>
            <w:tcW w:w="1200" w:type="dxa"/>
            <w:tcBorders>
              <w:top w:val="single" w:sz="4" w:space="0" w:color="auto"/>
              <w:left w:val="single" w:sz="4" w:space="0" w:color="auto"/>
              <w:bottom w:val="single" w:sz="4" w:space="0" w:color="auto"/>
              <w:right w:val="single" w:sz="4" w:space="0" w:color="auto"/>
            </w:tcBorders>
            <w:vAlign w:val="center"/>
          </w:tcPr>
          <w:p w:rsidR="0018236C" w:rsidRPr="0018236C" w:rsidRDefault="0018236C" w:rsidP="00714FDA">
            <w:pPr>
              <w:spacing w:line="280" w:lineRule="exact"/>
              <w:ind w:rightChars="50" w:right="120"/>
              <w:jc w:val="right"/>
            </w:pPr>
            <w:r w:rsidRPr="0018236C">
              <w:rPr>
                <w:rFonts w:hint="eastAsia"/>
              </w:rPr>
              <w:t>2,244</w:t>
            </w:r>
          </w:p>
        </w:tc>
        <w:tc>
          <w:tcPr>
            <w:tcW w:w="840" w:type="dxa"/>
            <w:tcBorders>
              <w:top w:val="single" w:sz="4" w:space="0" w:color="auto"/>
              <w:left w:val="single" w:sz="4" w:space="0" w:color="auto"/>
              <w:bottom w:val="single" w:sz="4" w:space="0" w:color="auto"/>
              <w:right w:val="single" w:sz="4" w:space="0" w:color="auto"/>
            </w:tcBorders>
            <w:vAlign w:val="center"/>
          </w:tcPr>
          <w:p w:rsidR="0018236C" w:rsidRPr="0018236C" w:rsidRDefault="0018236C" w:rsidP="00714FDA">
            <w:pPr>
              <w:spacing w:line="280" w:lineRule="exact"/>
              <w:ind w:rightChars="50" w:right="120"/>
              <w:jc w:val="right"/>
            </w:pPr>
            <w:r w:rsidRPr="0018236C">
              <w:rPr>
                <w:rFonts w:hint="eastAsia"/>
              </w:rPr>
              <w:t>12.2</w:t>
            </w:r>
          </w:p>
        </w:tc>
        <w:tc>
          <w:tcPr>
            <w:tcW w:w="1200" w:type="dxa"/>
            <w:tcBorders>
              <w:top w:val="single" w:sz="4" w:space="0" w:color="auto"/>
              <w:left w:val="single" w:sz="4" w:space="0" w:color="auto"/>
              <w:bottom w:val="single" w:sz="4" w:space="0" w:color="auto"/>
              <w:right w:val="single" w:sz="4" w:space="0" w:color="auto"/>
            </w:tcBorders>
            <w:vAlign w:val="center"/>
          </w:tcPr>
          <w:p w:rsidR="0018236C" w:rsidRPr="0018236C" w:rsidRDefault="0018236C" w:rsidP="00714FDA">
            <w:pPr>
              <w:spacing w:line="280" w:lineRule="exact"/>
              <w:ind w:rightChars="50" w:right="120"/>
              <w:jc w:val="right"/>
            </w:pPr>
            <w:r w:rsidRPr="0018236C">
              <w:rPr>
                <w:rFonts w:hint="eastAsia"/>
              </w:rPr>
              <w:t>91</w:t>
            </w:r>
          </w:p>
        </w:tc>
        <w:tc>
          <w:tcPr>
            <w:tcW w:w="840" w:type="dxa"/>
            <w:tcBorders>
              <w:top w:val="single" w:sz="4" w:space="0" w:color="auto"/>
              <w:left w:val="single" w:sz="4" w:space="0" w:color="auto"/>
              <w:bottom w:val="single" w:sz="4" w:space="0" w:color="auto"/>
              <w:right w:val="single" w:sz="12" w:space="0" w:color="auto"/>
            </w:tcBorders>
            <w:vAlign w:val="center"/>
          </w:tcPr>
          <w:p w:rsidR="0018236C" w:rsidRPr="0018236C" w:rsidRDefault="0018236C" w:rsidP="00714FDA">
            <w:pPr>
              <w:spacing w:line="280" w:lineRule="exact"/>
              <w:ind w:rightChars="50" w:right="120"/>
              <w:jc w:val="right"/>
            </w:pPr>
            <w:r w:rsidRPr="0018236C">
              <w:rPr>
                <w:rFonts w:hint="eastAsia"/>
              </w:rPr>
              <w:t>4.1</w:t>
            </w:r>
          </w:p>
        </w:tc>
      </w:tr>
      <w:tr w:rsidR="0018236C" w:rsidRPr="00E520D4" w:rsidTr="00714FDA">
        <w:trPr>
          <w:cantSplit/>
          <w:trHeight w:hRule="exact" w:val="454"/>
        </w:trPr>
        <w:tc>
          <w:tcPr>
            <w:tcW w:w="2760" w:type="dxa"/>
            <w:gridSpan w:val="2"/>
            <w:tcBorders>
              <w:top w:val="single" w:sz="4" w:space="0" w:color="auto"/>
              <w:left w:val="single" w:sz="12" w:space="0" w:color="auto"/>
              <w:bottom w:val="single" w:sz="4" w:space="0" w:color="auto"/>
              <w:right w:val="single" w:sz="4" w:space="0" w:color="auto"/>
            </w:tcBorders>
            <w:vAlign w:val="center"/>
          </w:tcPr>
          <w:p w:rsidR="0018236C" w:rsidRPr="00E520D4" w:rsidRDefault="0018236C" w:rsidP="00714FDA">
            <w:pPr>
              <w:jc w:val="both"/>
              <w:rPr>
                <w:rFonts w:eastAsia="標楷體"/>
                <w:color w:val="000000"/>
                <w:sz w:val="26"/>
              </w:rPr>
            </w:pPr>
            <w:r w:rsidRPr="00E520D4">
              <w:rPr>
                <w:rFonts w:eastAsia="標楷體"/>
                <w:color w:val="000000"/>
                <w:sz w:val="26"/>
              </w:rPr>
              <w:t>3.</w:t>
            </w:r>
            <w:r w:rsidRPr="00E520D4">
              <w:rPr>
                <w:rFonts w:eastAsia="標楷體" w:hAnsi="標楷體" w:hint="eastAsia"/>
                <w:color w:val="000000"/>
                <w:sz w:val="26"/>
              </w:rPr>
              <w:t>規費及罰款收入</w:t>
            </w:r>
          </w:p>
        </w:tc>
        <w:tc>
          <w:tcPr>
            <w:tcW w:w="1320" w:type="dxa"/>
            <w:tcBorders>
              <w:top w:val="single" w:sz="4" w:space="0" w:color="auto"/>
              <w:left w:val="single" w:sz="4" w:space="0" w:color="auto"/>
              <w:bottom w:val="single" w:sz="4" w:space="0" w:color="auto"/>
              <w:right w:val="single" w:sz="4" w:space="0" w:color="auto"/>
            </w:tcBorders>
            <w:vAlign w:val="center"/>
          </w:tcPr>
          <w:p w:rsidR="0018236C" w:rsidRPr="0018236C" w:rsidRDefault="0018236C" w:rsidP="00714FDA">
            <w:pPr>
              <w:spacing w:line="280" w:lineRule="exact"/>
              <w:ind w:rightChars="50" w:right="120"/>
              <w:jc w:val="right"/>
            </w:pPr>
            <w:r w:rsidRPr="0018236C">
              <w:rPr>
                <w:rFonts w:hint="eastAsia"/>
              </w:rPr>
              <w:t>1,205</w:t>
            </w:r>
          </w:p>
        </w:tc>
        <w:tc>
          <w:tcPr>
            <w:tcW w:w="960" w:type="dxa"/>
            <w:tcBorders>
              <w:top w:val="single" w:sz="4" w:space="0" w:color="auto"/>
              <w:left w:val="single" w:sz="4" w:space="0" w:color="auto"/>
              <w:bottom w:val="single" w:sz="4" w:space="0" w:color="auto"/>
              <w:right w:val="single" w:sz="4" w:space="0" w:color="auto"/>
            </w:tcBorders>
            <w:vAlign w:val="center"/>
          </w:tcPr>
          <w:p w:rsidR="0018236C" w:rsidRPr="0018236C" w:rsidRDefault="0018236C" w:rsidP="00714FDA">
            <w:pPr>
              <w:spacing w:line="280" w:lineRule="exact"/>
              <w:ind w:rightChars="50" w:right="120"/>
              <w:jc w:val="right"/>
            </w:pPr>
            <w:r w:rsidRPr="0018236C">
              <w:rPr>
                <w:rFonts w:hint="eastAsia"/>
              </w:rPr>
              <w:t>6.3</w:t>
            </w:r>
          </w:p>
        </w:tc>
        <w:tc>
          <w:tcPr>
            <w:tcW w:w="1200" w:type="dxa"/>
            <w:tcBorders>
              <w:top w:val="single" w:sz="4" w:space="0" w:color="auto"/>
              <w:left w:val="single" w:sz="4" w:space="0" w:color="auto"/>
              <w:bottom w:val="single" w:sz="4" w:space="0" w:color="auto"/>
              <w:right w:val="single" w:sz="4" w:space="0" w:color="auto"/>
            </w:tcBorders>
            <w:vAlign w:val="center"/>
          </w:tcPr>
          <w:p w:rsidR="0018236C" w:rsidRPr="0018236C" w:rsidRDefault="0018236C" w:rsidP="00714FDA">
            <w:pPr>
              <w:spacing w:line="280" w:lineRule="exact"/>
              <w:ind w:rightChars="50" w:right="120"/>
              <w:jc w:val="right"/>
            </w:pPr>
            <w:r w:rsidRPr="0018236C">
              <w:rPr>
                <w:rFonts w:hint="eastAsia"/>
              </w:rPr>
              <w:t>990</w:t>
            </w:r>
          </w:p>
        </w:tc>
        <w:tc>
          <w:tcPr>
            <w:tcW w:w="840" w:type="dxa"/>
            <w:tcBorders>
              <w:top w:val="single" w:sz="4" w:space="0" w:color="auto"/>
              <w:left w:val="single" w:sz="4" w:space="0" w:color="auto"/>
              <w:bottom w:val="single" w:sz="4" w:space="0" w:color="auto"/>
              <w:right w:val="single" w:sz="4" w:space="0" w:color="auto"/>
            </w:tcBorders>
            <w:vAlign w:val="center"/>
          </w:tcPr>
          <w:p w:rsidR="0018236C" w:rsidRPr="0018236C" w:rsidRDefault="0018236C" w:rsidP="00714FDA">
            <w:pPr>
              <w:spacing w:line="280" w:lineRule="exact"/>
              <w:ind w:rightChars="50" w:right="120"/>
              <w:jc w:val="right"/>
            </w:pPr>
            <w:r w:rsidRPr="0018236C">
              <w:rPr>
                <w:rFonts w:hint="eastAsia"/>
              </w:rPr>
              <w:t>5.4</w:t>
            </w:r>
          </w:p>
        </w:tc>
        <w:tc>
          <w:tcPr>
            <w:tcW w:w="1200" w:type="dxa"/>
            <w:tcBorders>
              <w:top w:val="single" w:sz="4" w:space="0" w:color="auto"/>
              <w:left w:val="single" w:sz="4" w:space="0" w:color="auto"/>
              <w:bottom w:val="single" w:sz="4" w:space="0" w:color="auto"/>
              <w:right w:val="single" w:sz="4" w:space="0" w:color="auto"/>
            </w:tcBorders>
            <w:vAlign w:val="center"/>
          </w:tcPr>
          <w:p w:rsidR="0018236C" w:rsidRPr="0018236C" w:rsidRDefault="0018236C" w:rsidP="00714FDA">
            <w:pPr>
              <w:spacing w:line="280" w:lineRule="exact"/>
              <w:ind w:rightChars="50" w:right="120"/>
              <w:jc w:val="right"/>
            </w:pPr>
            <w:r w:rsidRPr="0018236C">
              <w:rPr>
                <w:rFonts w:hint="eastAsia"/>
              </w:rPr>
              <w:t>215</w:t>
            </w:r>
          </w:p>
        </w:tc>
        <w:tc>
          <w:tcPr>
            <w:tcW w:w="840" w:type="dxa"/>
            <w:tcBorders>
              <w:top w:val="single" w:sz="4" w:space="0" w:color="auto"/>
              <w:left w:val="single" w:sz="4" w:space="0" w:color="auto"/>
              <w:bottom w:val="single" w:sz="4" w:space="0" w:color="auto"/>
              <w:right w:val="single" w:sz="12" w:space="0" w:color="auto"/>
            </w:tcBorders>
            <w:vAlign w:val="center"/>
          </w:tcPr>
          <w:p w:rsidR="0018236C" w:rsidRPr="0018236C" w:rsidRDefault="0018236C" w:rsidP="00714FDA">
            <w:pPr>
              <w:spacing w:line="280" w:lineRule="exact"/>
              <w:ind w:rightChars="50" w:right="120"/>
              <w:jc w:val="right"/>
            </w:pPr>
            <w:r w:rsidRPr="0018236C">
              <w:rPr>
                <w:rFonts w:hint="eastAsia"/>
              </w:rPr>
              <w:t>21.7</w:t>
            </w:r>
          </w:p>
        </w:tc>
      </w:tr>
      <w:tr w:rsidR="0018236C" w:rsidRPr="00E520D4" w:rsidTr="00714FDA">
        <w:trPr>
          <w:cantSplit/>
          <w:trHeight w:hRule="exact" w:val="454"/>
        </w:trPr>
        <w:tc>
          <w:tcPr>
            <w:tcW w:w="2760" w:type="dxa"/>
            <w:gridSpan w:val="2"/>
            <w:tcBorders>
              <w:top w:val="single" w:sz="4" w:space="0" w:color="auto"/>
              <w:left w:val="single" w:sz="12" w:space="0" w:color="auto"/>
              <w:bottom w:val="single" w:sz="4" w:space="0" w:color="auto"/>
              <w:right w:val="single" w:sz="4" w:space="0" w:color="auto"/>
            </w:tcBorders>
            <w:vAlign w:val="center"/>
          </w:tcPr>
          <w:p w:rsidR="0018236C" w:rsidRPr="00E520D4" w:rsidRDefault="0018236C" w:rsidP="00714FDA">
            <w:pPr>
              <w:jc w:val="both"/>
              <w:rPr>
                <w:rFonts w:eastAsia="標楷體"/>
                <w:color w:val="000000"/>
                <w:sz w:val="26"/>
                <w:szCs w:val="24"/>
              </w:rPr>
            </w:pPr>
            <w:r w:rsidRPr="00E520D4">
              <w:rPr>
                <w:rFonts w:eastAsia="標楷體"/>
                <w:color w:val="000000"/>
                <w:sz w:val="26"/>
              </w:rPr>
              <w:t>4.</w:t>
            </w:r>
            <w:r w:rsidRPr="00E520D4">
              <w:rPr>
                <w:rFonts w:eastAsia="標楷體" w:hAnsi="標楷體" w:hint="eastAsia"/>
                <w:color w:val="000000"/>
                <w:sz w:val="26"/>
              </w:rPr>
              <w:t>財產收入</w:t>
            </w:r>
          </w:p>
        </w:tc>
        <w:tc>
          <w:tcPr>
            <w:tcW w:w="1320" w:type="dxa"/>
            <w:tcBorders>
              <w:top w:val="single" w:sz="4" w:space="0" w:color="auto"/>
              <w:left w:val="single" w:sz="4" w:space="0" w:color="auto"/>
              <w:bottom w:val="single" w:sz="4" w:space="0" w:color="auto"/>
              <w:right w:val="single" w:sz="4" w:space="0" w:color="auto"/>
            </w:tcBorders>
            <w:vAlign w:val="center"/>
          </w:tcPr>
          <w:p w:rsidR="0018236C" w:rsidRPr="0018236C" w:rsidRDefault="0018236C" w:rsidP="003959C6">
            <w:pPr>
              <w:spacing w:line="280" w:lineRule="exact"/>
              <w:ind w:rightChars="50" w:right="120"/>
              <w:jc w:val="right"/>
            </w:pPr>
            <w:r w:rsidRPr="0018236C">
              <w:rPr>
                <w:rFonts w:hint="eastAsia"/>
              </w:rPr>
              <w:t>22</w:t>
            </w:r>
            <w:r w:rsidR="003959C6">
              <w:t>7</w:t>
            </w:r>
          </w:p>
        </w:tc>
        <w:tc>
          <w:tcPr>
            <w:tcW w:w="960" w:type="dxa"/>
            <w:tcBorders>
              <w:top w:val="single" w:sz="4" w:space="0" w:color="auto"/>
              <w:left w:val="single" w:sz="4" w:space="0" w:color="auto"/>
              <w:bottom w:val="single" w:sz="4" w:space="0" w:color="auto"/>
              <w:right w:val="single" w:sz="4" w:space="0" w:color="auto"/>
            </w:tcBorders>
            <w:vAlign w:val="center"/>
          </w:tcPr>
          <w:p w:rsidR="0018236C" w:rsidRPr="0018236C" w:rsidRDefault="0018236C" w:rsidP="00714FDA">
            <w:pPr>
              <w:spacing w:line="280" w:lineRule="exact"/>
              <w:ind w:rightChars="50" w:right="120"/>
              <w:jc w:val="right"/>
            </w:pPr>
            <w:r w:rsidRPr="0018236C">
              <w:rPr>
                <w:rFonts w:hint="eastAsia"/>
              </w:rPr>
              <w:t>1.2</w:t>
            </w:r>
          </w:p>
        </w:tc>
        <w:tc>
          <w:tcPr>
            <w:tcW w:w="1200" w:type="dxa"/>
            <w:tcBorders>
              <w:top w:val="single" w:sz="4" w:space="0" w:color="auto"/>
              <w:left w:val="single" w:sz="4" w:space="0" w:color="auto"/>
              <w:bottom w:val="single" w:sz="4" w:space="0" w:color="auto"/>
              <w:right w:val="single" w:sz="4" w:space="0" w:color="auto"/>
            </w:tcBorders>
            <w:vAlign w:val="center"/>
          </w:tcPr>
          <w:p w:rsidR="0018236C" w:rsidRPr="0018236C" w:rsidRDefault="0018236C" w:rsidP="003959C6">
            <w:pPr>
              <w:spacing w:line="280" w:lineRule="exact"/>
              <w:ind w:rightChars="50" w:right="120"/>
              <w:jc w:val="right"/>
            </w:pPr>
            <w:r w:rsidRPr="0018236C">
              <w:rPr>
                <w:rFonts w:hint="eastAsia"/>
              </w:rPr>
              <w:t>37</w:t>
            </w:r>
            <w:r w:rsidR="003959C6">
              <w:t>4</w:t>
            </w:r>
          </w:p>
        </w:tc>
        <w:tc>
          <w:tcPr>
            <w:tcW w:w="840" w:type="dxa"/>
            <w:tcBorders>
              <w:top w:val="single" w:sz="4" w:space="0" w:color="auto"/>
              <w:left w:val="single" w:sz="4" w:space="0" w:color="auto"/>
              <w:bottom w:val="single" w:sz="4" w:space="0" w:color="auto"/>
              <w:right w:val="single" w:sz="4" w:space="0" w:color="auto"/>
            </w:tcBorders>
            <w:vAlign w:val="center"/>
          </w:tcPr>
          <w:p w:rsidR="0018236C" w:rsidRPr="0018236C" w:rsidRDefault="0018236C" w:rsidP="00714FDA">
            <w:pPr>
              <w:spacing w:line="280" w:lineRule="exact"/>
              <w:ind w:rightChars="50" w:right="120"/>
              <w:jc w:val="right"/>
            </w:pPr>
            <w:r w:rsidRPr="0018236C">
              <w:rPr>
                <w:rFonts w:hint="eastAsia"/>
              </w:rPr>
              <w:t>2.0</w:t>
            </w:r>
          </w:p>
        </w:tc>
        <w:tc>
          <w:tcPr>
            <w:tcW w:w="1200" w:type="dxa"/>
            <w:tcBorders>
              <w:top w:val="single" w:sz="4" w:space="0" w:color="auto"/>
              <w:left w:val="single" w:sz="4" w:space="0" w:color="auto"/>
              <w:bottom w:val="single" w:sz="4" w:space="0" w:color="auto"/>
              <w:right w:val="single" w:sz="4" w:space="0" w:color="auto"/>
            </w:tcBorders>
            <w:vAlign w:val="center"/>
          </w:tcPr>
          <w:p w:rsidR="0018236C" w:rsidRPr="0018236C" w:rsidRDefault="0018236C" w:rsidP="00714FDA">
            <w:pPr>
              <w:spacing w:line="280" w:lineRule="exact"/>
              <w:ind w:rightChars="50" w:right="120"/>
              <w:jc w:val="right"/>
            </w:pPr>
            <w:r w:rsidRPr="0018236C">
              <w:rPr>
                <w:rFonts w:hint="eastAsia"/>
              </w:rPr>
              <w:t>-147</w:t>
            </w:r>
          </w:p>
        </w:tc>
        <w:tc>
          <w:tcPr>
            <w:tcW w:w="840" w:type="dxa"/>
            <w:tcBorders>
              <w:top w:val="single" w:sz="4" w:space="0" w:color="auto"/>
              <w:left w:val="single" w:sz="4" w:space="0" w:color="auto"/>
              <w:bottom w:val="single" w:sz="4" w:space="0" w:color="auto"/>
              <w:right w:val="single" w:sz="12" w:space="0" w:color="auto"/>
            </w:tcBorders>
            <w:vAlign w:val="center"/>
          </w:tcPr>
          <w:p w:rsidR="0018236C" w:rsidRPr="0018236C" w:rsidRDefault="0018236C" w:rsidP="007732FA">
            <w:pPr>
              <w:spacing w:line="280" w:lineRule="exact"/>
              <w:ind w:rightChars="50" w:right="120"/>
              <w:jc w:val="right"/>
            </w:pPr>
            <w:r w:rsidRPr="0018236C">
              <w:rPr>
                <w:rFonts w:hint="eastAsia"/>
              </w:rPr>
              <w:t>-39.</w:t>
            </w:r>
            <w:r w:rsidR="007732FA">
              <w:t>3</w:t>
            </w:r>
          </w:p>
        </w:tc>
      </w:tr>
      <w:tr w:rsidR="0018236C" w:rsidRPr="00E520D4" w:rsidTr="00714FDA">
        <w:trPr>
          <w:cantSplit/>
          <w:trHeight w:hRule="exact" w:val="454"/>
        </w:trPr>
        <w:tc>
          <w:tcPr>
            <w:tcW w:w="2760" w:type="dxa"/>
            <w:gridSpan w:val="2"/>
            <w:tcBorders>
              <w:top w:val="single" w:sz="4" w:space="0" w:color="auto"/>
              <w:left w:val="single" w:sz="12" w:space="0" w:color="auto"/>
              <w:bottom w:val="single" w:sz="12" w:space="0" w:color="auto"/>
              <w:right w:val="single" w:sz="4" w:space="0" w:color="auto"/>
            </w:tcBorders>
            <w:vAlign w:val="center"/>
          </w:tcPr>
          <w:p w:rsidR="0018236C" w:rsidRPr="00E520D4" w:rsidRDefault="0018236C" w:rsidP="00714FDA">
            <w:pPr>
              <w:jc w:val="both"/>
              <w:rPr>
                <w:rFonts w:eastAsia="標楷體"/>
                <w:color w:val="000000"/>
                <w:sz w:val="26"/>
                <w:szCs w:val="24"/>
              </w:rPr>
            </w:pPr>
            <w:r w:rsidRPr="00E520D4">
              <w:rPr>
                <w:rFonts w:eastAsia="標楷體"/>
                <w:color w:val="000000"/>
                <w:sz w:val="26"/>
              </w:rPr>
              <w:t>5.</w:t>
            </w:r>
            <w:r w:rsidRPr="00E520D4">
              <w:rPr>
                <w:rFonts w:eastAsia="標楷體" w:hAnsi="標楷體" w:hint="eastAsia"/>
                <w:color w:val="000000"/>
                <w:sz w:val="26"/>
              </w:rPr>
              <w:t>其他收入</w:t>
            </w:r>
          </w:p>
        </w:tc>
        <w:tc>
          <w:tcPr>
            <w:tcW w:w="1320" w:type="dxa"/>
            <w:tcBorders>
              <w:top w:val="single" w:sz="4" w:space="0" w:color="auto"/>
              <w:left w:val="single" w:sz="4" w:space="0" w:color="auto"/>
              <w:bottom w:val="single" w:sz="12" w:space="0" w:color="auto"/>
              <w:right w:val="single" w:sz="4" w:space="0" w:color="auto"/>
            </w:tcBorders>
            <w:vAlign w:val="center"/>
          </w:tcPr>
          <w:p w:rsidR="0018236C" w:rsidRPr="0018236C" w:rsidRDefault="0018236C" w:rsidP="003959C6">
            <w:pPr>
              <w:spacing w:line="280" w:lineRule="exact"/>
              <w:ind w:rightChars="50" w:right="120"/>
              <w:jc w:val="right"/>
            </w:pPr>
            <w:r w:rsidRPr="0018236C">
              <w:rPr>
                <w:rFonts w:hint="eastAsia"/>
              </w:rPr>
              <w:t>21</w:t>
            </w:r>
            <w:r w:rsidR="003959C6">
              <w:t>7</w:t>
            </w:r>
          </w:p>
        </w:tc>
        <w:tc>
          <w:tcPr>
            <w:tcW w:w="960" w:type="dxa"/>
            <w:tcBorders>
              <w:top w:val="single" w:sz="4" w:space="0" w:color="auto"/>
              <w:left w:val="single" w:sz="4" w:space="0" w:color="auto"/>
              <w:bottom w:val="single" w:sz="12" w:space="0" w:color="auto"/>
              <w:right w:val="single" w:sz="4" w:space="0" w:color="auto"/>
            </w:tcBorders>
            <w:vAlign w:val="center"/>
          </w:tcPr>
          <w:p w:rsidR="0018236C" w:rsidRPr="0018236C" w:rsidRDefault="0018236C" w:rsidP="00714FDA">
            <w:pPr>
              <w:spacing w:line="280" w:lineRule="exact"/>
              <w:ind w:rightChars="50" w:right="120"/>
              <w:jc w:val="right"/>
            </w:pPr>
            <w:r w:rsidRPr="0018236C">
              <w:rPr>
                <w:rFonts w:hint="eastAsia"/>
              </w:rPr>
              <w:t>1.1</w:t>
            </w:r>
          </w:p>
        </w:tc>
        <w:tc>
          <w:tcPr>
            <w:tcW w:w="1200" w:type="dxa"/>
            <w:tcBorders>
              <w:top w:val="single" w:sz="4" w:space="0" w:color="auto"/>
              <w:left w:val="single" w:sz="4" w:space="0" w:color="auto"/>
              <w:bottom w:val="single" w:sz="12" w:space="0" w:color="auto"/>
              <w:right w:val="single" w:sz="4" w:space="0" w:color="auto"/>
            </w:tcBorders>
            <w:vAlign w:val="center"/>
          </w:tcPr>
          <w:p w:rsidR="0018236C" w:rsidRPr="0018236C" w:rsidRDefault="0018236C" w:rsidP="003959C6">
            <w:pPr>
              <w:spacing w:line="280" w:lineRule="exact"/>
              <w:ind w:rightChars="50" w:right="120"/>
              <w:jc w:val="right"/>
            </w:pPr>
            <w:r w:rsidRPr="0018236C">
              <w:rPr>
                <w:rFonts w:hint="eastAsia"/>
              </w:rPr>
              <w:t>11</w:t>
            </w:r>
            <w:r w:rsidR="003959C6">
              <w:t>4</w:t>
            </w:r>
          </w:p>
        </w:tc>
        <w:tc>
          <w:tcPr>
            <w:tcW w:w="840" w:type="dxa"/>
            <w:tcBorders>
              <w:top w:val="single" w:sz="4" w:space="0" w:color="auto"/>
              <w:left w:val="single" w:sz="4" w:space="0" w:color="auto"/>
              <w:bottom w:val="single" w:sz="12" w:space="0" w:color="auto"/>
              <w:right w:val="single" w:sz="4" w:space="0" w:color="auto"/>
            </w:tcBorders>
            <w:vAlign w:val="center"/>
          </w:tcPr>
          <w:p w:rsidR="0018236C" w:rsidRPr="0018236C" w:rsidRDefault="0018236C" w:rsidP="00714FDA">
            <w:pPr>
              <w:spacing w:line="280" w:lineRule="exact"/>
              <w:ind w:rightChars="50" w:right="120"/>
              <w:jc w:val="right"/>
            </w:pPr>
            <w:r w:rsidRPr="0018236C">
              <w:rPr>
                <w:rFonts w:hint="eastAsia"/>
              </w:rPr>
              <w:t>0.6</w:t>
            </w:r>
          </w:p>
        </w:tc>
        <w:tc>
          <w:tcPr>
            <w:tcW w:w="1200" w:type="dxa"/>
            <w:tcBorders>
              <w:top w:val="single" w:sz="4" w:space="0" w:color="auto"/>
              <w:left w:val="single" w:sz="4" w:space="0" w:color="auto"/>
              <w:bottom w:val="single" w:sz="12" w:space="0" w:color="auto"/>
              <w:right w:val="single" w:sz="4" w:space="0" w:color="auto"/>
            </w:tcBorders>
            <w:vAlign w:val="center"/>
          </w:tcPr>
          <w:p w:rsidR="0018236C" w:rsidRPr="0018236C" w:rsidRDefault="0018236C" w:rsidP="00714FDA">
            <w:pPr>
              <w:spacing w:line="280" w:lineRule="exact"/>
              <w:ind w:rightChars="50" w:right="120"/>
              <w:jc w:val="right"/>
            </w:pPr>
            <w:r w:rsidRPr="0018236C">
              <w:rPr>
                <w:rFonts w:hint="eastAsia"/>
              </w:rPr>
              <w:t>103</w:t>
            </w:r>
          </w:p>
        </w:tc>
        <w:tc>
          <w:tcPr>
            <w:tcW w:w="840" w:type="dxa"/>
            <w:tcBorders>
              <w:top w:val="single" w:sz="4" w:space="0" w:color="auto"/>
              <w:left w:val="single" w:sz="4" w:space="0" w:color="auto"/>
              <w:bottom w:val="single" w:sz="12" w:space="0" w:color="auto"/>
              <w:right w:val="single" w:sz="12" w:space="0" w:color="auto"/>
            </w:tcBorders>
            <w:vAlign w:val="center"/>
          </w:tcPr>
          <w:p w:rsidR="0018236C" w:rsidRPr="0018236C" w:rsidRDefault="007732FA" w:rsidP="007732FA">
            <w:pPr>
              <w:spacing w:line="280" w:lineRule="exact"/>
              <w:ind w:rightChars="50" w:right="120"/>
              <w:jc w:val="right"/>
            </w:pPr>
            <w:r>
              <w:t>90</w:t>
            </w:r>
            <w:r w:rsidR="0018236C" w:rsidRPr="0018236C">
              <w:rPr>
                <w:rFonts w:hint="eastAsia"/>
              </w:rPr>
              <w:t>.</w:t>
            </w:r>
            <w:r>
              <w:t>8</w:t>
            </w:r>
          </w:p>
        </w:tc>
      </w:tr>
    </w:tbl>
    <w:p w:rsidR="0018236C" w:rsidRPr="00646DAD" w:rsidRDefault="003959C6" w:rsidP="003959C6">
      <w:pPr>
        <w:pStyle w:val="20"/>
        <w:ind w:firstLineChars="100" w:firstLine="180"/>
        <w:rPr>
          <w:rFonts w:ascii="標楷體" w:eastAsia="標楷體"/>
          <w:color w:val="000000"/>
          <w:sz w:val="18"/>
          <w:szCs w:val="18"/>
        </w:rPr>
      </w:pPr>
      <w:proofErr w:type="gramStart"/>
      <w:r w:rsidRPr="00646DAD">
        <w:rPr>
          <w:rFonts w:ascii="標楷體" w:eastAsia="標楷體" w:hint="eastAsia"/>
          <w:color w:val="000000"/>
          <w:sz w:val="18"/>
          <w:szCs w:val="18"/>
        </w:rPr>
        <w:t>註</w:t>
      </w:r>
      <w:proofErr w:type="gramEnd"/>
      <w:r w:rsidRPr="00646DAD">
        <w:rPr>
          <w:rFonts w:ascii="標楷體" w:eastAsia="標楷體" w:hint="eastAsia"/>
          <w:color w:val="000000"/>
          <w:sz w:val="18"/>
          <w:szCs w:val="18"/>
        </w:rPr>
        <w:t>：百分比欄位係以</w:t>
      </w:r>
      <w:proofErr w:type="gramStart"/>
      <w:r w:rsidRPr="00646DAD">
        <w:rPr>
          <w:rFonts w:ascii="標楷體" w:eastAsia="標楷體" w:hint="eastAsia"/>
          <w:color w:val="000000"/>
          <w:sz w:val="18"/>
          <w:szCs w:val="18"/>
        </w:rPr>
        <w:t>採</w:t>
      </w:r>
      <w:proofErr w:type="gramEnd"/>
      <w:r w:rsidRPr="00646DAD">
        <w:rPr>
          <w:rFonts w:ascii="標楷體" w:eastAsia="標楷體" w:hint="eastAsia"/>
          <w:color w:val="000000"/>
          <w:sz w:val="18"/>
          <w:szCs w:val="18"/>
        </w:rPr>
        <w:t>計至元為單位核算。</w:t>
      </w:r>
    </w:p>
    <w:p w:rsidR="005731DE" w:rsidRPr="00E520D4" w:rsidRDefault="005731DE" w:rsidP="005731DE">
      <w:pPr>
        <w:pStyle w:val="20"/>
        <w:spacing w:before="120"/>
        <w:ind w:firstLine="0"/>
        <w:rPr>
          <w:rFonts w:ascii="標楷體" w:eastAsia="標楷體"/>
          <w:color w:val="000000"/>
          <w:sz w:val="28"/>
        </w:rPr>
      </w:pPr>
      <w:r w:rsidRPr="00E520D4">
        <w:rPr>
          <w:rFonts w:ascii="標楷體" w:eastAsia="標楷體" w:hint="eastAsia"/>
          <w:color w:val="000000"/>
          <w:sz w:val="28"/>
        </w:rPr>
        <w:lastRenderedPageBreak/>
        <w:t>（二）本年度歲出決算數與預算數之比較</w:t>
      </w:r>
    </w:p>
    <w:p w:rsidR="00A74446" w:rsidRPr="00060E33" w:rsidRDefault="00A74446" w:rsidP="00A74446">
      <w:pPr>
        <w:pStyle w:val="5"/>
        <w:spacing w:line="580" w:lineRule="exact"/>
        <w:ind w:leftChars="335" w:left="804" w:firstLineChars="200" w:firstLine="560"/>
        <w:rPr>
          <w:rFonts w:ascii="標楷體" w:eastAsia="標楷體" w:hAnsi="標楷體"/>
          <w:sz w:val="28"/>
        </w:rPr>
      </w:pPr>
      <w:r w:rsidRPr="00060E33">
        <w:rPr>
          <w:rFonts w:ascii="標楷體" w:eastAsia="標楷體" w:hAnsi="標楷體" w:hint="eastAsia"/>
          <w:sz w:val="28"/>
        </w:rPr>
        <w:t>本年度中央政府總預算歲出</w:t>
      </w:r>
      <w:r w:rsidRPr="00060E33">
        <w:rPr>
          <w:rFonts w:ascii="標楷體" w:eastAsia="標楷體" w:hAnsi="標楷體"/>
          <w:sz w:val="28"/>
        </w:rPr>
        <w:t>1</w:t>
      </w:r>
      <w:r w:rsidRPr="00060E33">
        <w:rPr>
          <w:rFonts w:ascii="標楷體" w:eastAsia="標楷體" w:hAnsi="標楷體" w:hint="eastAsia"/>
          <w:sz w:val="28"/>
        </w:rPr>
        <w:t>兆</w:t>
      </w:r>
      <w:r w:rsidRPr="00060E33">
        <w:rPr>
          <w:rFonts w:ascii="標楷體" w:eastAsia="標楷體" w:hAnsi="標楷體"/>
          <w:sz w:val="28"/>
        </w:rPr>
        <w:t>9,7</w:t>
      </w:r>
      <w:r w:rsidRPr="00060E33">
        <w:rPr>
          <w:rFonts w:ascii="標楷體" w:eastAsia="標楷體" w:hAnsi="標楷體" w:hint="eastAsia"/>
          <w:sz w:val="28"/>
        </w:rPr>
        <w:t>40億元，執行結果，歲出實現數</w:t>
      </w:r>
      <w:r w:rsidRPr="00060E33">
        <w:rPr>
          <w:rFonts w:ascii="標楷體" w:eastAsia="標楷體" w:hAnsi="標楷體"/>
          <w:sz w:val="28"/>
        </w:rPr>
        <w:t>1</w:t>
      </w:r>
      <w:r w:rsidRPr="00060E33">
        <w:rPr>
          <w:rFonts w:ascii="標楷體" w:eastAsia="標楷體" w:hAnsi="標楷體" w:hint="eastAsia"/>
          <w:sz w:val="28"/>
        </w:rPr>
        <w:t>兆</w:t>
      </w:r>
      <w:r w:rsidRPr="00060E33">
        <w:rPr>
          <w:rFonts w:ascii="標楷體" w:eastAsia="標楷體" w:hAnsi="標楷體"/>
          <w:sz w:val="28"/>
        </w:rPr>
        <w:t>8,</w:t>
      </w:r>
      <w:r w:rsidRPr="00060E33">
        <w:rPr>
          <w:rFonts w:ascii="標楷體" w:eastAsia="標楷體" w:hAnsi="標楷體" w:hint="eastAsia"/>
          <w:sz w:val="28"/>
        </w:rPr>
        <w:t>67</w:t>
      </w:r>
      <w:r w:rsidR="00A4471A">
        <w:rPr>
          <w:rFonts w:ascii="標楷體" w:eastAsia="標楷體" w:hAnsi="標楷體"/>
          <w:sz w:val="28"/>
        </w:rPr>
        <w:t>7</w:t>
      </w:r>
      <w:r w:rsidRPr="00060E33">
        <w:rPr>
          <w:rFonts w:ascii="標楷體" w:eastAsia="標楷體" w:hAnsi="標楷體" w:hint="eastAsia"/>
          <w:sz w:val="28"/>
        </w:rPr>
        <w:t>億元，轉入下年度之應付數93億元，保留數</w:t>
      </w:r>
      <w:r w:rsidRPr="00060E33">
        <w:rPr>
          <w:rFonts w:ascii="標楷體" w:eastAsia="標楷體" w:hAnsi="標楷體"/>
          <w:sz w:val="28"/>
        </w:rPr>
        <w:t>5</w:t>
      </w:r>
      <w:r w:rsidRPr="00060E33">
        <w:rPr>
          <w:rFonts w:ascii="標楷體" w:eastAsia="標楷體" w:hAnsi="標楷體" w:hint="eastAsia"/>
          <w:sz w:val="28"/>
        </w:rPr>
        <w:t>4</w:t>
      </w:r>
      <w:r w:rsidR="00A4471A">
        <w:rPr>
          <w:rFonts w:ascii="標楷體" w:eastAsia="標楷體" w:hAnsi="標楷體"/>
          <w:sz w:val="28"/>
        </w:rPr>
        <w:t>0</w:t>
      </w:r>
      <w:r w:rsidRPr="00060E33">
        <w:rPr>
          <w:rFonts w:ascii="標楷體" w:eastAsia="標楷體" w:hAnsi="標楷體" w:hint="eastAsia"/>
          <w:sz w:val="28"/>
        </w:rPr>
        <w:t>億元，</w:t>
      </w:r>
      <w:proofErr w:type="gramStart"/>
      <w:r w:rsidRPr="00060E33">
        <w:rPr>
          <w:rFonts w:ascii="標楷體" w:eastAsia="標楷體" w:hAnsi="標楷體" w:hint="eastAsia"/>
          <w:sz w:val="28"/>
        </w:rPr>
        <w:t>決算數合共</w:t>
      </w:r>
      <w:proofErr w:type="gramEnd"/>
      <w:r w:rsidRPr="00060E33">
        <w:rPr>
          <w:rFonts w:ascii="標楷體" w:eastAsia="標楷體" w:hAnsi="標楷體"/>
          <w:sz w:val="28"/>
        </w:rPr>
        <w:t>1</w:t>
      </w:r>
      <w:r w:rsidRPr="00060E33">
        <w:rPr>
          <w:rFonts w:ascii="標楷體" w:eastAsia="標楷體" w:hAnsi="標楷體" w:hint="eastAsia"/>
          <w:sz w:val="28"/>
        </w:rPr>
        <w:t>兆</w:t>
      </w:r>
      <w:r w:rsidRPr="00060E33">
        <w:rPr>
          <w:rFonts w:ascii="標楷體" w:eastAsia="標楷體" w:hAnsi="標楷體"/>
          <w:sz w:val="28"/>
        </w:rPr>
        <w:t>9,</w:t>
      </w:r>
      <w:r w:rsidRPr="00060E33">
        <w:rPr>
          <w:rFonts w:ascii="標楷體" w:eastAsia="標楷體" w:hAnsi="標楷體" w:hint="eastAsia"/>
          <w:sz w:val="28"/>
        </w:rPr>
        <w:t>310億元，較預算</w:t>
      </w:r>
      <w:proofErr w:type="gramStart"/>
      <w:r w:rsidRPr="00060E33">
        <w:rPr>
          <w:rFonts w:ascii="標楷體" w:eastAsia="標楷體" w:hAnsi="標楷體" w:hint="eastAsia"/>
          <w:sz w:val="28"/>
        </w:rPr>
        <w:t>數節減430億元</w:t>
      </w:r>
      <w:proofErr w:type="gramEnd"/>
      <w:r w:rsidRPr="00060E33">
        <w:rPr>
          <w:rFonts w:ascii="標楷體" w:eastAsia="標楷體" w:hAnsi="標楷體" w:hint="eastAsia"/>
          <w:sz w:val="28"/>
        </w:rPr>
        <w:t>，約減2</w:t>
      </w:r>
      <w:r w:rsidRPr="00060E33">
        <w:rPr>
          <w:rFonts w:ascii="標楷體" w:eastAsia="標楷體" w:hAnsi="標楷體"/>
          <w:sz w:val="28"/>
        </w:rPr>
        <w:t>.</w:t>
      </w:r>
      <w:r w:rsidRPr="00060E33">
        <w:rPr>
          <w:rFonts w:ascii="標楷體" w:eastAsia="標楷體" w:hAnsi="標楷體" w:hint="eastAsia"/>
          <w:sz w:val="28"/>
        </w:rPr>
        <w:t>2％。茲將執行情形分項說明如下：</w:t>
      </w:r>
    </w:p>
    <w:p w:rsidR="00A74446" w:rsidRPr="00060E33" w:rsidRDefault="00A74446" w:rsidP="00A74446">
      <w:pPr>
        <w:pStyle w:val="7"/>
        <w:numPr>
          <w:ilvl w:val="0"/>
          <w:numId w:val="45"/>
        </w:numPr>
        <w:spacing w:line="580" w:lineRule="exact"/>
        <w:rPr>
          <w:rFonts w:ascii="標楷體" w:eastAsia="標楷體" w:hAnsi="標楷體"/>
          <w:noProof/>
          <w:spacing w:val="-4"/>
          <w:sz w:val="28"/>
        </w:rPr>
      </w:pPr>
      <w:r w:rsidRPr="00060E33">
        <w:rPr>
          <w:rFonts w:ascii="標楷體" w:eastAsia="標楷體" w:hAnsi="標楷體" w:hint="eastAsia"/>
          <w:noProof/>
          <w:sz w:val="28"/>
        </w:rPr>
        <w:t>一</w:t>
      </w:r>
      <w:r w:rsidRPr="00060E33">
        <w:rPr>
          <w:rFonts w:ascii="標楷體" w:eastAsia="標楷體" w:hAnsi="標楷體" w:hint="eastAsia"/>
          <w:noProof/>
          <w:spacing w:val="-4"/>
          <w:sz w:val="28"/>
        </w:rPr>
        <w:t>般政務支出：決算數（包括歲出實現數、應付數及保留數，以下同）</w:t>
      </w:r>
    </w:p>
    <w:p w:rsidR="00A74446" w:rsidRPr="00060E33" w:rsidRDefault="00A74446" w:rsidP="00A74446">
      <w:pPr>
        <w:pStyle w:val="7"/>
        <w:spacing w:line="580" w:lineRule="exact"/>
        <w:ind w:left="860" w:firstLine="0"/>
        <w:rPr>
          <w:rFonts w:ascii="標楷體" w:eastAsia="標楷體" w:hAnsi="標楷體"/>
          <w:sz w:val="28"/>
        </w:rPr>
      </w:pPr>
      <w:r w:rsidRPr="00060E33">
        <w:rPr>
          <w:rFonts w:ascii="標楷體" w:eastAsia="標楷體" w:hAnsi="標楷體"/>
          <w:noProof/>
          <w:spacing w:val="-4"/>
          <w:sz w:val="28"/>
        </w:rPr>
        <w:t>1,7</w:t>
      </w:r>
      <w:r w:rsidRPr="00060E33">
        <w:rPr>
          <w:rFonts w:ascii="標楷體" w:eastAsia="標楷體" w:hAnsi="標楷體" w:hint="eastAsia"/>
          <w:noProof/>
          <w:spacing w:val="-4"/>
          <w:sz w:val="28"/>
        </w:rPr>
        <w:t>60億元，較預算數</w:t>
      </w:r>
      <w:r w:rsidRPr="00060E33">
        <w:rPr>
          <w:rFonts w:ascii="標楷體" w:eastAsia="標楷體" w:hAnsi="標楷體"/>
          <w:noProof/>
          <w:spacing w:val="-4"/>
          <w:sz w:val="28"/>
        </w:rPr>
        <w:t>1,8</w:t>
      </w:r>
      <w:r w:rsidRPr="00060E33">
        <w:rPr>
          <w:rFonts w:ascii="標楷體" w:eastAsia="標楷體" w:hAnsi="標楷體" w:hint="eastAsia"/>
          <w:noProof/>
          <w:spacing w:val="-4"/>
          <w:sz w:val="28"/>
        </w:rPr>
        <w:t>17億元，計節減57億元及3</w:t>
      </w:r>
      <w:r w:rsidRPr="00060E33">
        <w:rPr>
          <w:rFonts w:ascii="標楷體" w:eastAsia="標楷體" w:hAnsi="標楷體"/>
          <w:noProof/>
          <w:spacing w:val="-4"/>
          <w:sz w:val="28"/>
        </w:rPr>
        <w:t>.</w:t>
      </w:r>
      <w:r w:rsidRPr="00060E33">
        <w:rPr>
          <w:rFonts w:ascii="標楷體" w:eastAsia="標楷體" w:hAnsi="標楷體" w:hint="eastAsia"/>
          <w:noProof/>
          <w:spacing w:val="-4"/>
          <w:sz w:val="28"/>
        </w:rPr>
        <w:t>1％，本項支出占歲出決算數總額</w:t>
      </w:r>
      <w:r w:rsidRPr="00060E33">
        <w:rPr>
          <w:rFonts w:ascii="標楷體" w:eastAsia="標楷體" w:hAnsi="標楷體" w:hint="eastAsia"/>
          <w:spacing w:val="-4"/>
          <w:sz w:val="28"/>
        </w:rPr>
        <w:t>之</w:t>
      </w:r>
      <w:r w:rsidRPr="00060E33">
        <w:rPr>
          <w:rFonts w:ascii="標楷體" w:eastAsia="標楷體" w:hAnsi="標楷體"/>
          <w:spacing w:val="-4"/>
          <w:sz w:val="28"/>
        </w:rPr>
        <w:t>9.</w:t>
      </w:r>
      <w:r w:rsidRPr="00060E33">
        <w:rPr>
          <w:rFonts w:ascii="標楷體" w:eastAsia="標楷體" w:hAnsi="標楷體" w:hint="eastAsia"/>
          <w:spacing w:val="-4"/>
          <w:sz w:val="28"/>
        </w:rPr>
        <w:t>1</w:t>
      </w:r>
      <w:r w:rsidRPr="00060E33">
        <w:rPr>
          <w:rFonts w:ascii="標楷體" w:eastAsia="標楷體" w:hAnsi="標楷體" w:hint="eastAsia"/>
          <w:noProof/>
          <w:spacing w:val="-4"/>
          <w:sz w:val="28"/>
        </w:rPr>
        <w:t>％。</w:t>
      </w:r>
    </w:p>
    <w:p w:rsidR="00A74446" w:rsidRPr="00060E33" w:rsidRDefault="00A74446" w:rsidP="00A74446">
      <w:pPr>
        <w:pStyle w:val="7"/>
        <w:numPr>
          <w:ilvl w:val="0"/>
          <w:numId w:val="45"/>
        </w:numPr>
        <w:spacing w:line="580" w:lineRule="exact"/>
        <w:rPr>
          <w:rFonts w:ascii="標楷體" w:eastAsia="標楷體" w:hAnsi="標楷體"/>
          <w:noProof/>
          <w:spacing w:val="6"/>
          <w:sz w:val="28"/>
        </w:rPr>
      </w:pPr>
      <w:r w:rsidRPr="00060E33">
        <w:rPr>
          <w:rFonts w:ascii="標楷體" w:eastAsia="標楷體" w:hAnsi="標楷體" w:hint="eastAsia"/>
          <w:noProof/>
          <w:spacing w:val="6"/>
          <w:sz w:val="28"/>
        </w:rPr>
        <w:t>國防支出：決算數</w:t>
      </w:r>
      <w:r w:rsidRPr="00060E33">
        <w:rPr>
          <w:rFonts w:ascii="標楷體" w:eastAsia="標楷體" w:hAnsi="標楷體"/>
          <w:noProof/>
          <w:spacing w:val="6"/>
          <w:sz w:val="28"/>
        </w:rPr>
        <w:t>3,057</w:t>
      </w:r>
      <w:r w:rsidRPr="00060E33">
        <w:rPr>
          <w:rFonts w:ascii="標楷體" w:eastAsia="標楷體" w:hAnsi="標楷體" w:hint="eastAsia"/>
          <w:noProof/>
          <w:spacing w:val="6"/>
          <w:sz w:val="28"/>
        </w:rPr>
        <w:t>億元，較預算數</w:t>
      </w:r>
      <w:r w:rsidRPr="00060E33">
        <w:rPr>
          <w:rFonts w:ascii="標楷體" w:eastAsia="標楷體" w:hAnsi="標楷體"/>
          <w:noProof/>
          <w:spacing w:val="6"/>
          <w:sz w:val="28"/>
        </w:rPr>
        <w:t>3,079</w:t>
      </w:r>
      <w:r w:rsidRPr="00060E33">
        <w:rPr>
          <w:rFonts w:ascii="標楷體" w:eastAsia="標楷體" w:hAnsi="標楷體" w:hint="eastAsia"/>
          <w:noProof/>
          <w:spacing w:val="6"/>
          <w:sz w:val="28"/>
        </w:rPr>
        <w:t>億元，計節減22</w:t>
      </w:r>
    </w:p>
    <w:p w:rsidR="00A74446" w:rsidRPr="00060E33" w:rsidRDefault="00A74446" w:rsidP="00A74446">
      <w:pPr>
        <w:pStyle w:val="7"/>
        <w:spacing w:line="580" w:lineRule="exact"/>
        <w:ind w:left="860" w:firstLine="0"/>
        <w:rPr>
          <w:rFonts w:ascii="標楷體" w:eastAsia="標楷體" w:hAnsi="標楷體"/>
          <w:spacing w:val="6"/>
          <w:sz w:val="28"/>
        </w:rPr>
      </w:pPr>
      <w:r w:rsidRPr="00060E33">
        <w:rPr>
          <w:rFonts w:ascii="標楷體" w:eastAsia="標楷體" w:hAnsi="標楷體" w:hint="eastAsia"/>
          <w:noProof/>
          <w:spacing w:val="6"/>
          <w:sz w:val="28"/>
        </w:rPr>
        <w:t>億元及</w:t>
      </w:r>
      <w:r w:rsidRPr="00060E33">
        <w:rPr>
          <w:rFonts w:ascii="標楷體" w:eastAsia="標楷體" w:hAnsi="標楷體"/>
          <w:noProof/>
          <w:spacing w:val="6"/>
          <w:sz w:val="28"/>
        </w:rPr>
        <w:t>0.</w:t>
      </w:r>
      <w:r w:rsidRPr="00060E33">
        <w:rPr>
          <w:rFonts w:ascii="標楷體" w:eastAsia="標楷體" w:hAnsi="標楷體" w:hint="eastAsia"/>
          <w:noProof/>
          <w:spacing w:val="6"/>
          <w:sz w:val="28"/>
        </w:rPr>
        <w:t>7％，本項支出占歲出決算數總額</w:t>
      </w:r>
      <w:r w:rsidRPr="00060E33">
        <w:rPr>
          <w:rFonts w:ascii="標楷體" w:eastAsia="標楷體" w:hAnsi="標楷體" w:hint="eastAsia"/>
          <w:sz w:val="28"/>
        </w:rPr>
        <w:t>之</w:t>
      </w:r>
      <w:r w:rsidRPr="00060E33">
        <w:rPr>
          <w:rFonts w:ascii="標楷體" w:eastAsia="標楷體" w:hAnsi="標楷體"/>
          <w:sz w:val="28"/>
        </w:rPr>
        <w:t>15.</w:t>
      </w:r>
      <w:r w:rsidRPr="00060E33">
        <w:rPr>
          <w:rFonts w:ascii="標楷體" w:eastAsia="標楷體" w:hAnsi="標楷體" w:hint="eastAsia"/>
          <w:sz w:val="28"/>
        </w:rPr>
        <w:t>8</w:t>
      </w:r>
      <w:r w:rsidRPr="00060E33">
        <w:rPr>
          <w:rFonts w:ascii="標楷體" w:eastAsia="標楷體" w:hAnsi="標楷體" w:hint="eastAsia"/>
          <w:noProof/>
          <w:spacing w:val="6"/>
          <w:sz w:val="28"/>
        </w:rPr>
        <w:t>％。</w:t>
      </w:r>
    </w:p>
    <w:p w:rsidR="00A74446" w:rsidRPr="00060E33" w:rsidRDefault="00A74446" w:rsidP="00A74446">
      <w:pPr>
        <w:pStyle w:val="7"/>
        <w:numPr>
          <w:ilvl w:val="0"/>
          <w:numId w:val="45"/>
        </w:numPr>
        <w:spacing w:line="580" w:lineRule="exact"/>
        <w:rPr>
          <w:rFonts w:ascii="標楷體" w:eastAsia="標楷體" w:hAnsi="標楷體"/>
          <w:sz w:val="28"/>
        </w:rPr>
      </w:pPr>
      <w:r w:rsidRPr="00060E33">
        <w:rPr>
          <w:rFonts w:ascii="標楷體" w:eastAsia="標楷體" w:hAnsi="標楷體" w:hint="eastAsia"/>
          <w:noProof/>
          <w:spacing w:val="6"/>
          <w:sz w:val="28"/>
        </w:rPr>
        <w:t>教育科學文化支出</w:t>
      </w:r>
      <w:r w:rsidRPr="00060E33">
        <w:rPr>
          <w:rFonts w:ascii="標楷體" w:eastAsia="標楷體" w:hAnsi="標楷體" w:hint="eastAsia"/>
          <w:sz w:val="28"/>
        </w:rPr>
        <w:t>：決算數4</w:t>
      </w:r>
      <w:r w:rsidRPr="00060E33">
        <w:rPr>
          <w:rFonts w:ascii="標楷體" w:eastAsia="標楷體" w:hAnsi="標楷體"/>
          <w:sz w:val="28"/>
        </w:rPr>
        <w:t>,</w:t>
      </w:r>
      <w:r w:rsidRPr="00060E33">
        <w:rPr>
          <w:rFonts w:ascii="標楷體" w:eastAsia="標楷體" w:hAnsi="標楷體" w:hint="eastAsia"/>
          <w:sz w:val="28"/>
        </w:rPr>
        <w:t>018億元，</w:t>
      </w:r>
      <w:r w:rsidRPr="00060E33">
        <w:rPr>
          <w:rFonts w:ascii="標楷體" w:eastAsia="標楷體" w:hAnsi="標楷體" w:hint="eastAsia"/>
          <w:noProof/>
          <w:spacing w:val="6"/>
          <w:sz w:val="28"/>
        </w:rPr>
        <w:t>較</w:t>
      </w:r>
      <w:r w:rsidRPr="00060E33">
        <w:rPr>
          <w:rFonts w:ascii="標楷體" w:eastAsia="標楷體" w:hAnsi="標楷體" w:hint="eastAsia"/>
          <w:sz w:val="28"/>
        </w:rPr>
        <w:t>預算數4</w:t>
      </w:r>
      <w:r w:rsidRPr="00060E33">
        <w:rPr>
          <w:rFonts w:ascii="標楷體" w:eastAsia="標楷體" w:hAnsi="標楷體"/>
          <w:sz w:val="28"/>
        </w:rPr>
        <w:t>,</w:t>
      </w:r>
      <w:r w:rsidRPr="00060E33">
        <w:rPr>
          <w:rFonts w:ascii="標楷體" w:eastAsia="標楷體" w:hAnsi="標楷體" w:hint="eastAsia"/>
          <w:sz w:val="28"/>
        </w:rPr>
        <w:t>092億元，</w:t>
      </w:r>
      <w:proofErr w:type="gramStart"/>
      <w:r w:rsidRPr="00060E33">
        <w:rPr>
          <w:rFonts w:ascii="標楷體" w:eastAsia="標楷體" w:hAnsi="標楷體" w:hint="eastAsia"/>
          <w:sz w:val="28"/>
        </w:rPr>
        <w:t>計節減</w:t>
      </w:r>
      <w:proofErr w:type="gramEnd"/>
      <w:r w:rsidRPr="00060E33">
        <w:rPr>
          <w:rFonts w:ascii="標楷體" w:eastAsia="標楷體" w:hAnsi="標楷體" w:hint="eastAsia"/>
          <w:sz w:val="28"/>
        </w:rPr>
        <w:t>7</w:t>
      </w:r>
      <w:r w:rsidRPr="00060E33">
        <w:rPr>
          <w:rFonts w:ascii="標楷體" w:eastAsia="標楷體" w:hAnsi="標楷體"/>
          <w:sz w:val="28"/>
        </w:rPr>
        <w:t>4</w:t>
      </w:r>
      <w:r w:rsidRPr="00060E33">
        <w:rPr>
          <w:rFonts w:ascii="標楷體" w:eastAsia="標楷體" w:hAnsi="標楷體" w:hint="eastAsia"/>
          <w:sz w:val="28"/>
        </w:rPr>
        <w:t>億元及</w:t>
      </w:r>
      <w:r w:rsidRPr="00060E33">
        <w:rPr>
          <w:rFonts w:ascii="標楷體" w:eastAsia="標楷體" w:hAnsi="標楷體"/>
          <w:noProof/>
          <w:spacing w:val="-4"/>
          <w:sz w:val="28"/>
        </w:rPr>
        <w:t>1.</w:t>
      </w:r>
      <w:r w:rsidRPr="00060E33">
        <w:rPr>
          <w:rFonts w:ascii="標楷體" w:eastAsia="標楷體" w:hAnsi="標楷體" w:hint="eastAsia"/>
          <w:noProof/>
          <w:spacing w:val="-4"/>
          <w:sz w:val="28"/>
        </w:rPr>
        <w:t>8</w:t>
      </w:r>
      <w:r w:rsidRPr="00060E33">
        <w:rPr>
          <w:rFonts w:ascii="標楷體" w:eastAsia="標楷體" w:hAnsi="標楷體" w:hint="eastAsia"/>
          <w:sz w:val="28"/>
        </w:rPr>
        <w:t>％，本項支出占歲出決算數總額之20</w:t>
      </w:r>
      <w:r w:rsidRPr="00060E33">
        <w:rPr>
          <w:rFonts w:ascii="標楷體" w:eastAsia="標楷體" w:hAnsi="標楷體"/>
          <w:sz w:val="28"/>
        </w:rPr>
        <w:t>.</w:t>
      </w:r>
      <w:r w:rsidRPr="00060E33">
        <w:rPr>
          <w:rFonts w:ascii="標楷體" w:eastAsia="標楷體" w:hAnsi="標楷體" w:hint="eastAsia"/>
          <w:sz w:val="28"/>
        </w:rPr>
        <w:t>8％。</w:t>
      </w:r>
    </w:p>
    <w:p w:rsidR="00A74446" w:rsidRPr="00060E33" w:rsidRDefault="00A74446" w:rsidP="00A74446">
      <w:pPr>
        <w:pStyle w:val="7"/>
        <w:numPr>
          <w:ilvl w:val="0"/>
          <w:numId w:val="45"/>
        </w:numPr>
        <w:spacing w:line="580" w:lineRule="exact"/>
        <w:rPr>
          <w:rFonts w:ascii="標楷體" w:eastAsia="標楷體" w:hAnsi="標楷體"/>
          <w:spacing w:val="6"/>
          <w:sz w:val="28"/>
        </w:rPr>
      </w:pPr>
      <w:r w:rsidRPr="00060E33">
        <w:rPr>
          <w:rFonts w:ascii="標楷體" w:eastAsia="標楷體" w:hAnsi="標楷體" w:hint="eastAsia"/>
          <w:sz w:val="28"/>
        </w:rPr>
        <w:t>經濟發展支出：決算數</w:t>
      </w:r>
      <w:r w:rsidRPr="00060E33">
        <w:rPr>
          <w:rFonts w:ascii="標楷體" w:eastAsia="標楷體" w:hAnsi="標楷體"/>
          <w:sz w:val="28"/>
        </w:rPr>
        <w:t>2,</w:t>
      </w:r>
      <w:r w:rsidRPr="00060E33">
        <w:rPr>
          <w:rFonts w:ascii="標楷體" w:eastAsia="標楷體" w:hAnsi="標楷體" w:hint="eastAsia"/>
          <w:sz w:val="28"/>
        </w:rPr>
        <w:t>5</w:t>
      </w:r>
      <w:r w:rsidRPr="00060E33">
        <w:rPr>
          <w:rFonts w:ascii="標楷體" w:eastAsia="標楷體" w:hAnsi="標楷體"/>
          <w:sz w:val="28"/>
        </w:rPr>
        <w:t>67</w:t>
      </w:r>
      <w:r w:rsidRPr="00060E33">
        <w:rPr>
          <w:rFonts w:ascii="標楷體" w:eastAsia="標楷體" w:hAnsi="標楷體" w:hint="eastAsia"/>
          <w:sz w:val="28"/>
        </w:rPr>
        <w:t>億</w:t>
      </w:r>
      <w:r w:rsidRPr="00060E33">
        <w:rPr>
          <w:rFonts w:ascii="標楷體" w:eastAsia="標楷體" w:hAnsi="標楷體" w:hint="eastAsia"/>
          <w:spacing w:val="6"/>
          <w:sz w:val="28"/>
        </w:rPr>
        <w:t>元，</w:t>
      </w:r>
      <w:r w:rsidRPr="00060E33">
        <w:rPr>
          <w:rFonts w:ascii="標楷體" w:eastAsia="標楷體" w:hAnsi="標楷體" w:hint="eastAsia"/>
          <w:noProof/>
          <w:spacing w:val="6"/>
          <w:sz w:val="28"/>
        </w:rPr>
        <w:t>較預算數</w:t>
      </w:r>
      <w:r w:rsidRPr="00060E33">
        <w:rPr>
          <w:rFonts w:ascii="標楷體" w:eastAsia="標楷體" w:hAnsi="標楷體"/>
          <w:noProof/>
          <w:spacing w:val="6"/>
          <w:sz w:val="28"/>
        </w:rPr>
        <w:t>2,</w:t>
      </w:r>
      <w:r w:rsidRPr="00060E33">
        <w:rPr>
          <w:rFonts w:ascii="標楷體" w:eastAsia="標楷體" w:hAnsi="標楷體" w:hint="eastAsia"/>
          <w:noProof/>
          <w:spacing w:val="6"/>
          <w:sz w:val="28"/>
        </w:rPr>
        <w:t>625</w:t>
      </w:r>
      <w:r w:rsidRPr="00060E33">
        <w:rPr>
          <w:rFonts w:ascii="標楷體" w:eastAsia="標楷體" w:hAnsi="標楷體" w:hint="eastAsia"/>
          <w:sz w:val="28"/>
        </w:rPr>
        <w:t>億元</w:t>
      </w:r>
      <w:r w:rsidRPr="00060E33">
        <w:rPr>
          <w:rFonts w:ascii="標楷體" w:eastAsia="標楷體" w:hAnsi="標楷體" w:hint="eastAsia"/>
          <w:spacing w:val="6"/>
          <w:sz w:val="28"/>
        </w:rPr>
        <w:t>，</w:t>
      </w:r>
      <w:proofErr w:type="gramStart"/>
      <w:r w:rsidRPr="00060E33">
        <w:rPr>
          <w:rFonts w:ascii="標楷體" w:eastAsia="標楷體" w:hAnsi="標楷體" w:hint="eastAsia"/>
          <w:spacing w:val="6"/>
          <w:sz w:val="28"/>
        </w:rPr>
        <w:t>計節減</w:t>
      </w:r>
      <w:proofErr w:type="gramEnd"/>
    </w:p>
    <w:p w:rsidR="00A74446" w:rsidRPr="00060E33" w:rsidRDefault="00A74446" w:rsidP="00A74446">
      <w:pPr>
        <w:pStyle w:val="7"/>
        <w:spacing w:line="580" w:lineRule="exact"/>
        <w:ind w:left="860" w:firstLine="0"/>
        <w:rPr>
          <w:rFonts w:ascii="標楷體" w:eastAsia="標楷體" w:hAnsi="標楷體"/>
          <w:spacing w:val="6"/>
          <w:sz w:val="28"/>
        </w:rPr>
      </w:pPr>
      <w:r w:rsidRPr="00060E33">
        <w:rPr>
          <w:rFonts w:ascii="標楷體" w:eastAsia="標楷體" w:hAnsi="標楷體" w:hint="eastAsia"/>
          <w:spacing w:val="6"/>
          <w:sz w:val="28"/>
        </w:rPr>
        <w:t>58億元及2.2％，本項支出占歲出決算數總額</w:t>
      </w:r>
      <w:r w:rsidRPr="00060E33">
        <w:rPr>
          <w:rFonts w:ascii="標楷體" w:eastAsia="標楷體" w:hAnsi="標楷體" w:hint="eastAsia"/>
          <w:sz w:val="28"/>
        </w:rPr>
        <w:t>之</w:t>
      </w:r>
      <w:r w:rsidRPr="00060E33">
        <w:rPr>
          <w:rFonts w:ascii="標楷體" w:eastAsia="標楷體" w:hAnsi="標楷體"/>
          <w:sz w:val="28"/>
        </w:rPr>
        <w:t>13.</w:t>
      </w:r>
      <w:r w:rsidRPr="00060E33">
        <w:rPr>
          <w:rFonts w:ascii="標楷體" w:eastAsia="標楷體" w:hAnsi="標楷體" w:hint="eastAsia"/>
          <w:sz w:val="28"/>
        </w:rPr>
        <w:t>3</w:t>
      </w:r>
      <w:r w:rsidRPr="00060E33">
        <w:rPr>
          <w:rFonts w:ascii="標楷體" w:eastAsia="標楷體" w:hAnsi="標楷體" w:hint="eastAsia"/>
          <w:spacing w:val="6"/>
          <w:sz w:val="28"/>
        </w:rPr>
        <w:t>％。</w:t>
      </w:r>
    </w:p>
    <w:p w:rsidR="00A74446" w:rsidRPr="00060E33" w:rsidRDefault="00A74446" w:rsidP="00A74446">
      <w:pPr>
        <w:pStyle w:val="7"/>
        <w:numPr>
          <w:ilvl w:val="0"/>
          <w:numId w:val="45"/>
        </w:numPr>
        <w:spacing w:line="580" w:lineRule="exact"/>
        <w:rPr>
          <w:rFonts w:ascii="標楷體" w:eastAsia="標楷體" w:hAnsi="標楷體"/>
          <w:spacing w:val="2"/>
          <w:sz w:val="28"/>
        </w:rPr>
      </w:pPr>
      <w:r w:rsidRPr="00060E33">
        <w:rPr>
          <w:rFonts w:ascii="標楷體" w:eastAsia="標楷體" w:hAnsi="標楷體" w:hint="eastAsia"/>
          <w:noProof/>
          <w:spacing w:val="6"/>
          <w:sz w:val="28"/>
        </w:rPr>
        <w:t>社會福利支出</w:t>
      </w:r>
      <w:r w:rsidRPr="00060E33">
        <w:rPr>
          <w:rFonts w:ascii="標楷體" w:eastAsia="標楷體" w:hAnsi="標楷體" w:hint="eastAsia"/>
          <w:spacing w:val="2"/>
          <w:sz w:val="28"/>
        </w:rPr>
        <w:t>：決算數</w:t>
      </w:r>
      <w:r w:rsidRPr="00060E33">
        <w:rPr>
          <w:rFonts w:ascii="標楷體" w:eastAsia="標楷體" w:hAnsi="標楷體"/>
          <w:spacing w:val="2"/>
          <w:sz w:val="28"/>
        </w:rPr>
        <w:t>4,</w:t>
      </w:r>
      <w:r w:rsidRPr="00060E33">
        <w:rPr>
          <w:rFonts w:ascii="標楷體" w:eastAsia="標楷體" w:hAnsi="標楷體" w:hint="eastAsia"/>
          <w:spacing w:val="2"/>
          <w:sz w:val="28"/>
        </w:rPr>
        <w:t>754億元，</w:t>
      </w:r>
      <w:r w:rsidRPr="00060E33">
        <w:rPr>
          <w:rFonts w:ascii="標楷體" w:eastAsia="標楷體" w:hAnsi="標楷體" w:hint="eastAsia"/>
          <w:noProof/>
          <w:spacing w:val="6"/>
          <w:sz w:val="28"/>
        </w:rPr>
        <w:t>較</w:t>
      </w:r>
      <w:r w:rsidRPr="00060E33">
        <w:rPr>
          <w:rFonts w:ascii="標楷體" w:eastAsia="標楷體" w:hAnsi="標楷體" w:hint="eastAsia"/>
          <w:spacing w:val="2"/>
          <w:sz w:val="28"/>
        </w:rPr>
        <w:t>預算數</w:t>
      </w:r>
      <w:r w:rsidRPr="00060E33">
        <w:rPr>
          <w:rFonts w:ascii="標楷體" w:eastAsia="標楷體" w:hAnsi="標楷體"/>
          <w:spacing w:val="2"/>
          <w:sz w:val="28"/>
        </w:rPr>
        <w:t>4,</w:t>
      </w:r>
      <w:r w:rsidRPr="00060E33">
        <w:rPr>
          <w:rFonts w:ascii="標楷體" w:eastAsia="標楷體" w:hAnsi="標楷體" w:hint="eastAsia"/>
          <w:spacing w:val="2"/>
          <w:sz w:val="28"/>
        </w:rPr>
        <w:t>775億元，</w:t>
      </w:r>
      <w:proofErr w:type="gramStart"/>
      <w:r w:rsidRPr="00060E33">
        <w:rPr>
          <w:rFonts w:ascii="標楷體" w:eastAsia="標楷體" w:hAnsi="標楷體" w:hint="eastAsia"/>
          <w:spacing w:val="2"/>
          <w:sz w:val="28"/>
        </w:rPr>
        <w:t>計節減</w:t>
      </w:r>
      <w:proofErr w:type="gramEnd"/>
    </w:p>
    <w:p w:rsidR="00A74446" w:rsidRPr="00060E33" w:rsidRDefault="00A74446" w:rsidP="00A74446">
      <w:pPr>
        <w:pStyle w:val="7"/>
        <w:spacing w:line="580" w:lineRule="exact"/>
        <w:ind w:left="860" w:firstLine="0"/>
        <w:rPr>
          <w:rFonts w:ascii="標楷體" w:eastAsia="標楷體" w:hAnsi="標楷體"/>
          <w:spacing w:val="2"/>
          <w:sz w:val="28"/>
        </w:rPr>
      </w:pPr>
      <w:r w:rsidRPr="00060E33">
        <w:rPr>
          <w:rFonts w:ascii="標楷體" w:eastAsia="標楷體" w:hAnsi="標楷體" w:hint="eastAsia"/>
          <w:spacing w:val="2"/>
          <w:sz w:val="28"/>
        </w:rPr>
        <w:t>21億元及</w:t>
      </w:r>
      <w:r w:rsidRPr="00060E33">
        <w:rPr>
          <w:rFonts w:ascii="標楷體" w:eastAsia="標楷體" w:hAnsi="標楷體"/>
          <w:spacing w:val="2"/>
          <w:sz w:val="28"/>
        </w:rPr>
        <w:t>0</w:t>
      </w:r>
      <w:r w:rsidRPr="00060E33">
        <w:rPr>
          <w:rFonts w:ascii="標楷體" w:eastAsia="標楷體" w:hAnsi="標楷體"/>
          <w:noProof/>
          <w:spacing w:val="-4"/>
          <w:sz w:val="28"/>
        </w:rPr>
        <w:t>.</w:t>
      </w:r>
      <w:r w:rsidRPr="00060E33">
        <w:rPr>
          <w:rFonts w:ascii="標楷體" w:eastAsia="標楷體" w:hAnsi="標楷體" w:hint="eastAsia"/>
          <w:noProof/>
          <w:spacing w:val="-4"/>
          <w:sz w:val="28"/>
        </w:rPr>
        <w:t>4</w:t>
      </w:r>
      <w:r w:rsidRPr="00060E33">
        <w:rPr>
          <w:rFonts w:ascii="標楷體" w:eastAsia="標楷體" w:hAnsi="標楷體" w:hint="eastAsia"/>
          <w:spacing w:val="2"/>
          <w:sz w:val="28"/>
        </w:rPr>
        <w:t>％，本項支出占歲出決算數總額</w:t>
      </w:r>
      <w:r w:rsidRPr="00060E33">
        <w:rPr>
          <w:rFonts w:ascii="標楷體" w:eastAsia="標楷體" w:hAnsi="標楷體" w:hint="eastAsia"/>
          <w:sz w:val="28"/>
        </w:rPr>
        <w:t>之</w:t>
      </w:r>
      <w:r w:rsidRPr="00060E33">
        <w:rPr>
          <w:rFonts w:ascii="標楷體" w:eastAsia="標楷體" w:hAnsi="標楷體"/>
          <w:sz w:val="28"/>
        </w:rPr>
        <w:t>2</w:t>
      </w:r>
      <w:r w:rsidRPr="00060E33">
        <w:rPr>
          <w:rFonts w:ascii="標楷體" w:eastAsia="標楷體" w:hAnsi="標楷體" w:hint="eastAsia"/>
          <w:sz w:val="28"/>
        </w:rPr>
        <w:t>4</w:t>
      </w:r>
      <w:r w:rsidRPr="00060E33">
        <w:rPr>
          <w:rFonts w:ascii="標楷體" w:eastAsia="標楷體" w:hAnsi="標楷體"/>
          <w:sz w:val="28"/>
        </w:rPr>
        <w:t>.</w:t>
      </w:r>
      <w:r w:rsidRPr="00060E33">
        <w:rPr>
          <w:rFonts w:ascii="標楷體" w:eastAsia="標楷體" w:hAnsi="標楷體" w:hint="eastAsia"/>
          <w:sz w:val="28"/>
        </w:rPr>
        <w:t>6</w:t>
      </w:r>
      <w:r w:rsidRPr="00060E33">
        <w:rPr>
          <w:rFonts w:ascii="標楷體" w:eastAsia="標楷體" w:hAnsi="標楷體" w:hint="eastAsia"/>
          <w:spacing w:val="2"/>
          <w:sz w:val="28"/>
        </w:rPr>
        <w:t>％。</w:t>
      </w:r>
    </w:p>
    <w:p w:rsidR="00A74446" w:rsidRPr="00060E33" w:rsidRDefault="00A74446" w:rsidP="00A74446">
      <w:pPr>
        <w:pStyle w:val="7"/>
        <w:numPr>
          <w:ilvl w:val="0"/>
          <w:numId w:val="45"/>
        </w:numPr>
        <w:spacing w:line="580" w:lineRule="exact"/>
        <w:rPr>
          <w:rFonts w:ascii="標楷體" w:eastAsia="標楷體" w:hAnsi="標楷體"/>
          <w:sz w:val="28"/>
        </w:rPr>
      </w:pPr>
      <w:r w:rsidRPr="00060E33">
        <w:rPr>
          <w:rFonts w:ascii="標楷體" w:eastAsia="標楷體" w:hAnsi="標楷體" w:hint="eastAsia"/>
          <w:noProof/>
          <w:spacing w:val="6"/>
          <w:sz w:val="28"/>
        </w:rPr>
        <w:t>社區發展及環境保護支出</w:t>
      </w:r>
      <w:r w:rsidRPr="00060E33">
        <w:rPr>
          <w:rFonts w:ascii="標楷體" w:eastAsia="標楷體" w:hAnsi="標楷體" w:hint="eastAsia"/>
          <w:sz w:val="28"/>
        </w:rPr>
        <w:t>：決算數</w:t>
      </w:r>
      <w:r w:rsidRPr="00060E33">
        <w:rPr>
          <w:rFonts w:ascii="標楷體" w:eastAsia="標楷體" w:hAnsi="標楷體"/>
          <w:sz w:val="28"/>
        </w:rPr>
        <w:t>1</w:t>
      </w:r>
      <w:r w:rsidRPr="00060E33">
        <w:rPr>
          <w:rFonts w:ascii="標楷體" w:eastAsia="標楷體" w:hAnsi="標楷體" w:hint="eastAsia"/>
          <w:sz w:val="28"/>
        </w:rPr>
        <w:t>64億元，</w:t>
      </w:r>
      <w:r w:rsidRPr="00060E33">
        <w:rPr>
          <w:rFonts w:ascii="標楷體" w:eastAsia="標楷體" w:hAnsi="標楷體" w:hint="eastAsia"/>
          <w:noProof/>
          <w:spacing w:val="6"/>
          <w:sz w:val="28"/>
        </w:rPr>
        <w:t>較</w:t>
      </w:r>
      <w:r w:rsidRPr="00060E33">
        <w:rPr>
          <w:rFonts w:ascii="標楷體" w:eastAsia="標楷體" w:hAnsi="標楷體" w:hint="eastAsia"/>
          <w:sz w:val="28"/>
        </w:rPr>
        <w:t>預算數</w:t>
      </w:r>
      <w:r w:rsidRPr="00060E33">
        <w:rPr>
          <w:rFonts w:ascii="標楷體" w:eastAsia="標楷體" w:hAnsi="標楷體"/>
          <w:sz w:val="28"/>
        </w:rPr>
        <w:t>172</w:t>
      </w:r>
      <w:r w:rsidRPr="00060E33">
        <w:rPr>
          <w:rFonts w:ascii="標楷體" w:eastAsia="標楷體" w:hAnsi="標楷體" w:hint="eastAsia"/>
          <w:sz w:val="28"/>
        </w:rPr>
        <w:t>億元，</w:t>
      </w:r>
    </w:p>
    <w:p w:rsidR="00A74446" w:rsidRPr="00060E33" w:rsidRDefault="00A74446" w:rsidP="00A74446">
      <w:pPr>
        <w:pStyle w:val="7"/>
        <w:spacing w:line="580" w:lineRule="exact"/>
        <w:ind w:left="860" w:firstLine="0"/>
        <w:rPr>
          <w:rFonts w:ascii="標楷體" w:eastAsia="標楷體" w:hAnsi="標楷體"/>
          <w:sz w:val="28"/>
        </w:rPr>
      </w:pPr>
      <w:proofErr w:type="gramStart"/>
      <w:r w:rsidRPr="00060E33">
        <w:rPr>
          <w:rFonts w:ascii="標楷體" w:eastAsia="標楷體" w:hAnsi="標楷體" w:hint="eastAsia"/>
          <w:sz w:val="28"/>
        </w:rPr>
        <w:t>計節減</w:t>
      </w:r>
      <w:proofErr w:type="gramEnd"/>
      <w:r w:rsidRPr="00060E33">
        <w:rPr>
          <w:rFonts w:ascii="標楷體" w:eastAsia="標楷體" w:hAnsi="標楷體"/>
          <w:sz w:val="28"/>
        </w:rPr>
        <w:t>8</w:t>
      </w:r>
      <w:r w:rsidRPr="00060E33">
        <w:rPr>
          <w:rFonts w:ascii="標楷體" w:eastAsia="標楷體" w:hAnsi="標楷體" w:hint="eastAsia"/>
          <w:sz w:val="28"/>
        </w:rPr>
        <w:t>億元及4</w:t>
      </w:r>
      <w:r w:rsidRPr="00060E33">
        <w:rPr>
          <w:rFonts w:ascii="標楷體" w:eastAsia="標楷體" w:hAnsi="標楷體"/>
          <w:sz w:val="28"/>
        </w:rPr>
        <w:t>.</w:t>
      </w:r>
      <w:r w:rsidRPr="00060E33">
        <w:rPr>
          <w:rFonts w:ascii="標楷體" w:eastAsia="標楷體" w:hAnsi="標楷體" w:hint="eastAsia"/>
          <w:sz w:val="28"/>
        </w:rPr>
        <w:t>2％，本項支出占歲出決算數總額之</w:t>
      </w:r>
      <w:r w:rsidRPr="00060E33">
        <w:rPr>
          <w:rFonts w:ascii="標楷體" w:eastAsia="標楷體" w:hAnsi="標楷體"/>
          <w:sz w:val="28"/>
        </w:rPr>
        <w:t>0.9</w:t>
      </w:r>
      <w:r w:rsidRPr="00060E33">
        <w:rPr>
          <w:rFonts w:ascii="標楷體" w:eastAsia="標楷體" w:hAnsi="標楷體" w:hint="eastAsia"/>
          <w:sz w:val="28"/>
        </w:rPr>
        <w:t>％。</w:t>
      </w:r>
    </w:p>
    <w:p w:rsidR="00A74446" w:rsidRPr="00060E33" w:rsidRDefault="00A74446" w:rsidP="00A74446">
      <w:pPr>
        <w:pStyle w:val="7"/>
        <w:numPr>
          <w:ilvl w:val="0"/>
          <w:numId w:val="45"/>
        </w:numPr>
        <w:spacing w:line="580" w:lineRule="exact"/>
        <w:rPr>
          <w:rFonts w:ascii="標楷體" w:eastAsia="標楷體" w:hAnsi="標楷體"/>
          <w:spacing w:val="2"/>
          <w:sz w:val="28"/>
        </w:rPr>
      </w:pPr>
      <w:r w:rsidRPr="00060E33">
        <w:rPr>
          <w:rFonts w:ascii="標楷體" w:eastAsia="標楷體" w:hAnsi="標楷體" w:hint="eastAsia"/>
          <w:noProof/>
          <w:spacing w:val="6"/>
          <w:sz w:val="28"/>
        </w:rPr>
        <w:t>退休撫卹支出</w:t>
      </w:r>
      <w:r w:rsidRPr="00060E33">
        <w:rPr>
          <w:rFonts w:ascii="標楷體" w:eastAsia="標楷體" w:hAnsi="標楷體" w:hint="eastAsia"/>
          <w:spacing w:val="2"/>
          <w:sz w:val="28"/>
        </w:rPr>
        <w:t>：決算數</w:t>
      </w:r>
      <w:r w:rsidRPr="00060E33">
        <w:rPr>
          <w:rFonts w:ascii="標楷體" w:eastAsia="標楷體" w:hAnsi="標楷體"/>
          <w:spacing w:val="2"/>
          <w:sz w:val="28"/>
        </w:rPr>
        <w:t>1,</w:t>
      </w:r>
      <w:r w:rsidRPr="00060E33">
        <w:rPr>
          <w:rFonts w:ascii="標楷體" w:eastAsia="標楷體" w:hAnsi="標楷體" w:hint="eastAsia"/>
          <w:spacing w:val="2"/>
          <w:sz w:val="28"/>
        </w:rPr>
        <w:t>379億元，</w:t>
      </w:r>
      <w:r w:rsidRPr="00060E33">
        <w:rPr>
          <w:rFonts w:ascii="標楷體" w:eastAsia="標楷體" w:hAnsi="標楷體" w:hint="eastAsia"/>
          <w:noProof/>
          <w:spacing w:val="6"/>
          <w:sz w:val="28"/>
        </w:rPr>
        <w:t>較</w:t>
      </w:r>
      <w:r w:rsidRPr="00060E33">
        <w:rPr>
          <w:rFonts w:ascii="標楷體" w:eastAsia="標楷體" w:hAnsi="標楷體" w:hint="eastAsia"/>
          <w:spacing w:val="2"/>
          <w:sz w:val="28"/>
        </w:rPr>
        <w:t>預算數</w:t>
      </w:r>
      <w:r w:rsidRPr="00060E33">
        <w:rPr>
          <w:rFonts w:ascii="標楷體" w:eastAsia="標楷體" w:hAnsi="標楷體"/>
          <w:spacing w:val="2"/>
          <w:sz w:val="28"/>
        </w:rPr>
        <w:t>1,4</w:t>
      </w:r>
      <w:r w:rsidRPr="00060E33">
        <w:rPr>
          <w:rFonts w:ascii="標楷體" w:eastAsia="標楷體" w:hAnsi="標楷體" w:hint="eastAsia"/>
          <w:spacing w:val="2"/>
          <w:sz w:val="28"/>
        </w:rPr>
        <w:t>03億元，</w:t>
      </w:r>
      <w:proofErr w:type="gramStart"/>
      <w:r w:rsidRPr="00060E33">
        <w:rPr>
          <w:rFonts w:ascii="標楷體" w:eastAsia="標楷體" w:hAnsi="標楷體" w:hint="eastAsia"/>
          <w:spacing w:val="2"/>
          <w:sz w:val="28"/>
        </w:rPr>
        <w:t>計節減</w:t>
      </w:r>
      <w:proofErr w:type="gramEnd"/>
    </w:p>
    <w:p w:rsidR="00A74446" w:rsidRPr="00060E33" w:rsidRDefault="00A74446" w:rsidP="00A74446">
      <w:pPr>
        <w:pStyle w:val="7"/>
        <w:spacing w:line="580" w:lineRule="exact"/>
        <w:ind w:left="860" w:firstLine="0"/>
        <w:rPr>
          <w:rFonts w:ascii="標楷體" w:eastAsia="標楷體" w:hAnsi="標楷體"/>
          <w:spacing w:val="2"/>
          <w:sz w:val="28"/>
        </w:rPr>
      </w:pPr>
      <w:r w:rsidRPr="00060E33">
        <w:rPr>
          <w:rFonts w:ascii="標楷體" w:eastAsia="標楷體" w:hAnsi="標楷體" w:hint="eastAsia"/>
          <w:spacing w:val="2"/>
          <w:sz w:val="28"/>
        </w:rPr>
        <w:t>24億元及1</w:t>
      </w:r>
      <w:r w:rsidRPr="00060E33">
        <w:rPr>
          <w:rFonts w:ascii="標楷體" w:eastAsia="標楷體" w:hAnsi="標楷體"/>
          <w:noProof/>
          <w:spacing w:val="-4"/>
          <w:sz w:val="28"/>
        </w:rPr>
        <w:t>.</w:t>
      </w:r>
      <w:r w:rsidRPr="00060E33">
        <w:rPr>
          <w:rFonts w:ascii="標楷體" w:eastAsia="標楷體" w:hAnsi="標楷體" w:hint="eastAsia"/>
          <w:noProof/>
          <w:spacing w:val="-4"/>
          <w:sz w:val="28"/>
        </w:rPr>
        <w:t>7</w:t>
      </w:r>
      <w:r w:rsidRPr="00060E33">
        <w:rPr>
          <w:rFonts w:ascii="標楷體" w:eastAsia="標楷體" w:hAnsi="標楷體" w:hint="eastAsia"/>
          <w:spacing w:val="2"/>
          <w:sz w:val="28"/>
        </w:rPr>
        <w:t>％，本項支出占歲出決算數總額</w:t>
      </w:r>
      <w:r w:rsidRPr="00060E33">
        <w:rPr>
          <w:rFonts w:ascii="標楷體" w:eastAsia="標楷體" w:hAnsi="標楷體" w:hint="eastAsia"/>
          <w:sz w:val="28"/>
        </w:rPr>
        <w:t>之</w:t>
      </w:r>
      <w:r w:rsidRPr="00060E33">
        <w:rPr>
          <w:rFonts w:ascii="標楷體" w:eastAsia="標楷體" w:hAnsi="標楷體"/>
          <w:sz w:val="28"/>
        </w:rPr>
        <w:t>7.</w:t>
      </w:r>
      <w:r w:rsidRPr="00060E33">
        <w:rPr>
          <w:rFonts w:ascii="標楷體" w:eastAsia="標楷體" w:hAnsi="標楷體" w:hint="eastAsia"/>
          <w:sz w:val="28"/>
        </w:rPr>
        <w:t>1</w:t>
      </w:r>
      <w:r w:rsidRPr="00060E33">
        <w:rPr>
          <w:rFonts w:ascii="標楷體" w:eastAsia="標楷體" w:hAnsi="標楷體" w:hint="eastAsia"/>
          <w:spacing w:val="2"/>
          <w:sz w:val="28"/>
        </w:rPr>
        <w:t>％。</w:t>
      </w:r>
    </w:p>
    <w:p w:rsidR="00A74446" w:rsidRPr="00060E33" w:rsidRDefault="00A74446" w:rsidP="00A74446">
      <w:pPr>
        <w:pStyle w:val="7"/>
        <w:numPr>
          <w:ilvl w:val="0"/>
          <w:numId w:val="45"/>
        </w:numPr>
        <w:spacing w:line="580" w:lineRule="exact"/>
        <w:rPr>
          <w:rFonts w:ascii="標楷體" w:eastAsia="標楷體" w:hAnsi="標楷體"/>
          <w:sz w:val="28"/>
        </w:rPr>
      </w:pPr>
      <w:r w:rsidRPr="00060E33">
        <w:rPr>
          <w:rFonts w:ascii="標楷體" w:eastAsia="標楷體" w:hAnsi="標楷體" w:hint="eastAsia"/>
          <w:sz w:val="28"/>
        </w:rPr>
        <w:t>債務支出：決算數</w:t>
      </w:r>
      <w:r w:rsidRPr="00060E33">
        <w:rPr>
          <w:rFonts w:ascii="標楷體" w:eastAsia="標楷體" w:hAnsi="標楷體"/>
          <w:sz w:val="28"/>
        </w:rPr>
        <w:t>1,</w:t>
      </w:r>
      <w:r w:rsidRPr="00060E33">
        <w:rPr>
          <w:rFonts w:ascii="標楷體" w:eastAsia="標楷體" w:hAnsi="標楷體" w:hint="eastAsia"/>
          <w:sz w:val="28"/>
        </w:rPr>
        <w:t>018億元，</w:t>
      </w:r>
      <w:r w:rsidRPr="00060E33">
        <w:rPr>
          <w:rFonts w:ascii="標楷體" w:eastAsia="標楷體" w:hAnsi="標楷體" w:hint="eastAsia"/>
          <w:noProof/>
          <w:spacing w:val="6"/>
          <w:sz w:val="28"/>
        </w:rPr>
        <w:t>較</w:t>
      </w:r>
      <w:r w:rsidRPr="00060E33">
        <w:rPr>
          <w:rFonts w:ascii="標楷體" w:eastAsia="標楷體" w:hAnsi="標楷體" w:hint="eastAsia"/>
          <w:sz w:val="28"/>
        </w:rPr>
        <w:t>預算數</w:t>
      </w:r>
      <w:r w:rsidRPr="00060E33">
        <w:rPr>
          <w:rFonts w:ascii="標楷體" w:eastAsia="標楷體" w:hAnsi="標楷體"/>
          <w:sz w:val="28"/>
        </w:rPr>
        <w:t>1,</w:t>
      </w:r>
      <w:r w:rsidRPr="00060E33">
        <w:rPr>
          <w:rFonts w:ascii="標楷體" w:eastAsia="標楷體" w:hAnsi="標楷體" w:hint="eastAsia"/>
          <w:sz w:val="28"/>
        </w:rPr>
        <w:t>12</w:t>
      </w:r>
      <w:r w:rsidRPr="00060E33">
        <w:rPr>
          <w:rFonts w:ascii="標楷體" w:eastAsia="標楷體" w:hAnsi="標楷體"/>
          <w:sz w:val="28"/>
        </w:rPr>
        <w:t>1</w:t>
      </w:r>
      <w:r w:rsidRPr="00060E33">
        <w:rPr>
          <w:rFonts w:ascii="標楷體" w:eastAsia="標楷體" w:hAnsi="標楷體" w:hint="eastAsia"/>
          <w:sz w:val="28"/>
        </w:rPr>
        <w:t>億元，</w:t>
      </w:r>
      <w:proofErr w:type="gramStart"/>
      <w:r w:rsidRPr="00060E33">
        <w:rPr>
          <w:rFonts w:ascii="標楷體" w:eastAsia="標楷體" w:hAnsi="標楷體" w:hint="eastAsia"/>
          <w:sz w:val="28"/>
        </w:rPr>
        <w:t>計節減</w:t>
      </w:r>
      <w:proofErr w:type="gramEnd"/>
      <w:r w:rsidRPr="00060E33">
        <w:rPr>
          <w:rFonts w:ascii="標楷體" w:eastAsia="標楷體" w:hAnsi="標楷體"/>
          <w:sz w:val="28"/>
        </w:rPr>
        <w:t>10</w:t>
      </w:r>
      <w:r w:rsidRPr="00060E33">
        <w:rPr>
          <w:rFonts w:ascii="標楷體" w:eastAsia="標楷體" w:hAnsi="標楷體" w:hint="eastAsia"/>
          <w:sz w:val="28"/>
        </w:rPr>
        <w:t>3億</w:t>
      </w:r>
    </w:p>
    <w:p w:rsidR="00A74446" w:rsidRPr="00060E33" w:rsidRDefault="00A74446" w:rsidP="00A74446">
      <w:pPr>
        <w:pStyle w:val="7"/>
        <w:spacing w:line="580" w:lineRule="exact"/>
        <w:ind w:left="860" w:firstLine="0"/>
        <w:rPr>
          <w:rFonts w:ascii="標楷體" w:eastAsia="標楷體" w:hAnsi="標楷體"/>
          <w:sz w:val="28"/>
        </w:rPr>
      </w:pPr>
      <w:r w:rsidRPr="00060E33">
        <w:rPr>
          <w:rFonts w:ascii="標楷體" w:eastAsia="標楷體" w:hAnsi="標楷體" w:hint="eastAsia"/>
          <w:sz w:val="28"/>
        </w:rPr>
        <w:t>元及9</w:t>
      </w:r>
      <w:r w:rsidRPr="00060E33">
        <w:rPr>
          <w:rFonts w:ascii="標楷體" w:eastAsia="標楷體" w:hAnsi="標楷體"/>
          <w:sz w:val="28"/>
        </w:rPr>
        <w:t>.2</w:t>
      </w:r>
      <w:r w:rsidRPr="00060E33">
        <w:rPr>
          <w:rFonts w:ascii="標楷體" w:eastAsia="標楷體" w:hAnsi="標楷體" w:hint="eastAsia"/>
          <w:sz w:val="28"/>
        </w:rPr>
        <w:t>％，本項支出占歲出決算數總額之</w:t>
      </w:r>
      <w:r w:rsidRPr="00060E33">
        <w:rPr>
          <w:rFonts w:ascii="標楷體" w:eastAsia="標楷體" w:hAnsi="標楷體"/>
          <w:sz w:val="28"/>
        </w:rPr>
        <w:t>5.</w:t>
      </w:r>
      <w:r w:rsidRPr="00060E33">
        <w:rPr>
          <w:rFonts w:ascii="標楷體" w:eastAsia="標楷體" w:hAnsi="標楷體" w:hint="eastAsia"/>
          <w:sz w:val="28"/>
        </w:rPr>
        <w:t>3％。</w:t>
      </w:r>
    </w:p>
    <w:p w:rsidR="005731DE" w:rsidRPr="00E520D4" w:rsidRDefault="00A74446" w:rsidP="00A74446">
      <w:pPr>
        <w:pStyle w:val="7"/>
        <w:spacing w:line="580" w:lineRule="exact"/>
        <w:ind w:leftChars="205" w:left="834" w:hangingChars="117" w:hanging="342"/>
        <w:rPr>
          <w:rFonts w:ascii="標楷體" w:eastAsia="標楷體" w:hAnsi="標楷體"/>
          <w:color w:val="000000"/>
          <w:sz w:val="28"/>
        </w:rPr>
      </w:pPr>
      <w:r w:rsidRPr="00060E33">
        <w:rPr>
          <w:rFonts w:ascii="標楷體" w:eastAsia="標楷體" w:hAnsi="標楷體" w:hint="eastAsia"/>
          <w:noProof/>
          <w:spacing w:val="6"/>
          <w:sz w:val="28"/>
        </w:rPr>
        <w:t>9.一般補助及其他支出</w:t>
      </w:r>
      <w:r w:rsidRPr="00060E33">
        <w:rPr>
          <w:rFonts w:ascii="標楷體" w:eastAsia="標楷體" w:hAnsi="標楷體" w:hint="eastAsia"/>
          <w:sz w:val="28"/>
        </w:rPr>
        <w:t>：決算數59</w:t>
      </w:r>
      <w:r w:rsidRPr="00060E33">
        <w:rPr>
          <w:rFonts w:ascii="標楷體" w:eastAsia="標楷體" w:hAnsi="標楷體"/>
          <w:sz w:val="28"/>
        </w:rPr>
        <w:t>3</w:t>
      </w:r>
      <w:r w:rsidRPr="00060E33">
        <w:rPr>
          <w:rFonts w:ascii="標楷體" w:eastAsia="標楷體" w:hAnsi="標楷體" w:hint="eastAsia"/>
          <w:sz w:val="28"/>
        </w:rPr>
        <w:t>億元，</w:t>
      </w:r>
      <w:r w:rsidRPr="00060E33">
        <w:rPr>
          <w:rFonts w:ascii="標楷體" w:eastAsia="標楷體" w:hAnsi="標楷體" w:hint="eastAsia"/>
          <w:noProof/>
          <w:spacing w:val="6"/>
          <w:sz w:val="28"/>
        </w:rPr>
        <w:t>較</w:t>
      </w:r>
      <w:r w:rsidRPr="00060E33">
        <w:rPr>
          <w:rFonts w:ascii="標楷體" w:eastAsia="標楷體" w:hAnsi="標楷體" w:hint="eastAsia"/>
          <w:sz w:val="28"/>
        </w:rPr>
        <w:t>預算數</w:t>
      </w:r>
      <w:r w:rsidRPr="00060E33">
        <w:rPr>
          <w:rFonts w:ascii="標楷體" w:eastAsia="標楷體" w:hAnsi="標楷體"/>
          <w:sz w:val="28"/>
        </w:rPr>
        <w:t>6</w:t>
      </w:r>
      <w:r w:rsidRPr="00060E33">
        <w:rPr>
          <w:rFonts w:ascii="標楷體" w:eastAsia="標楷體" w:hAnsi="標楷體" w:hint="eastAsia"/>
          <w:sz w:val="28"/>
        </w:rPr>
        <w:t>56億元，</w:t>
      </w:r>
      <w:proofErr w:type="gramStart"/>
      <w:r w:rsidRPr="00060E33">
        <w:rPr>
          <w:rFonts w:ascii="標楷體" w:eastAsia="標楷體" w:hAnsi="標楷體" w:hint="eastAsia"/>
          <w:sz w:val="28"/>
        </w:rPr>
        <w:t>計節減</w:t>
      </w:r>
      <w:proofErr w:type="gramEnd"/>
      <w:r w:rsidRPr="00060E33">
        <w:rPr>
          <w:rFonts w:ascii="標楷體" w:eastAsia="標楷體" w:hAnsi="標楷體" w:hint="eastAsia"/>
          <w:sz w:val="28"/>
        </w:rPr>
        <w:t>6</w:t>
      </w:r>
      <w:r w:rsidRPr="00060E33">
        <w:rPr>
          <w:rFonts w:ascii="標楷體" w:eastAsia="標楷體" w:hAnsi="標楷體"/>
          <w:sz w:val="28"/>
        </w:rPr>
        <w:t>3</w:t>
      </w:r>
      <w:r w:rsidRPr="00060E33">
        <w:rPr>
          <w:rFonts w:ascii="標楷體" w:eastAsia="標楷體" w:hAnsi="標楷體" w:hint="eastAsia"/>
          <w:sz w:val="28"/>
        </w:rPr>
        <w:t>億元及9</w:t>
      </w:r>
      <w:r w:rsidRPr="00060E33">
        <w:rPr>
          <w:rFonts w:ascii="標楷體" w:eastAsia="標楷體" w:hAnsi="標楷體"/>
          <w:sz w:val="28"/>
        </w:rPr>
        <w:t>.</w:t>
      </w:r>
      <w:r w:rsidRPr="00060E33">
        <w:rPr>
          <w:rFonts w:ascii="標楷體" w:eastAsia="標楷體" w:hAnsi="標楷體" w:hint="eastAsia"/>
          <w:sz w:val="28"/>
        </w:rPr>
        <w:t>7％，本項支出占歲出決算數總額之</w:t>
      </w:r>
      <w:r w:rsidRPr="00060E33">
        <w:rPr>
          <w:rFonts w:ascii="標楷體" w:eastAsia="標楷體" w:hAnsi="標楷體"/>
          <w:sz w:val="28"/>
        </w:rPr>
        <w:t>3.</w:t>
      </w:r>
      <w:r w:rsidRPr="00060E33">
        <w:rPr>
          <w:rFonts w:ascii="標楷體" w:eastAsia="標楷體" w:hAnsi="標楷體" w:hint="eastAsia"/>
          <w:sz w:val="28"/>
        </w:rPr>
        <w:t>1％。</w:t>
      </w:r>
    </w:p>
    <w:p w:rsidR="005731DE" w:rsidRPr="00E520D4" w:rsidRDefault="005731DE" w:rsidP="005731DE">
      <w:pPr>
        <w:pStyle w:val="7"/>
        <w:spacing w:line="240" w:lineRule="exact"/>
        <w:ind w:left="0" w:firstLine="0"/>
        <w:rPr>
          <w:rFonts w:ascii="標楷體" w:eastAsia="標楷體" w:hAnsi="標楷體"/>
          <w:color w:val="000000"/>
          <w:sz w:val="28"/>
        </w:rPr>
      </w:pPr>
    </w:p>
    <w:p w:rsidR="005731DE" w:rsidRPr="005731DE" w:rsidRDefault="004235B6">
      <w:pPr>
        <w:pStyle w:val="7"/>
        <w:spacing w:line="240" w:lineRule="exact"/>
        <w:ind w:left="0" w:firstLine="0"/>
        <w:rPr>
          <w:rFonts w:ascii="標楷體" w:eastAsia="標楷體" w:hAnsi="標楷體"/>
          <w:color w:val="000000"/>
          <w:sz w:val="28"/>
        </w:rPr>
      </w:pPr>
      <w:r>
        <w:rPr>
          <w:rFonts w:ascii="標楷體" w:eastAsia="標楷體" w:hAnsi="標楷體"/>
          <w:noProof/>
          <w:color w:val="000000"/>
          <w:sz w:val="30"/>
        </w:rPr>
        <w:lastRenderedPageBreak/>
        <mc:AlternateContent>
          <mc:Choice Requires="wps">
            <w:drawing>
              <wp:anchor distT="0" distB="0" distL="114300" distR="114300" simplePos="0" relativeHeight="251661824" behindDoc="0" locked="0" layoutInCell="1" allowOverlap="1">
                <wp:simplePos x="0" y="0"/>
                <wp:positionH relativeFrom="column">
                  <wp:posOffset>1231281</wp:posOffset>
                </wp:positionH>
                <wp:positionV relativeFrom="paragraph">
                  <wp:posOffset>-1398</wp:posOffset>
                </wp:positionV>
                <wp:extent cx="1750119" cy="238259"/>
                <wp:effectExtent l="0" t="0" r="2540" b="952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119" cy="238259"/>
                        </a:xfrm>
                        <a:prstGeom prst="rect">
                          <a:avLst/>
                        </a:prstGeom>
                        <a:noFill/>
                        <a:ln>
                          <a:noFill/>
                        </a:ln>
                        <a:extLst/>
                      </wps:spPr>
                      <wps:txbx>
                        <w:txbxContent>
                          <w:p w:rsidR="001D439C" w:rsidRPr="00721E2F" w:rsidRDefault="001D439C" w:rsidP="00D179CA">
                            <w:pPr>
                              <w:pStyle w:val="Web"/>
                              <w:spacing w:before="0" w:after="0"/>
                              <w:jc w:val="center"/>
                              <w:rPr>
                                <w:sz w:val="22"/>
                                <w:szCs w:val="22"/>
                              </w:rPr>
                            </w:pPr>
                            <w:r w:rsidRPr="00721E2F">
                              <w:rPr>
                                <w:rFonts w:ascii="標楷體" w:eastAsia="標楷體" w:hAnsi="標楷體" w:hint="eastAsia"/>
                                <w:sz w:val="22"/>
                                <w:szCs w:val="22"/>
                              </w:rPr>
                              <w:t>總額：1兆9,</w:t>
                            </w:r>
                            <w:r>
                              <w:rPr>
                                <w:rFonts w:ascii="標楷體" w:eastAsia="標楷體" w:hAnsi="標楷體"/>
                                <w:sz w:val="22"/>
                                <w:szCs w:val="22"/>
                              </w:rPr>
                              <w:t>310</w:t>
                            </w:r>
                            <w:r w:rsidRPr="00721E2F">
                              <w:rPr>
                                <w:rFonts w:ascii="標楷體" w:eastAsia="標楷體" w:hAnsi="標楷體" w:hint="eastAsia"/>
                                <w:sz w:val="22"/>
                                <w:szCs w:val="22"/>
                              </w:rPr>
                              <w:t>億元</w:t>
                            </w:r>
                          </w:p>
                        </w:txbxContent>
                      </wps:txbx>
                      <wps:bodyPr vertOverflow="clip" wrap="square" lIns="36576" tIns="32004" rIns="36576" bIns="0" anchor="t"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96.95pt;margin-top:-.1pt;width:137.8pt;height:1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" filled="f" stroked="f">
                <v:textbox inset="2.88pt,2.52pt,2.88pt,0">
                  <w:txbxContent>
                    <w:p w:rsidR="001D439C" w:rsidRPr="00721E2F" w:rsidRDefault="001D439C" w:rsidP="00D179CA">
                      <w:pPr>
                        <w:pStyle w:val="Web"/>
                        <w:spacing w:before="0" w:after="0"/>
                        <w:jc w:val="center"/>
                        <w:rPr>
                          <w:sz w:val="22"/>
                          <w:szCs w:val="22"/>
                        </w:rPr>
                      </w:pPr>
                      <w:r w:rsidRPr="00721E2F">
                        <w:rPr>
                          <w:rFonts w:ascii="標楷體" w:eastAsia="標楷體" w:hAnsi="標楷體" w:hint="eastAsia"/>
                          <w:sz w:val="22"/>
                          <w:szCs w:val="22"/>
                        </w:rPr>
                        <w:t>總額：1兆9,</w:t>
                      </w:r>
                      <w:r>
                        <w:rPr>
                          <w:rFonts w:ascii="標楷體" w:eastAsia="標楷體" w:hAnsi="標楷體"/>
                          <w:sz w:val="22"/>
                          <w:szCs w:val="22"/>
                        </w:rPr>
                        <w:t>310</w:t>
                      </w:r>
                      <w:r w:rsidRPr="00721E2F">
                        <w:rPr>
                          <w:rFonts w:ascii="標楷體" w:eastAsia="標楷體" w:hAnsi="標楷體" w:hint="eastAsia"/>
                          <w:sz w:val="22"/>
                          <w:szCs w:val="22"/>
                        </w:rPr>
                        <w:t>億元</w:t>
                      </w:r>
                    </w:p>
                  </w:txbxContent>
                </v:textbox>
              </v:shape>
            </w:pict>
          </mc:Fallback>
        </mc:AlternateContent>
      </w:r>
    </w:p>
    <w:p w:rsidR="003A6778" w:rsidRPr="00E520D4" w:rsidRDefault="004235B6" w:rsidP="000B1DE7">
      <w:pPr>
        <w:tabs>
          <w:tab w:val="left" w:pos="4110"/>
        </w:tabs>
        <w:snapToGrid w:val="0"/>
        <w:spacing w:line="480" w:lineRule="exact"/>
        <w:ind w:firstLine="1510"/>
        <w:jc w:val="both"/>
        <w:rPr>
          <w:rFonts w:ascii="標楷體" w:eastAsia="標楷體" w:hAnsi="標楷體"/>
          <w:color w:val="000000"/>
          <w:sz w:val="30"/>
        </w:rPr>
      </w:pPr>
      <w:r>
        <w:rPr>
          <w:noProof/>
        </w:rPr>
        <w:drawing>
          <wp:anchor distT="0" distB="0" distL="114300" distR="114300" simplePos="0" relativeHeight="251671040" behindDoc="1" locked="0" layoutInCell="1" allowOverlap="1" wp14:anchorId="29E1B7E6" wp14:editId="5358CBCB">
            <wp:simplePos x="0" y="0"/>
            <wp:positionH relativeFrom="column">
              <wp:posOffset>2647</wp:posOffset>
            </wp:positionH>
            <wp:positionV relativeFrom="paragraph">
              <wp:posOffset>189981</wp:posOffset>
            </wp:positionV>
            <wp:extent cx="6115050" cy="4224271"/>
            <wp:effectExtent l="0" t="0" r="0" b="5080"/>
            <wp:wrapNone/>
            <wp:docPr id="2" name="物件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3A6778" w:rsidRPr="00E520D4" w:rsidRDefault="003A6778" w:rsidP="000B1DE7">
      <w:pPr>
        <w:tabs>
          <w:tab w:val="left" w:pos="4110"/>
        </w:tabs>
        <w:snapToGrid w:val="0"/>
        <w:spacing w:line="480" w:lineRule="exact"/>
        <w:ind w:firstLine="1510"/>
        <w:jc w:val="both"/>
        <w:rPr>
          <w:rFonts w:ascii="標楷體" w:eastAsia="標楷體" w:hAnsi="標楷體"/>
          <w:color w:val="000000"/>
          <w:sz w:val="30"/>
        </w:rPr>
      </w:pPr>
    </w:p>
    <w:p w:rsidR="003A6778" w:rsidRPr="00E520D4" w:rsidRDefault="003A6778" w:rsidP="000B1DE7">
      <w:pPr>
        <w:tabs>
          <w:tab w:val="left" w:pos="4110"/>
        </w:tabs>
        <w:snapToGrid w:val="0"/>
        <w:spacing w:line="480" w:lineRule="exact"/>
        <w:ind w:firstLine="1510"/>
        <w:jc w:val="both"/>
        <w:rPr>
          <w:rFonts w:ascii="標楷體" w:eastAsia="標楷體" w:hAnsi="標楷體"/>
          <w:color w:val="000000"/>
          <w:sz w:val="30"/>
        </w:rPr>
      </w:pPr>
    </w:p>
    <w:p w:rsidR="003A6778" w:rsidRPr="00E520D4" w:rsidRDefault="003A6778" w:rsidP="007721B3">
      <w:pPr>
        <w:tabs>
          <w:tab w:val="left" w:pos="4110"/>
        </w:tabs>
        <w:snapToGrid w:val="0"/>
        <w:spacing w:line="480" w:lineRule="exact"/>
        <w:ind w:firstLine="1510"/>
        <w:jc w:val="right"/>
        <w:rPr>
          <w:rFonts w:ascii="標楷體" w:eastAsia="標楷體" w:hAnsi="標楷體"/>
          <w:color w:val="000000"/>
          <w:sz w:val="30"/>
        </w:rPr>
      </w:pPr>
    </w:p>
    <w:p w:rsidR="003A6778" w:rsidRPr="00E520D4" w:rsidRDefault="003A6778" w:rsidP="000B1DE7">
      <w:pPr>
        <w:tabs>
          <w:tab w:val="left" w:pos="4110"/>
        </w:tabs>
        <w:snapToGrid w:val="0"/>
        <w:spacing w:line="480" w:lineRule="exact"/>
        <w:ind w:firstLine="1510"/>
        <w:jc w:val="both"/>
        <w:rPr>
          <w:rFonts w:ascii="標楷體" w:eastAsia="標楷體" w:hAnsi="標楷體"/>
          <w:color w:val="000000"/>
          <w:sz w:val="30"/>
        </w:rPr>
      </w:pPr>
    </w:p>
    <w:p w:rsidR="003A6778" w:rsidRDefault="003A6778" w:rsidP="000B1DE7">
      <w:pPr>
        <w:tabs>
          <w:tab w:val="left" w:pos="4110"/>
        </w:tabs>
        <w:snapToGrid w:val="0"/>
        <w:spacing w:line="480" w:lineRule="exact"/>
        <w:ind w:firstLine="1510"/>
        <w:jc w:val="both"/>
        <w:rPr>
          <w:rFonts w:ascii="標楷體" w:eastAsia="標楷體" w:hAnsi="標楷體"/>
          <w:color w:val="000000"/>
          <w:sz w:val="30"/>
        </w:rPr>
      </w:pPr>
    </w:p>
    <w:p w:rsidR="003A6778" w:rsidRDefault="003A6778" w:rsidP="00A205CC">
      <w:pPr>
        <w:tabs>
          <w:tab w:val="left" w:pos="2349"/>
        </w:tabs>
        <w:snapToGrid w:val="0"/>
        <w:spacing w:line="480" w:lineRule="exact"/>
        <w:jc w:val="both"/>
        <w:rPr>
          <w:rFonts w:ascii="標楷體" w:eastAsia="標楷體" w:hAnsi="標楷體"/>
          <w:color w:val="000000"/>
          <w:sz w:val="30"/>
        </w:rPr>
      </w:pPr>
    </w:p>
    <w:p w:rsidR="00A205CC" w:rsidRDefault="00A205CC" w:rsidP="00A205CC">
      <w:pPr>
        <w:tabs>
          <w:tab w:val="left" w:pos="2349"/>
        </w:tabs>
        <w:snapToGrid w:val="0"/>
        <w:spacing w:line="480" w:lineRule="exact"/>
        <w:jc w:val="both"/>
        <w:rPr>
          <w:rFonts w:ascii="標楷體" w:eastAsia="標楷體" w:hAnsi="標楷體"/>
          <w:color w:val="000000"/>
          <w:sz w:val="30"/>
        </w:rPr>
      </w:pPr>
    </w:p>
    <w:p w:rsidR="00192497" w:rsidRDefault="00192497" w:rsidP="000B1DE7">
      <w:pPr>
        <w:tabs>
          <w:tab w:val="left" w:pos="4110"/>
        </w:tabs>
        <w:snapToGrid w:val="0"/>
        <w:spacing w:line="480" w:lineRule="exact"/>
        <w:ind w:firstLine="1510"/>
        <w:jc w:val="both"/>
        <w:rPr>
          <w:rFonts w:ascii="標楷體" w:eastAsia="標楷體" w:hAnsi="標楷體"/>
          <w:color w:val="000000"/>
          <w:sz w:val="30"/>
        </w:rPr>
      </w:pPr>
    </w:p>
    <w:p w:rsidR="00192497" w:rsidRDefault="00192497" w:rsidP="000B1DE7">
      <w:pPr>
        <w:tabs>
          <w:tab w:val="left" w:pos="4110"/>
        </w:tabs>
        <w:snapToGrid w:val="0"/>
        <w:spacing w:line="480" w:lineRule="exact"/>
        <w:ind w:firstLine="1510"/>
        <w:jc w:val="both"/>
        <w:rPr>
          <w:rFonts w:ascii="標楷體" w:eastAsia="標楷體" w:hAnsi="標楷體"/>
          <w:color w:val="000000"/>
          <w:sz w:val="30"/>
        </w:rPr>
      </w:pPr>
    </w:p>
    <w:p w:rsidR="00192497" w:rsidRDefault="00192497" w:rsidP="000B1DE7">
      <w:pPr>
        <w:tabs>
          <w:tab w:val="left" w:pos="4110"/>
        </w:tabs>
        <w:snapToGrid w:val="0"/>
        <w:spacing w:line="480" w:lineRule="exact"/>
        <w:ind w:firstLine="1510"/>
        <w:jc w:val="both"/>
        <w:rPr>
          <w:rFonts w:ascii="標楷體" w:eastAsia="標楷體" w:hAnsi="標楷體"/>
          <w:color w:val="000000"/>
          <w:sz w:val="30"/>
        </w:rPr>
      </w:pPr>
    </w:p>
    <w:p w:rsidR="00192497" w:rsidRDefault="00192497" w:rsidP="000B1DE7">
      <w:pPr>
        <w:tabs>
          <w:tab w:val="left" w:pos="4110"/>
        </w:tabs>
        <w:snapToGrid w:val="0"/>
        <w:spacing w:line="480" w:lineRule="exact"/>
        <w:ind w:firstLine="1510"/>
        <w:jc w:val="both"/>
        <w:rPr>
          <w:rFonts w:ascii="標楷體" w:eastAsia="標楷體" w:hAnsi="標楷體"/>
          <w:color w:val="000000"/>
          <w:sz w:val="30"/>
        </w:rPr>
      </w:pPr>
    </w:p>
    <w:p w:rsidR="00192497" w:rsidRDefault="00192497" w:rsidP="000B1DE7">
      <w:pPr>
        <w:tabs>
          <w:tab w:val="left" w:pos="4110"/>
        </w:tabs>
        <w:snapToGrid w:val="0"/>
        <w:spacing w:line="480" w:lineRule="exact"/>
        <w:ind w:firstLine="1510"/>
        <w:jc w:val="both"/>
        <w:rPr>
          <w:rFonts w:ascii="標楷體" w:eastAsia="標楷體" w:hAnsi="標楷體"/>
          <w:color w:val="000000"/>
          <w:sz w:val="30"/>
        </w:rPr>
      </w:pPr>
    </w:p>
    <w:p w:rsidR="00192497" w:rsidRDefault="00192497" w:rsidP="000B1DE7">
      <w:pPr>
        <w:tabs>
          <w:tab w:val="left" w:pos="4110"/>
        </w:tabs>
        <w:snapToGrid w:val="0"/>
        <w:spacing w:line="480" w:lineRule="exact"/>
        <w:ind w:firstLine="1510"/>
        <w:jc w:val="both"/>
        <w:rPr>
          <w:rFonts w:ascii="標楷體" w:eastAsia="標楷體" w:hAnsi="標楷體"/>
          <w:color w:val="000000"/>
          <w:sz w:val="30"/>
        </w:rPr>
      </w:pPr>
    </w:p>
    <w:p w:rsidR="00192497" w:rsidRPr="00E520D4" w:rsidRDefault="00192497" w:rsidP="000B1DE7">
      <w:pPr>
        <w:tabs>
          <w:tab w:val="left" w:pos="4110"/>
        </w:tabs>
        <w:snapToGrid w:val="0"/>
        <w:spacing w:line="480" w:lineRule="exact"/>
        <w:ind w:firstLine="1510"/>
        <w:jc w:val="both"/>
        <w:rPr>
          <w:rFonts w:ascii="標楷體" w:eastAsia="標楷體" w:hAnsi="標楷體"/>
          <w:color w:val="000000"/>
          <w:sz w:val="30"/>
        </w:rPr>
      </w:pPr>
    </w:p>
    <w:p w:rsidR="006C44AC" w:rsidRPr="00E520D4" w:rsidRDefault="001A65BF" w:rsidP="000B1DE7">
      <w:pPr>
        <w:tabs>
          <w:tab w:val="left" w:pos="4110"/>
        </w:tabs>
        <w:snapToGrid w:val="0"/>
        <w:spacing w:line="480" w:lineRule="exact"/>
        <w:ind w:firstLine="1510"/>
        <w:jc w:val="both"/>
        <w:rPr>
          <w:rFonts w:ascii="標楷體" w:eastAsia="標楷體" w:hAnsi="標楷體"/>
          <w:color w:val="000000"/>
          <w:sz w:val="30"/>
        </w:rPr>
      </w:pPr>
      <w:r w:rsidRPr="00E520D4">
        <w:rPr>
          <w:rFonts w:ascii="標楷體" w:eastAsia="標楷體" w:hAnsi="標楷體" w:hint="eastAsia"/>
          <w:color w:val="000000"/>
          <w:sz w:val="30"/>
        </w:rPr>
        <w:t>本</w:t>
      </w:r>
      <w:r w:rsidR="00F85E30" w:rsidRPr="00E520D4">
        <w:rPr>
          <w:rFonts w:ascii="標楷體" w:eastAsia="標楷體" w:hAnsi="標楷體" w:hint="eastAsia"/>
          <w:color w:val="000000"/>
          <w:sz w:val="30"/>
        </w:rPr>
        <w:t>年度中央政府歲出</w:t>
      </w:r>
      <w:proofErr w:type="gramStart"/>
      <w:r w:rsidR="00F85E30" w:rsidRPr="00E520D4">
        <w:rPr>
          <w:rFonts w:ascii="標楷體" w:eastAsia="標楷體" w:hAnsi="標楷體" w:hint="eastAsia"/>
          <w:color w:val="000000"/>
          <w:sz w:val="30"/>
        </w:rPr>
        <w:t>政事別預決算</w:t>
      </w:r>
      <w:proofErr w:type="gramEnd"/>
      <w:r w:rsidR="00F85E30" w:rsidRPr="00E520D4">
        <w:rPr>
          <w:rFonts w:ascii="標楷體" w:eastAsia="標楷體" w:hAnsi="標楷體" w:hint="eastAsia"/>
          <w:color w:val="000000"/>
          <w:sz w:val="30"/>
        </w:rPr>
        <w:t>情形比較表</w:t>
      </w:r>
    </w:p>
    <w:p w:rsidR="006C44AC" w:rsidRPr="00E520D4" w:rsidRDefault="00F85E30">
      <w:pPr>
        <w:tabs>
          <w:tab w:val="left" w:pos="4110"/>
        </w:tabs>
        <w:snapToGrid w:val="0"/>
        <w:spacing w:beforeLines="30" w:before="72" w:line="280" w:lineRule="exact"/>
        <w:ind w:firstLineChars="3100" w:firstLine="7440"/>
        <w:jc w:val="both"/>
        <w:rPr>
          <w:rFonts w:ascii="標楷體" w:eastAsia="標楷體" w:hAnsi="標楷體"/>
          <w:color w:val="000000"/>
          <w:szCs w:val="28"/>
        </w:rPr>
      </w:pPr>
      <w:r w:rsidRPr="00E520D4">
        <w:rPr>
          <w:rFonts w:ascii="標楷體" w:eastAsia="標楷體" w:hAnsi="標楷體" w:hint="eastAsia"/>
          <w:color w:val="000000"/>
        </w:rPr>
        <w:t>單位：新臺幣億元</w:t>
      </w:r>
    </w:p>
    <w:tbl>
      <w:tblPr>
        <w:tblW w:w="92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00"/>
        <w:gridCol w:w="1200"/>
        <w:gridCol w:w="960"/>
        <w:gridCol w:w="1200"/>
        <w:gridCol w:w="960"/>
        <w:gridCol w:w="1080"/>
        <w:gridCol w:w="840"/>
      </w:tblGrid>
      <w:tr w:rsidR="006C44AC" w:rsidRPr="00E520D4">
        <w:trPr>
          <w:cantSplit/>
          <w:trHeight w:val="450"/>
        </w:trPr>
        <w:tc>
          <w:tcPr>
            <w:tcW w:w="3000" w:type="dxa"/>
            <w:vMerge w:val="restart"/>
            <w:tcBorders>
              <w:top w:val="single" w:sz="12" w:space="0" w:color="auto"/>
              <w:left w:val="single" w:sz="12" w:space="0" w:color="auto"/>
            </w:tcBorders>
            <w:vAlign w:val="center"/>
          </w:tcPr>
          <w:p w:rsidR="006C44AC" w:rsidRPr="00E520D4" w:rsidRDefault="00F85E30">
            <w:pPr>
              <w:spacing w:line="280" w:lineRule="exact"/>
              <w:jc w:val="center"/>
              <w:rPr>
                <w:rFonts w:ascii="標楷體" w:eastAsia="標楷體" w:hAnsi="標楷體"/>
                <w:color w:val="000000"/>
                <w:sz w:val="26"/>
              </w:rPr>
            </w:pPr>
            <w:r w:rsidRPr="00E520D4">
              <w:rPr>
                <w:rFonts w:ascii="標楷體" w:eastAsia="標楷體" w:hAnsi="標楷體" w:hint="eastAsia"/>
                <w:color w:val="000000"/>
                <w:sz w:val="26"/>
              </w:rPr>
              <w:t>項</w:t>
            </w:r>
            <w:r w:rsidRPr="00E520D4">
              <w:rPr>
                <w:rFonts w:ascii="標楷體" w:eastAsia="標楷體" w:hAnsi="標楷體"/>
                <w:color w:val="000000"/>
                <w:sz w:val="26"/>
              </w:rPr>
              <w:t xml:space="preserve">           </w:t>
            </w:r>
            <w:r w:rsidRPr="00E520D4">
              <w:rPr>
                <w:rFonts w:ascii="標楷體" w:eastAsia="標楷體" w:hAnsi="標楷體" w:hint="eastAsia"/>
                <w:color w:val="000000"/>
                <w:sz w:val="26"/>
              </w:rPr>
              <w:t>目</w:t>
            </w:r>
          </w:p>
        </w:tc>
        <w:tc>
          <w:tcPr>
            <w:tcW w:w="2160" w:type="dxa"/>
            <w:gridSpan w:val="2"/>
            <w:tcBorders>
              <w:top w:val="single" w:sz="12" w:space="0" w:color="auto"/>
              <w:bottom w:val="single" w:sz="6" w:space="0" w:color="auto"/>
            </w:tcBorders>
            <w:vAlign w:val="center"/>
          </w:tcPr>
          <w:p w:rsidR="006C44AC" w:rsidRPr="00E520D4" w:rsidRDefault="00F85E30">
            <w:pPr>
              <w:tabs>
                <w:tab w:val="left" w:pos="4110"/>
              </w:tabs>
              <w:snapToGrid w:val="0"/>
              <w:spacing w:line="280" w:lineRule="exact"/>
              <w:ind w:leftChars="30" w:left="72"/>
              <w:jc w:val="center"/>
              <w:rPr>
                <w:rFonts w:ascii="標楷體" w:eastAsia="標楷體" w:hAnsi="標楷體"/>
                <w:color w:val="000000"/>
                <w:sz w:val="26"/>
                <w:szCs w:val="28"/>
              </w:rPr>
            </w:pPr>
            <w:r w:rsidRPr="00E520D4">
              <w:rPr>
                <w:rFonts w:ascii="標楷體" w:eastAsia="標楷體" w:hAnsi="標楷體" w:hint="eastAsia"/>
                <w:color w:val="000000"/>
                <w:sz w:val="26"/>
                <w:szCs w:val="28"/>
              </w:rPr>
              <w:t>決算數</w:t>
            </w:r>
          </w:p>
        </w:tc>
        <w:tc>
          <w:tcPr>
            <w:tcW w:w="2160" w:type="dxa"/>
            <w:gridSpan w:val="2"/>
            <w:tcBorders>
              <w:top w:val="single" w:sz="12" w:space="0" w:color="auto"/>
              <w:bottom w:val="single" w:sz="6" w:space="0" w:color="auto"/>
              <w:right w:val="single" w:sz="4" w:space="0" w:color="auto"/>
            </w:tcBorders>
            <w:vAlign w:val="center"/>
          </w:tcPr>
          <w:p w:rsidR="006C44AC" w:rsidRPr="00E520D4" w:rsidRDefault="00F85E30">
            <w:pPr>
              <w:tabs>
                <w:tab w:val="left" w:pos="4110"/>
              </w:tabs>
              <w:snapToGrid w:val="0"/>
              <w:spacing w:line="280" w:lineRule="exact"/>
              <w:ind w:leftChars="30" w:left="72"/>
              <w:jc w:val="center"/>
              <w:rPr>
                <w:rFonts w:ascii="標楷體" w:eastAsia="標楷體" w:hAnsi="標楷體"/>
                <w:color w:val="000000"/>
                <w:sz w:val="26"/>
                <w:szCs w:val="28"/>
              </w:rPr>
            </w:pPr>
            <w:r w:rsidRPr="00E520D4">
              <w:rPr>
                <w:rFonts w:ascii="標楷體" w:eastAsia="標楷體" w:hAnsi="標楷體" w:hint="eastAsia"/>
                <w:color w:val="000000"/>
                <w:sz w:val="26"/>
                <w:szCs w:val="28"/>
              </w:rPr>
              <w:t>預算數</w:t>
            </w:r>
          </w:p>
        </w:tc>
        <w:tc>
          <w:tcPr>
            <w:tcW w:w="1080" w:type="dxa"/>
            <w:tcBorders>
              <w:top w:val="single" w:sz="12" w:space="0" w:color="auto"/>
              <w:left w:val="single" w:sz="4" w:space="0" w:color="auto"/>
              <w:bottom w:val="single" w:sz="6" w:space="0" w:color="auto"/>
              <w:right w:val="nil"/>
            </w:tcBorders>
            <w:vAlign w:val="center"/>
          </w:tcPr>
          <w:p w:rsidR="006C44AC" w:rsidRPr="00E520D4" w:rsidRDefault="00F85E30">
            <w:pPr>
              <w:tabs>
                <w:tab w:val="left" w:pos="4110"/>
              </w:tabs>
              <w:snapToGrid w:val="0"/>
              <w:spacing w:line="280" w:lineRule="exact"/>
              <w:jc w:val="center"/>
              <w:rPr>
                <w:rFonts w:ascii="標楷體" w:eastAsia="標楷體" w:hAnsi="標楷體"/>
                <w:color w:val="000000"/>
                <w:spacing w:val="6"/>
                <w:sz w:val="26"/>
                <w:szCs w:val="28"/>
              </w:rPr>
            </w:pPr>
            <w:r w:rsidRPr="00E520D4">
              <w:rPr>
                <w:rFonts w:ascii="標楷體" w:eastAsia="標楷體" w:hAnsi="標楷體"/>
                <w:color w:val="000000"/>
                <w:spacing w:val="6"/>
                <w:sz w:val="26"/>
                <w:szCs w:val="28"/>
              </w:rPr>
              <w:t xml:space="preserve">   </w:t>
            </w:r>
            <w:r w:rsidRPr="00E520D4">
              <w:rPr>
                <w:rFonts w:ascii="標楷體" w:eastAsia="標楷體" w:hAnsi="標楷體" w:hint="eastAsia"/>
                <w:color w:val="000000"/>
                <w:spacing w:val="6"/>
                <w:sz w:val="26"/>
                <w:szCs w:val="28"/>
              </w:rPr>
              <w:t>比</w:t>
            </w:r>
          </w:p>
        </w:tc>
        <w:tc>
          <w:tcPr>
            <w:tcW w:w="840" w:type="dxa"/>
            <w:tcBorders>
              <w:top w:val="single" w:sz="12" w:space="0" w:color="auto"/>
              <w:left w:val="nil"/>
              <w:bottom w:val="single" w:sz="6" w:space="0" w:color="auto"/>
              <w:right w:val="single" w:sz="12" w:space="0" w:color="auto"/>
            </w:tcBorders>
            <w:vAlign w:val="center"/>
          </w:tcPr>
          <w:p w:rsidR="006C44AC" w:rsidRPr="00E520D4" w:rsidRDefault="00F85E30">
            <w:pPr>
              <w:tabs>
                <w:tab w:val="left" w:pos="4110"/>
              </w:tabs>
              <w:snapToGrid w:val="0"/>
              <w:spacing w:line="280" w:lineRule="exact"/>
              <w:rPr>
                <w:rFonts w:ascii="標楷體" w:eastAsia="標楷體" w:hAnsi="標楷體"/>
                <w:color w:val="000000"/>
                <w:spacing w:val="6"/>
                <w:sz w:val="26"/>
                <w:szCs w:val="28"/>
              </w:rPr>
            </w:pPr>
            <w:r w:rsidRPr="00E520D4">
              <w:rPr>
                <w:rFonts w:ascii="標楷體" w:eastAsia="標楷體" w:hAnsi="標楷體" w:hint="eastAsia"/>
                <w:color w:val="000000"/>
                <w:spacing w:val="6"/>
                <w:sz w:val="26"/>
                <w:szCs w:val="28"/>
              </w:rPr>
              <w:t>較</w:t>
            </w:r>
          </w:p>
        </w:tc>
      </w:tr>
      <w:tr w:rsidR="006C44AC" w:rsidRPr="00E520D4">
        <w:trPr>
          <w:cantSplit/>
          <w:trHeight w:val="450"/>
        </w:trPr>
        <w:tc>
          <w:tcPr>
            <w:tcW w:w="3000" w:type="dxa"/>
            <w:vMerge/>
            <w:tcBorders>
              <w:left w:val="single" w:sz="12" w:space="0" w:color="auto"/>
            </w:tcBorders>
            <w:vAlign w:val="center"/>
          </w:tcPr>
          <w:p w:rsidR="006C44AC" w:rsidRPr="00E520D4" w:rsidRDefault="006C44AC">
            <w:pPr>
              <w:spacing w:line="280" w:lineRule="exact"/>
              <w:jc w:val="center"/>
              <w:rPr>
                <w:rFonts w:ascii="標楷體" w:eastAsia="標楷體" w:hAnsi="標楷體"/>
                <w:color w:val="000000"/>
                <w:sz w:val="28"/>
              </w:rPr>
            </w:pPr>
          </w:p>
        </w:tc>
        <w:tc>
          <w:tcPr>
            <w:tcW w:w="1200" w:type="dxa"/>
            <w:tcBorders>
              <w:top w:val="single" w:sz="6" w:space="0" w:color="auto"/>
              <w:bottom w:val="nil"/>
            </w:tcBorders>
            <w:vAlign w:val="center"/>
          </w:tcPr>
          <w:p w:rsidR="006C44AC" w:rsidRPr="00E520D4" w:rsidRDefault="00F85E30">
            <w:pPr>
              <w:tabs>
                <w:tab w:val="left" w:pos="4110"/>
              </w:tabs>
              <w:snapToGrid w:val="0"/>
              <w:spacing w:line="320" w:lineRule="exact"/>
              <w:jc w:val="center"/>
              <w:rPr>
                <w:rFonts w:ascii="標楷體" w:eastAsia="標楷體" w:hAnsi="標楷體"/>
                <w:color w:val="000000"/>
                <w:sz w:val="26"/>
                <w:szCs w:val="28"/>
              </w:rPr>
            </w:pPr>
            <w:r w:rsidRPr="00E520D4">
              <w:rPr>
                <w:rFonts w:ascii="標楷體" w:eastAsia="標楷體" w:hAnsi="標楷體" w:hint="eastAsia"/>
                <w:color w:val="000000"/>
                <w:sz w:val="26"/>
                <w:szCs w:val="28"/>
              </w:rPr>
              <w:t>金額</w:t>
            </w:r>
          </w:p>
        </w:tc>
        <w:tc>
          <w:tcPr>
            <w:tcW w:w="960" w:type="dxa"/>
            <w:vMerge w:val="restart"/>
            <w:tcBorders>
              <w:top w:val="single" w:sz="6" w:space="0" w:color="auto"/>
            </w:tcBorders>
            <w:vAlign w:val="center"/>
          </w:tcPr>
          <w:p w:rsidR="006C44AC" w:rsidRPr="00E520D4" w:rsidRDefault="00F85E30">
            <w:pPr>
              <w:tabs>
                <w:tab w:val="left" w:pos="4110"/>
              </w:tabs>
              <w:snapToGrid w:val="0"/>
              <w:spacing w:line="320" w:lineRule="exact"/>
              <w:jc w:val="center"/>
              <w:rPr>
                <w:rFonts w:ascii="標楷體" w:eastAsia="標楷體" w:hAnsi="標楷體"/>
                <w:color w:val="000000"/>
                <w:sz w:val="26"/>
                <w:szCs w:val="28"/>
              </w:rPr>
            </w:pPr>
            <w:r w:rsidRPr="00E520D4">
              <w:rPr>
                <w:rFonts w:ascii="標楷體" w:eastAsia="標楷體" w:hAnsi="標楷體" w:hint="eastAsia"/>
                <w:color w:val="000000"/>
                <w:sz w:val="26"/>
                <w:szCs w:val="28"/>
              </w:rPr>
              <w:t>％</w:t>
            </w:r>
          </w:p>
        </w:tc>
        <w:tc>
          <w:tcPr>
            <w:tcW w:w="1200" w:type="dxa"/>
            <w:tcBorders>
              <w:top w:val="single" w:sz="6" w:space="0" w:color="auto"/>
              <w:bottom w:val="nil"/>
              <w:right w:val="single" w:sz="6" w:space="0" w:color="auto"/>
            </w:tcBorders>
            <w:vAlign w:val="center"/>
          </w:tcPr>
          <w:p w:rsidR="006C44AC" w:rsidRPr="00E520D4" w:rsidRDefault="00F85E30">
            <w:pPr>
              <w:tabs>
                <w:tab w:val="left" w:pos="4110"/>
              </w:tabs>
              <w:snapToGrid w:val="0"/>
              <w:spacing w:line="320" w:lineRule="exact"/>
              <w:jc w:val="center"/>
              <w:rPr>
                <w:rFonts w:ascii="標楷體" w:eastAsia="標楷體" w:hAnsi="標楷體"/>
                <w:color w:val="000000"/>
                <w:sz w:val="26"/>
                <w:szCs w:val="28"/>
              </w:rPr>
            </w:pPr>
            <w:r w:rsidRPr="00E520D4">
              <w:rPr>
                <w:rFonts w:ascii="標楷體" w:eastAsia="標楷體" w:hAnsi="標楷體" w:hint="eastAsia"/>
                <w:color w:val="000000"/>
                <w:sz w:val="26"/>
                <w:szCs w:val="28"/>
              </w:rPr>
              <w:t>金額</w:t>
            </w:r>
          </w:p>
        </w:tc>
        <w:tc>
          <w:tcPr>
            <w:tcW w:w="960" w:type="dxa"/>
            <w:vMerge w:val="restart"/>
            <w:tcBorders>
              <w:top w:val="single" w:sz="6" w:space="0" w:color="auto"/>
              <w:right w:val="single" w:sz="6" w:space="0" w:color="auto"/>
            </w:tcBorders>
            <w:vAlign w:val="center"/>
          </w:tcPr>
          <w:p w:rsidR="006C44AC" w:rsidRPr="00E520D4" w:rsidRDefault="00F85E30">
            <w:pPr>
              <w:tabs>
                <w:tab w:val="left" w:pos="4110"/>
              </w:tabs>
              <w:snapToGrid w:val="0"/>
              <w:spacing w:line="320" w:lineRule="exact"/>
              <w:jc w:val="center"/>
              <w:rPr>
                <w:rFonts w:ascii="標楷體" w:eastAsia="標楷體" w:hAnsi="標楷體"/>
                <w:color w:val="000000"/>
                <w:sz w:val="26"/>
                <w:szCs w:val="28"/>
              </w:rPr>
            </w:pPr>
            <w:r w:rsidRPr="00E520D4">
              <w:rPr>
                <w:rFonts w:ascii="標楷體" w:eastAsia="標楷體" w:hAnsi="標楷體" w:hint="eastAsia"/>
                <w:color w:val="000000"/>
                <w:sz w:val="26"/>
                <w:szCs w:val="28"/>
              </w:rPr>
              <w:t>％</w:t>
            </w:r>
          </w:p>
        </w:tc>
        <w:tc>
          <w:tcPr>
            <w:tcW w:w="1080" w:type="dxa"/>
            <w:tcBorders>
              <w:top w:val="single" w:sz="6" w:space="0" w:color="auto"/>
              <w:bottom w:val="nil"/>
              <w:right w:val="single" w:sz="6" w:space="0" w:color="auto"/>
            </w:tcBorders>
            <w:vAlign w:val="center"/>
          </w:tcPr>
          <w:p w:rsidR="006C44AC" w:rsidRPr="00E520D4" w:rsidRDefault="00F85E30">
            <w:pPr>
              <w:tabs>
                <w:tab w:val="left" w:pos="4110"/>
              </w:tabs>
              <w:snapToGrid w:val="0"/>
              <w:spacing w:line="320" w:lineRule="exact"/>
              <w:jc w:val="center"/>
              <w:rPr>
                <w:rFonts w:ascii="標楷體" w:eastAsia="標楷體" w:hAnsi="標楷體"/>
                <w:color w:val="000000"/>
                <w:sz w:val="26"/>
                <w:szCs w:val="28"/>
              </w:rPr>
            </w:pPr>
            <w:r w:rsidRPr="00E520D4">
              <w:rPr>
                <w:rFonts w:ascii="標楷體" w:eastAsia="標楷體" w:hAnsi="標楷體" w:hint="eastAsia"/>
                <w:color w:val="000000"/>
                <w:sz w:val="26"/>
                <w:szCs w:val="28"/>
              </w:rPr>
              <w:t>金額</w:t>
            </w:r>
          </w:p>
        </w:tc>
        <w:tc>
          <w:tcPr>
            <w:tcW w:w="840" w:type="dxa"/>
            <w:vMerge w:val="restart"/>
            <w:tcBorders>
              <w:top w:val="single" w:sz="6" w:space="0" w:color="auto"/>
              <w:right w:val="single" w:sz="12" w:space="0" w:color="auto"/>
            </w:tcBorders>
            <w:vAlign w:val="bottom"/>
          </w:tcPr>
          <w:p w:rsidR="006C44AC" w:rsidRPr="00E520D4" w:rsidRDefault="00F85E30">
            <w:pPr>
              <w:tabs>
                <w:tab w:val="left" w:pos="4110"/>
              </w:tabs>
              <w:snapToGrid w:val="0"/>
              <w:spacing w:line="320" w:lineRule="exact"/>
              <w:jc w:val="center"/>
              <w:rPr>
                <w:rFonts w:ascii="標楷體" w:eastAsia="標楷體" w:hAnsi="標楷體"/>
                <w:color w:val="000000"/>
                <w:sz w:val="26"/>
                <w:szCs w:val="28"/>
              </w:rPr>
            </w:pPr>
            <w:r w:rsidRPr="00E520D4">
              <w:rPr>
                <w:rFonts w:ascii="標楷體" w:eastAsia="標楷體" w:hAnsi="標楷體" w:hint="eastAsia"/>
                <w:color w:val="000000"/>
                <w:sz w:val="26"/>
                <w:szCs w:val="28"/>
              </w:rPr>
              <w:t>增減</w:t>
            </w:r>
          </w:p>
          <w:p w:rsidR="006C44AC" w:rsidRPr="00E520D4" w:rsidRDefault="00F85E30">
            <w:pPr>
              <w:tabs>
                <w:tab w:val="left" w:pos="4110"/>
              </w:tabs>
              <w:snapToGrid w:val="0"/>
              <w:spacing w:line="320" w:lineRule="exact"/>
              <w:jc w:val="center"/>
              <w:rPr>
                <w:rFonts w:ascii="標楷體" w:eastAsia="標楷體" w:hAnsi="標楷體"/>
                <w:color w:val="000000"/>
                <w:sz w:val="26"/>
                <w:szCs w:val="28"/>
              </w:rPr>
            </w:pPr>
            <w:r w:rsidRPr="00E520D4">
              <w:rPr>
                <w:rFonts w:ascii="標楷體" w:eastAsia="標楷體" w:hAnsi="標楷體" w:hint="eastAsia"/>
                <w:color w:val="000000"/>
                <w:sz w:val="26"/>
                <w:szCs w:val="28"/>
              </w:rPr>
              <w:t>％</w:t>
            </w:r>
          </w:p>
        </w:tc>
      </w:tr>
      <w:tr w:rsidR="006C44AC" w:rsidRPr="00E520D4">
        <w:trPr>
          <w:cantSplit/>
          <w:trHeight w:hRule="exact" w:val="227"/>
        </w:trPr>
        <w:tc>
          <w:tcPr>
            <w:tcW w:w="3000" w:type="dxa"/>
            <w:vMerge/>
            <w:tcBorders>
              <w:left w:val="single" w:sz="12" w:space="0" w:color="auto"/>
              <w:bottom w:val="single" w:sz="6" w:space="0" w:color="auto"/>
            </w:tcBorders>
            <w:vAlign w:val="center"/>
          </w:tcPr>
          <w:p w:rsidR="006C44AC" w:rsidRPr="00E520D4" w:rsidRDefault="006C44AC">
            <w:pPr>
              <w:spacing w:line="200" w:lineRule="exact"/>
              <w:jc w:val="center"/>
              <w:rPr>
                <w:rFonts w:ascii="標楷體" w:eastAsia="標楷體" w:hAnsi="標楷體"/>
                <w:color w:val="000000"/>
                <w:sz w:val="28"/>
              </w:rPr>
            </w:pPr>
          </w:p>
        </w:tc>
        <w:tc>
          <w:tcPr>
            <w:tcW w:w="1200" w:type="dxa"/>
            <w:tcBorders>
              <w:top w:val="nil"/>
              <w:bottom w:val="single" w:sz="6" w:space="0" w:color="auto"/>
            </w:tcBorders>
            <w:vAlign w:val="center"/>
          </w:tcPr>
          <w:p w:rsidR="006C44AC" w:rsidRPr="00E520D4" w:rsidRDefault="00F85E30">
            <w:pPr>
              <w:tabs>
                <w:tab w:val="left" w:pos="4110"/>
              </w:tabs>
              <w:snapToGrid w:val="0"/>
              <w:spacing w:line="200" w:lineRule="exact"/>
              <w:jc w:val="center"/>
              <w:rPr>
                <w:rFonts w:ascii="標楷體" w:eastAsia="標楷體" w:hAnsi="標楷體"/>
                <w:color w:val="000000"/>
                <w:sz w:val="28"/>
                <w:szCs w:val="28"/>
              </w:rPr>
            </w:pPr>
            <w:r w:rsidRPr="00E520D4">
              <w:rPr>
                <w:rFonts w:eastAsia="標楷體"/>
                <w:color w:val="000000"/>
                <w:sz w:val="20"/>
                <w:szCs w:val="28"/>
              </w:rPr>
              <w:t>(A)</w:t>
            </w:r>
          </w:p>
        </w:tc>
        <w:tc>
          <w:tcPr>
            <w:tcW w:w="960" w:type="dxa"/>
            <w:vMerge/>
            <w:tcBorders>
              <w:bottom w:val="single" w:sz="6" w:space="0" w:color="auto"/>
            </w:tcBorders>
            <w:vAlign w:val="center"/>
          </w:tcPr>
          <w:p w:rsidR="006C44AC" w:rsidRPr="00E520D4" w:rsidRDefault="006C44AC">
            <w:pPr>
              <w:tabs>
                <w:tab w:val="left" w:pos="4110"/>
              </w:tabs>
              <w:snapToGrid w:val="0"/>
              <w:spacing w:line="200" w:lineRule="exact"/>
              <w:jc w:val="center"/>
              <w:rPr>
                <w:rFonts w:ascii="標楷體" w:eastAsia="標楷體" w:hAnsi="標楷體"/>
                <w:color w:val="000000"/>
                <w:sz w:val="28"/>
                <w:szCs w:val="28"/>
              </w:rPr>
            </w:pPr>
          </w:p>
        </w:tc>
        <w:tc>
          <w:tcPr>
            <w:tcW w:w="1200" w:type="dxa"/>
            <w:tcBorders>
              <w:top w:val="nil"/>
              <w:bottom w:val="single" w:sz="6" w:space="0" w:color="auto"/>
              <w:right w:val="single" w:sz="6" w:space="0" w:color="auto"/>
            </w:tcBorders>
            <w:vAlign w:val="center"/>
          </w:tcPr>
          <w:p w:rsidR="006C44AC" w:rsidRPr="00E520D4" w:rsidRDefault="00F85E30">
            <w:pPr>
              <w:tabs>
                <w:tab w:val="left" w:pos="4110"/>
              </w:tabs>
              <w:snapToGrid w:val="0"/>
              <w:spacing w:line="200" w:lineRule="exact"/>
              <w:jc w:val="center"/>
              <w:rPr>
                <w:rFonts w:ascii="標楷體" w:eastAsia="標楷體" w:hAnsi="標楷體"/>
                <w:color w:val="000000"/>
                <w:sz w:val="28"/>
                <w:szCs w:val="28"/>
              </w:rPr>
            </w:pPr>
            <w:r w:rsidRPr="00E520D4">
              <w:rPr>
                <w:rFonts w:eastAsia="標楷體"/>
                <w:color w:val="000000"/>
                <w:sz w:val="20"/>
                <w:szCs w:val="28"/>
              </w:rPr>
              <w:t>(B)</w:t>
            </w:r>
          </w:p>
        </w:tc>
        <w:tc>
          <w:tcPr>
            <w:tcW w:w="960" w:type="dxa"/>
            <w:vMerge/>
            <w:tcBorders>
              <w:bottom w:val="single" w:sz="6" w:space="0" w:color="auto"/>
              <w:right w:val="single" w:sz="6" w:space="0" w:color="auto"/>
            </w:tcBorders>
            <w:vAlign w:val="center"/>
          </w:tcPr>
          <w:p w:rsidR="006C44AC" w:rsidRPr="00E520D4" w:rsidRDefault="006C44AC">
            <w:pPr>
              <w:tabs>
                <w:tab w:val="left" w:pos="4110"/>
              </w:tabs>
              <w:snapToGrid w:val="0"/>
              <w:spacing w:line="200" w:lineRule="exact"/>
              <w:jc w:val="center"/>
              <w:rPr>
                <w:rFonts w:ascii="標楷體" w:eastAsia="標楷體" w:hAnsi="標楷體"/>
                <w:color w:val="000000"/>
                <w:sz w:val="28"/>
                <w:szCs w:val="28"/>
              </w:rPr>
            </w:pPr>
          </w:p>
        </w:tc>
        <w:tc>
          <w:tcPr>
            <w:tcW w:w="1080" w:type="dxa"/>
            <w:tcBorders>
              <w:top w:val="nil"/>
              <w:bottom w:val="single" w:sz="6" w:space="0" w:color="auto"/>
              <w:right w:val="single" w:sz="6" w:space="0" w:color="auto"/>
            </w:tcBorders>
            <w:vAlign w:val="center"/>
          </w:tcPr>
          <w:p w:rsidR="006C44AC" w:rsidRPr="00E520D4" w:rsidRDefault="00F85E30">
            <w:pPr>
              <w:tabs>
                <w:tab w:val="left" w:pos="4110"/>
              </w:tabs>
              <w:snapToGrid w:val="0"/>
              <w:spacing w:line="200" w:lineRule="exact"/>
              <w:jc w:val="center"/>
              <w:rPr>
                <w:rFonts w:ascii="標楷體" w:eastAsia="標楷體" w:hAnsi="標楷體"/>
                <w:color w:val="000000"/>
                <w:sz w:val="28"/>
                <w:szCs w:val="28"/>
              </w:rPr>
            </w:pPr>
            <w:r w:rsidRPr="00E520D4">
              <w:rPr>
                <w:rFonts w:eastAsia="標楷體"/>
                <w:color w:val="000000"/>
                <w:sz w:val="20"/>
                <w:szCs w:val="28"/>
              </w:rPr>
              <w:t>(A-B)</w:t>
            </w:r>
          </w:p>
        </w:tc>
        <w:tc>
          <w:tcPr>
            <w:tcW w:w="840" w:type="dxa"/>
            <w:vMerge/>
            <w:tcBorders>
              <w:bottom w:val="single" w:sz="6" w:space="0" w:color="auto"/>
              <w:right w:val="single" w:sz="12" w:space="0" w:color="auto"/>
            </w:tcBorders>
            <w:vAlign w:val="center"/>
          </w:tcPr>
          <w:p w:rsidR="006C44AC" w:rsidRPr="00E520D4" w:rsidRDefault="006C44AC">
            <w:pPr>
              <w:tabs>
                <w:tab w:val="left" w:pos="4110"/>
              </w:tabs>
              <w:snapToGrid w:val="0"/>
              <w:spacing w:line="200" w:lineRule="exact"/>
              <w:jc w:val="center"/>
              <w:rPr>
                <w:rFonts w:ascii="標楷體" w:eastAsia="標楷體" w:hAnsi="標楷體"/>
                <w:color w:val="000000"/>
                <w:sz w:val="28"/>
                <w:szCs w:val="28"/>
              </w:rPr>
            </w:pPr>
          </w:p>
        </w:tc>
      </w:tr>
      <w:tr w:rsidR="00C0595B" w:rsidRPr="00E520D4" w:rsidTr="00BA46E9">
        <w:trPr>
          <w:trHeight w:hRule="exact" w:val="397"/>
        </w:trPr>
        <w:tc>
          <w:tcPr>
            <w:tcW w:w="3000" w:type="dxa"/>
            <w:tcBorders>
              <w:top w:val="single" w:sz="6" w:space="0" w:color="auto"/>
              <w:left w:val="single" w:sz="12" w:space="0" w:color="auto"/>
              <w:bottom w:val="single" w:sz="4" w:space="0" w:color="auto"/>
              <w:right w:val="single" w:sz="4" w:space="0" w:color="auto"/>
            </w:tcBorders>
            <w:vAlign w:val="center"/>
          </w:tcPr>
          <w:p w:rsidR="00C0595B" w:rsidRPr="00E520D4" w:rsidRDefault="00F85E30">
            <w:pPr>
              <w:spacing w:line="320" w:lineRule="exact"/>
              <w:jc w:val="center"/>
              <w:rPr>
                <w:rFonts w:eastAsia="標楷體"/>
                <w:color w:val="000000"/>
                <w:spacing w:val="-4"/>
                <w:sz w:val="26"/>
                <w:szCs w:val="32"/>
              </w:rPr>
            </w:pPr>
            <w:bookmarkStart w:id="1" w:name="_Hlk290014150"/>
            <w:r w:rsidRPr="00E520D4">
              <w:rPr>
                <w:rFonts w:eastAsia="標楷體" w:hint="eastAsia"/>
                <w:color w:val="000000"/>
                <w:spacing w:val="-4"/>
                <w:sz w:val="26"/>
                <w:szCs w:val="32"/>
              </w:rPr>
              <w:t>合</w:t>
            </w:r>
            <w:r w:rsidRPr="00E520D4">
              <w:rPr>
                <w:rFonts w:eastAsia="標楷體"/>
                <w:color w:val="000000"/>
                <w:spacing w:val="-4"/>
                <w:sz w:val="26"/>
                <w:szCs w:val="32"/>
              </w:rPr>
              <w:t xml:space="preserve">        </w:t>
            </w:r>
            <w:r w:rsidRPr="00E520D4">
              <w:rPr>
                <w:rFonts w:eastAsia="標楷體" w:hint="eastAsia"/>
                <w:color w:val="000000"/>
                <w:spacing w:val="-4"/>
                <w:sz w:val="26"/>
                <w:szCs w:val="32"/>
              </w:rPr>
              <w:t>計</w:t>
            </w:r>
          </w:p>
        </w:tc>
        <w:tc>
          <w:tcPr>
            <w:tcW w:w="1200" w:type="dxa"/>
            <w:tcBorders>
              <w:top w:val="single" w:sz="6" w:space="0" w:color="auto"/>
              <w:left w:val="single" w:sz="4" w:space="0" w:color="auto"/>
              <w:bottom w:val="single" w:sz="4" w:space="0" w:color="auto"/>
              <w:right w:val="single" w:sz="4" w:space="0" w:color="auto"/>
            </w:tcBorders>
            <w:vAlign w:val="center"/>
          </w:tcPr>
          <w:p w:rsidR="00C0595B" w:rsidRPr="00E520D4" w:rsidRDefault="00E11BD8" w:rsidP="00C46739">
            <w:pPr>
              <w:ind w:rightChars="50" w:right="120"/>
              <w:jc w:val="right"/>
              <w:rPr>
                <w:color w:val="000000"/>
              </w:rPr>
            </w:pPr>
            <w:r w:rsidRPr="00E520D4">
              <w:rPr>
                <w:color w:val="000000"/>
              </w:rPr>
              <w:t>19</w:t>
            </w:r>
            <w:r w:rsidR="00F85E30" w:rsidRPr="00E520D4">
              <w:rPr>
                <w:color w:val="000000"/>
              </w:rPr>
              <w:t>,</w:t>
            </w:r>
            <w:r w:rsidR="00C46739">
              <w:rPr>
                <w:color w:val="000000"/>
              </w:rPr>
              <w:t>310</w:t>
            </w:r>
          </w:p>
        </w:tc>
        <w:tc>
          <w:tcPr>
            <w:tcW w:w="960" w:type="dxa"/>
            <w:tcBorders>
              <w:top w:val="single" w:sz="6" w:space="0" w:color="auto"/>
              <w:left w:val="single" w:sz="4" w:space="0" w:color="auto"/>
              <w:bottom w:val="single" w:sz="4" w:space="0" w:color="auto"/>
              <w:right w:val="single" w:sz="4" w:space="0" w:color="auto"/>
            </w:tcBorders>
            <w:vAlign w:val="center"/>
          </w:tcPr>
          <w:p w:rsidR="00C0595B" w:rsidRPr="00E520D4" w:rsidRDefault="00F85E30" w:rsidP="00C0595B">
            <w:pPr>
              <w:ind w:rightChars="50" w:right="120"/>
              <w:jc w:val="right"/>
              <w:rPr>
                <w:color w:val="000000"/>
              </w:rPr>
            </w:pPr>
            <w:r w:rsidRPr="00E520D4">
              <w:rPr>
                <w:color w:val="000000"/>
              </w:rPr>
              <w:t xml:space="preserve">100.0 </w:t>
            </w:r>
          </w:p>
        </w:tc>
        <w:tc>
          <w:tcPr>
            <w:tcW w:w="1200" w:type="dxa"/>
            <w:tcBorders>
              <w:top w:val="single" w:sz="6" w:space="0" w:color="auto"/>
              <w:left w:val="single" w:sz="4" w:space="0" w:color="auto"/>
              <w:bottom w:val="single" w:sz="4" w:space="0" w:color="auto"/>
              <w:right w:val="single" w:sz="4" w:space="0" w:color="auto"/>
            </w:tcBorders>
            <w:vAlign w:val="center"/>
          </w:tcPr>
          <w:p w:rsidR="00C0595B" w:rsidRPr="00E520D4" w:rsidRDefault="00701E8B" w:rsidP="00C46739">
            <w:pPr>
              <w:ind w:rightChars="50" w:right="120"/>
              <w:jc w:val="right"/>
              <w:rPr>
                <w:color w:val="000000"/>
              </w:rPr>
            </w:pPr>
            <w:r w:rsidRPr="00E520D4">
              <w:rPr>
                <w:color w:val="000000"/>
              </w:rPr>
              <w:t>19,</w:t>
            </w:r>
            <w:r w:rsidR="00C46739">
              <w:rPr>
                <w:color w:val="000000"/>
              </w:rPr>
              <w:t>740</w:t>
            </w:r>
          </w:p>
        </w:tc>
        <w:tc>
          <w:tcPr>
            <w:tcW w:w="960" w:type="dxa"/>
            <w:tcBorders>
              <w:top w:val="single" w:sz="6" w:space="0" w:color="auto"/>
              <w:left w:val="single" w:sz="4" w:space="0" w:color="auto"/>
              <w:bottom w:val="single" w:sz="4" w:space="0" w:color="auto"/>
              <w:right w:val="single" w:sz="4" w:space="0" w:color="auto"/>
            </w:tcBorders>
            <w:vAlign w:val="center"/>
          </w:tcPr>
          <w:p w:rsidR="00C0595B" w:rsidRPr="00E520D4" w:rsidRDefault="00F85E30" w:rsidP="00C0595B">
            <w:pPr>
              <w:ind w:rightChars="50" w:right="120"/>
              <w:jc w:val="right"/>
              <w:rPr>
                <w:color w:val="000000"/>
              </w:rPr>
            </w:pPr>
            <w:r w:rsidRPr="00E520D4">
              <w:rPr>
                <w:color w:val="000000"/>
              </w:rPr>
              <w:t xml:space="preserve">100.0 </w:t>
            </w:r>
          </w:p>
        </w:tc>
        <w:tc>
          <w:tcPr>
            <w:tcW w:w="1080" w:type="dxa"/>
            <w:tcBorders>
              <w:top w:val="single" w:sz="6" w:space="0" w:color="auto"/>
              <w:left w:val="single" w:sz="4" w:space="0" w:color="auto"/>
              <w:bottom w:val="single" w:sz="4" w:space="0" w:color="auto"/>
              <w:right w:val="single" w:sz="4" w:space="0" w:color="auto"/>
            </w:tcBorders>
            <w:vAlign w:val="center"/>
          </w:tcPr>
          <w:p w:rsidR="00C0595B" w:rsidRPr="00E520D4" w:rsidRDefault="00B15B85" w:rsidP="00096A41">
            <w:pPr>
              <w:ind w:rightChars="50" w:right="120"/>
              <w:jc w:val="right"/>
              <w:rPr>
                <w:color w:val="000000"/>
              </w:rPr>
            </w:pPr>
            <w:r w:rsidRPr="00E520D4">
              <w:rPr>
                <w:color w:val="000000"/>
              </w:rPr>
              <w:t>-</w:t>
            </w:r>
            <w:r w:rsidR="00096A41">
              <w:rPr>
                <w:color w:val="000000"/>
              </w:rPr>
              <w:t>430</w:t>
            </w:r>
          </w:p>
        </w:tc>
        <w:tc>
          <w:tcPr>
            <w:tcW w:w="840" w:type="dxa"/>
            <w:tcBorders>
              <w:top w:val="single" w:sz="6" w:space="0" w:color="auto"/>
              <w:left w:val="single" w:sz="4" w:space="0" w:color="auto"/>
              <w:bottom w:val="single" w:sz="4" w:space="0" w:color="auto"/>
              <w:right w:val="single" w:sz="12" w:space="0" w:color="auto"/>
            </w:tcBorders>
            <w:vAlign w:val="center"/>
          </w:tcPr>
          <w:p w:rsidR="00C0595B" w:rsidRPr="00E520D4" w:rsidRDefault="0037456A" w:rsidP="00096A41">
            <w:pPr>
              <w:ind w:rightChars="50" w:right="120"/>
              <w:jc w:val="right"/>
              <w:rPr>
                <w:color w:val="000000"/>
              </w:rPr>
            </w:pPr>
            <w:r w:rsidRPr="00E520D4">
              <w:rPr>
                <w:color w:val="000000"/>
              </w:rPr>
              <w:t>-</w:t>
            </w:r>
            <w:r w:rsidR="00096A41">
              <w:rPr>
                <w:color w:val="000000"/>
              </w:rPr>
              <w:t>2.2</w:t>
            </w:r>
          </w:p>
        </w:tc>
      </w:tr>
      <w:tr w:rsidR="00C0595B" w:rsidRPr="00E520D4" w:rsidTr="00BA46E9">
        <w:trPr>
          <w:trHeight w:hRule="exact" w:val="454"/>
        </w:trPr>
        <w:tc>
          <w:tcPr>
            <w:tcW w:w="3000" w:type="dxa"/>
            <w:tcBorders>
              <w:top w:val="single" w:sz="4" w:space="0" w:color="auto"/>
              <w:left w:val="single" w:sz="12" w:space="0" w:color="auto"/>
              <w:bottom w:val="single" w:sz="4" w:space="0" w:color="auto"/>
              <w:right w:val="single" w:sz="4" w:space="0" w:color="auto"/>
            </w:tcBorders>
            <w:vAlign w:val="center"/>
          </w:tcPr>
          <w:p w:rsidR="00C0595B" w:rsidRPr="00E520D4" w:rsidRDefault="00F85E30">
            <w:pPr>
              <w:rPr>
                <w:rFonts w:eastAsia="標楷體"/>
                <w:color w:val="000000"/>
                <w:spacing w:val="-4"/>
                <w:sz w:val="26"/>
                <w:szCs w:val="24"/>
              </w:rPr>
            </w:pPr>
            <w:r w:rsidRPr="00E520D4">
              <w:rPr>
                <w:rFonts w:eastAsia="標楷體"/>
                <w:color w:val="000000"/>
                <w:spacing w:val="-4"/>
                <w:sz w:val="26"/>
              </w:rPr>
              <w:t>1.</w:t>
            </w:r>
            <w:r w:rsidRPr="00E520D4">
              <w:rPr>
                <w:rFonts w:eastAsia="標楷體" w:hAnsi="標楷體" w:hint="eastAsia"/>
                <w:color w:val="000000"/>
                <w:spacing w:val="-4"/>
                <w:sz w:val="26"/>
              </w:rPr>
              <w:t>一般政務支出</w:t>
            </w:r>
          </w:p>
        </w:tc>
        <w:tc>
          <w:tcPr>
            <w:tcW w:w="1200" w:type="dxa"/>
            <w:tcBorders>
              <w:top w:val="single" w:sz="4" w:space="0" w:color="auto"/>
              <w:left w:val="single" w:sz="4" w:space="0" w:color="auto"/>
              <w:bottom w:val="single" w:sz="4" w:space="0" w:color="auto"/>
              <w:right w:val="single" w:sz="4" w:space="0" w:color="auto"/>
            </w:tcBorders>
            <w:vAlign w:val="center"/>
          </w:tcPr>
          <w:p w:rsidR="00C0595B" w:rsidRPr="00E520D4" w:rsidRDefault="00E3688C" w:rsidP="00C46739">
            <w:pPr>
              <w:ind w:rightChars="50" w:right="120"/>
              <w:jc w:val="right"/>
              <w:rPr>
                <w:color w:val="000000"/>
              </w:rPr>
            </w:pPr>
            <w:r w:rsidRPr="00E520D4">
              <w:rPr>
                <w:color w:val="000000"/>
              </w:rPr>
              <w:t>1,7</w:t>
            </w:r>
            <w:r w:rsidR="00C46739">
              <w:rPr>
                <w:color w:val="000000"/>
              </w:rPr>
              <w:t>60</w:t>
            </w:r>
          </w:p>
        </w:tc>
        <w:tc>
          <w:tcPr>
            <w:tcW w:w="960" w:type="dxa"/>
            <w:tcBorders>
              <w:top w:val="single" w:sz="4" w:space="0" w:color="auto"/>
              <w:left w:val="single" w:sz="4" w:space="0" w:color="auto"/>
              <w:bottom w:val="single" w:sz="4" w:space="0" w:color="auto"/>
              <w:right w:val="single" w:sz="4" w:space="0" w:color="auto"/>
            </w:tcBorders>
            <w:vAlign w:val="center"/>
          </w:tcPr>
          <w:p w:rsidR="00C0595B" w:rsidRPr="00E520D4" w:rsidRDefault="00E3688C" w:rsidP="00C46739">
            <w:pPr>
              <w:ind w:rightChars="50" w:right="120"/>
              <w:jc w:val="right"/>
              <w:rPr>
                <w:color w:val="000000"/>
              </w:rPr>
            </w:pPr>
            <w:r w:rsidRPr="00E520D4">
              <w:rPr>
                <w:color w:val="000000"/>
              </w:rPr>
              <w:t>9.</w:t>
            </w:r>
            <w:r w:rsidR="00C46739">
              <w:rPr>
                <w:color w:val="000000"/>
              </w:rPr>
              <w:t>1</w:t>
            </w:r>
          </w:p>
        </w:tc>
        <w:tc>
          <w:tcPr>
            <w:tcW w:w="1200" w:type="dxa"/>
            <w:tcBorders>
              <w:top w:val="single" w:sz="4" w:space="0" w:color="auto"/>
              <w:left w:val="single" w:sz="4" w:space="0" w:color="auto"/>
              <w:bottom w:val="single" w:sz="4" w:space="0" w:color="auto"/>
              <w:right w:val="single" w:sz="4" w:space="0" w:color="auto"/>
            </w:tcBorders>
            <w:vAlign w:val="center"/>
          </w:tcPr>
          <w:p w:rsidR="00C0595B" w:rsidRPr="00E520D4" w:rsidRDefault="00701E8B" w:rsidP="00C46739">
            <w:pPr>
              <w:ind w:rightChars="50" w:right="120"/>
              <w:jc w:val="right"/>
              <w:rPr>
                <w:color w:val="000000"/>
              </w:rPr>
            </w:pPr>
            <w:r w:rsidRPr="00E520D4">
              <w:rPr>
                <w:color w:val="000000"/>
              </w:rPr>
              <w:t>1,8</w:t>
            </w:r>
            <w:r w:rsidR="00C46739">
              <w:rPr>
                <w:color w:val="000000"/>
              </w:rPr>
              <w:t>17</w:t>
            </w:r>
          </w:p>
        </w:tc>
        <w:tc>
          <w:tcPr>
            <w:tcW w:w="960" w:type="dxa"/>
            <w:tcBorders>
              <w:top w:val="single" w:sz="4" w:space="0" w:color="auto"/>
              <w:left w:val="single" w:sz="4" w:space="0" w:color="auto"/>
              <w:bottom w:val="single" w:sz="4" w:space="0" w:color="auto"/>
              <w:right w:val="single" w:sz="4" w:space="0" w:color="auto"/>
            </w:tcBorders>
            <w:vAlign w:val="center"/>
          </w:tcPr>
          <w:p w:rsidR="00C0595B" w:rsidRPr="00E520D4" w:rsidRDefault="0026689E" w:rsidP="00C46739">
            <w:pPr>
              <w:ind w:rightChars="50" w:right="120"/>
              <w:jc w:val="right"/>
              <w:rPr>
                <w:color w:val="000000"/>
              </w:rPr>
            </w:pPr>
            <w:r w:rsidRPr="00E520D4">
              <w:rPr>
                <w:color w:val="000000"/>
              </w:rPr>
              <w:t>9.</w:t>
            </w:r>
            <w:r w:rsidR="00C46739">
              <w:rPr>
                <w:color w:val="000000"/>
              </w:rPr>
              <w:t>2</w:t>
            </w:r>
          </w:p>
        </w:tc>
        <w:tc>
          <w:tcPr>
            <w:tcW w:w="1080" w:type="dxa"/>
            <w:tcBorders>
              <w:top w:val="single" w:sz="4" w:space="0" w:color="auto"/>
              <w:left w:val="single" w:sz="4" w:space="0" w:color="auto"/>
              <w:bottom w:val="single" w:sz="4" w:space="0" w:color="auto"/>
              <w:right w:val="single" w:sz="4" w:space="0" w:color="auto"/>
            </w:tcBorders>
            <w:vAlign w:val="center"/>
          </w:tcPr>
          <w:p w:rsidR="00C0595B" w:rsidRPr="00E520D4" w:rsidRDefault="00B15B85" w:rsidP="00096A41">
            <w:pPr>
              <w:ind w:rightChars="50" w:right="120"/>
              <w:jc w:val="right"/>
              <w:rPr>
                <w:color w:val="000000"/>
              </w:rPr>
            </w:pPr>
            <w:r w:rsidRPr="00E520D4">
              <w:rPr>
                <w:color w:val="000000"/>
              </w:rPr>
              <w:t>-</w:t>
            </w:r>
            <w:r w:rsidR="00096A41">
              <w:rPr>
                <w:color w:val="000000"/>
              </w:rPr>
              <w:t>57</w:t>
            </w:r>
          </w:p>
        </w:tc>
        <w:tc>
          <w:tcPr>
            <w:tcW w:w="840" w:type="dxa"/>
            <w:tcBorders>
              <w:top w:val="single" w:sz="4" w:space="0" w:color="auto"/>
              <w:left w:val="single" w:sz="4" w:space="0" w:color="auto"/>
              <w:bottom w:val="single" w:sz="4" w:space="0" w:color="auto"/>
              <w:right w:val="single" w:sz="12" w:space="0" w:color="auto"/>
            </w:tcBorders>
            <w:vAlign w:val="center"/>
          </w:tcPr>
          <w:p w:rsidR="00C0595B" w:rsidRPr="00E520D4" w:rsidRDefault="00EC3F71" w:rsidP="00096A41">
            <w:pPr>
              <w:ind w:rightChars="50" w:right="120"/>
              <w:jc w:val="right"/>
              <w:rPr>
                <w:color w:val="000000"/>
              </w:rPr>
            </w:pPr>
            <w:r w:rsidRPr="00E520D4">
              <w:rPr>
                <w:color w:val="000000"/>
              </w:rPr>
              <w:t>-</w:t>
            </w:r>
            <w:r w:rsidR="00096A41">
              <w:rPr>
                <w:color w:val="000000"/>
              </w:rPr>
              <w:t>3.1</w:t>
            </w:r>
          </w:p>
        </w:tc>
      </w:tr>
      <w:tr w:rsidR="00C0595B" w:rsidRPr="00E520D4" w:rsidTr="00BA46E9">
        <w:trPr>
          <w:trHeight w:hRule="exact" w:val="454"/>
        </w:trPr>
        <w:tc>
          <w:tcPr>
            <w:tcW w:w="3000" w:type="dxa"/>
            <w:tcBorders>
              <w:top w:val="single" w:sz="4" w:space="0" w:color="auto"/>
              <w:left w:val="single" w:sz="12" w:space="0" w:color="auto"/>
              <w:bottom w:val="single" w:sz="4" w:space="0" w:color="auto"/>
              <w:right w:val="single" w:sz="4" w:space="0" w:color="auto"/>
            </w:tcBorders>
            <w:vAlign w:val="center"/>
          </w:tcPr>
          <w:p w:rsidR="00C0595B" w:rsidRPr="00E520D4" w:rsidRDefault="00F85E30">
            <w:pPr>
              <w:rPr>
                <w:rFonts w:eastAsia="標楷體"/>
                <w:color w:val="000000"/>
                <w:spacing w:val="-4"/>
                <w:sz w:val="26"/>
                <w:szCs w:val="24"/>
              </w:rPr>
            </w:pPr>
            <w:r w:rsidRPr="00E520D4">
              <w:rPr>
                <w:rFonts w:eastAsia="標楷體"/>
                <w:color w:val="000000"/>
                <w:spacing w:val="-4"/>
                <w:sz w:val="26"/>
              </w:rPr>
              <w:t>2.</w:t>
            </w:r>
            <w:r w:rsidRPr="00E520D4">
              <w:rPr>
                <w:rFonts w:eastAsia="標楷體" w:hAnsi="標楷體" w:hint="eastAsia"/>
                <w:color w:val="000000"/>
                <w:spacing w:val="-4"/>
                <w:sz w:val="26"/>
              </w:rPr>
              <w:t>國防支出</w:t>
            </w:r>
          </w:p>
        </w:tc>
        <w:tc>
          <w:tcPr>
            <w:tcW w:w="1200" w:type="dxa"/>
            <w:tcBorders>
              <w:top w:val="single" w:sz="4" w:space="0" w:color="auto"/>
              <w:left w:val="single" w:sz="4" w:space="0" w:color="auto"/>
              <w:bottom w:val="single" w:sz="4" w:space="0" w:color="auto"/>
              <w:right w:val="single" w:sz="4" w:space="0" w:color="auto"/>
            </w:tcBorders>
            <w:vAlign w:val="center"/>
          </w:tcPr>
          <w:p w:rsidR="00C0595B" w:rsidRPr="00E520D4" w:rsidRDefault="00191C11" w:rsidP="00C46739">
            <w:pPr>
              <w:ind w:rightChars="50" w:right="120"/>
              <w:jc w:val="right"/>
              <w:rPr>
                <w:color w:val="000000"/>
              </w:rPr>
            </w:pPr>
            <w:r w:rsidRPr="00E520D4">
              <w:rPr>
                <w:color w:val="000000"/>
              </w:rPr>
              <w:t>3,0</w:t>
            </w:r>
            <w:r w:rsidR="00C46739">
              <w:rPr>
                <w:color w:val="000000"/>
              </w:rPr>
              <w:t>57</w:t>
            </w:r>
          </w:p>
        </w:tc>
        <w:tc>
          <w:tcPr>
            <w:tcW w:w="960" w:type="dxa"/>
            <w:tcBorders>
              <w:top w:val="single" w:sz="4" w:space="0" w:color="auto"/>
              <w:left w:val="single" w:sz="4" w:space="0" w:color="auto"/>
              <w:bottom w:val="single" w:sz="4" w:space="0" w:color="auto"/>
              <w:right w:val="single" w:sz="4" w:space="0" w:color="auto"/>
            </w:tcBorders>
            <w:vAlign w:val="center"/>
          </w:tcPr>
          <w:p w:rsidR="00C0595B" w:rsidRPr="00E520D4" w:rsidRDefault="00191C11" w:rsidP="00C46739">
            <w:pPr>
              <w:ind w:rightChars="50" w:right="120"/>
              <w:jc w:val="right"/>
              <w:rPr>
                <w:color w:val="000000"/>
              </w:rPr>
            </w:pPr>
            <w:r w:rsidRPr="00E520D4">
              <w:rPr>
                <w:color w:val="000000"/>
              </w:rPr>
              <w:t>15.</w:t>
            </w:r>
            <w:r w:rsidR="00C46739">
              <w:rPr>
                <w:color w:val="000000"/>
              </w:rPr>
              <w:t>8</w:t>
            </w:r>
          </w:p>
        </w:tc>
        <w:tc>
          <w:tcPr>
            <w:tcW w:w="1200" w:type="dxa"/>
            <w:tcBorders>
              <w:top w:val="single" w:sz="4" w:space="0" w:color="auto"/>
              <w:left w:val="single" w:sz="4" w:space="0" w:color="auto"/>
              <w:bottom w:val="single" w:sz="4" w:space="0" w:color="auto"/>
              <w:right w:val="single" w:sz="4" w:space="0" w:color="auto"/>
            </w:tcBorders>
            <w:vAlign w:val="center"/>
          </w:tcPr>
          <w:p w:rsidR="00C0595B" w:rsidRPr="00E520D4" w:rsidRDefault="00701E8B" w:rsidP="00C46739">
            <w:pPr>
              <w:ind w:rightChars="50" w:right="120"/>
              <w:jc w:val="right"/>
              <w:rPr>
                <w:color w:val="000000"/>
              </w:rPr>
            </w:pPr>
            <w:r w:rsidRPr="00E520D4">
              <w:rPr>
                <w:color w:val="000000"/>
              </w:rPr>
              <w:t>3,0</w:t>
            </w:r>
            <w:r w:rsidR="00C46739">
              <w:rPr>
                <w:color w:val="000000"/>
              </w:rPr>
              <w:t>79</w:t>
            </w:r>
          </w:p>
        </w:tc>
        <w:tc>
          <w:tcPr>
            <w:tcW w:w="960" w:type="dxa"/>
            <w:tcBorders>
              <w:top w:val="single" w:sz="4" w:space="0" w:color="auto"/>
              <w:left w:val="single" w:sz="4" w:space="0" w:color="auto"/>
              <w:bottom w:val="single" w:sz="4" w:space="0" w:color="auto"/>
              <w:right w:val="single" w:sz="4" w:space="0" w:color="auto"/>
            </w:tcBorders>
            <w:vAlign w:val="center"/>
          </w:tcPr>
          <w:p w:rsidR="00C0595B" w:rsidRPr="00E520D4" w:rsidRDefault="00F62788" w:rsidP="00C46739">
            <w:pPr>
              <w:ind w:rightChars="50" w:right="120"/>
              <w:jc w:val="right"/>
              <w:rPr>
                <w:color w:val="000000"/>
              </w:rPr>
            </w:pPr>
            <w:r w:rsidRPr="00E520D4">
              <w:rPr>
                <w:color w:val="000000"/>
              </w:rPr>
              <w:t>15.</w:t>
            </w:r>
            <w:r w:rsidR="00C46739">
              <w:rPr>
                <w:color w:val="000000"/>
              </w:rPr>
              <w:t>6</w:t>
            </w:r>
          </w:p>
        </w:tc>
        <w:tc>
          <w:tcPr>
            <w:tcW w:w="1080" w:type="dxa"/>
            <w:tcBorders>
              <w:top w:val="single" w:sz="4" w:space="0" w:color="auto"/>
              <w:left w:val="single" w:sz="4" w:space="0" w:color="auto"/>
              <w:bottom w:val="single" w:sz="4" w:space="0" w:color="auto"/>
              <w:right w:val="single" w:sz="4" w:space="0" w:color="auto"/>
            </w:tcBorders>
            <w:vAlign w:val="center"/>
          </w:tcPr>
          <w:p w:rsidR="00C0595B" w:rsidRPr="00E520D4" w:rsidRDefault="00F85E30" w:rsidP="00096A41">
            <w:pPr>
              <w:ind w:rightChars="50" w:right="120"/>
              <w:jc w:val="right"/>
              <w:rPr>
                <w:color w:val="000000"/>
              </w:rPr>
            </w:pPr>
            <w:r w:rsidRPr="00E520D4">
              <w:rPr>
                <w:color w:val="000000"/>
              </w:rPr>
              <w:t>-</w:t>
            </w:r>
            <w:r w:rsidR="00096A41">
              <w:rPr>
                <w:color w:val="000000"/>
              </w:rPr>
              <w:t>22</w:t>
            </w:r>
          </w:p>
        </w:tc>
        <w:tc>
          <w:tcPr>
            <w:tcW w:w="840" w:type="dxa"/>
            <w:tcBorders>
              <w:top w:val="single" w:sz="4" w:space="0" w:color="auto"/>
              <w:left w:val="single" w:sz="4" w:space="0" w:color="auto"/>
              <w:bottom w:val="single" w:sz="4" w:space="0" w:color="auto"/>
              <w:right w:val="single" w:sz="12" w:space="0" w:color="auto"/>
            </w:tcBorders>
            <w:vAlign w:val="center"/>
          </w:tcPr>
          <w:p w:rsidR="00C0595B" w:rsidRPr="00E520D4" w:rsidRDefault="00F85E30" w:rsidP="00096A41">
            <w:pPr>
              <w:ind w:rightChars="50" w:right="120"/>
              <w:jc w:val="right"/>
              <w:rPr>
                <w:color w:val="000000"/>
              </w:rPr>
            </w:pPr>
            <w:r w:rsidRPr="00E520D4">
              <w:rPr>
                <w:color w:val="000000"/>
              </w:rPr>
              <w:t>-0.</w:t>
            </w:r>
            <w:r w:rsidR="00096A41">
              <w:rPr>
                <w:color w:val="000000"/>
              </w:rPr>
              <w:t>7</w:t>
            </w:r>
          </w:p>
        </w:tc>
      </w:tr>
      <w:tr w:rsidR="00C0595B" w:rsidRPr="00E520D4" w:rsidTr="00BA46E9">
        <w:trPr>
          <w:trHeight w:hRule="exact" w:val="454"/>
        </w:trPr>
        <w:tc>
          <w:tcPr>
            <w:tcW w:w="3000" w:type="dxa"/>
            <w:tcBorders>
              <w:top w:val="single" w:sz="4" w:space="0" w:color="auto"/>
              <w:left w:val="single" w:sz="12" w:space="0" w:color="auto"/>
              <w:bottom w:val="single" w:sz="4" w:space="0" w:color="auto"/>
              <w:right w:val="single" w:sz="4" w:space="0" w:color="auto"/>
            </w:tcBorders>
            <w:vAlign w:val="center"/>
          </w:tcPr>
          <w:p w:rsidR="00C0595B" w:rsidRPr="00E520D4" w:rsidRDefault="00F85E30">
            <w:pPr>
              <w:rPr>
                <w:rFonts w:eastAsia="標楷體"/>
                <w:color w:val="000000"/>
                <w:spacing w:val="-4"/>
                <w:sz w:val="26"/>
                <w:szCs w:val="24"/>
              </w:rPr>
            </w:pPr>
            <w:r w:rsidRPr="00E520D4">
              <w:rPr>
                <w:rFonts w:eastAsia="標楷體"/>
                <w:color w:val="000000"/>
                <w:spacing w:val="-4"/>
                <w:sz w:val="26"/>
              </w:rPr>
              <w:t>3.</w:t>
            </w:r>
            <w:r w:rsidRPr="00E520D4">
              <w:rPr>
                <w:rFonts w:eastAsia="標楷體" w:hAnsi="標楷體" w:hint="eastAsia"/>
                <w:color w:val="000000"/>
                <w:spacing w:val="-4"/>
                <w:sz w:val="26"/>
              </w:rPr>
              <w:t>教育科學文化支出</w:t>
            </w:r>
          </w:p>
        </w:tc>
        <w:tc>
          <w:tcPr>
            <w:tcW w:w="1200" w:type="dxa"/>
            <w:tcBorders>
              <w:top w:val="single" w:sz="4" w:space="0" w:color="auto"/>
              <w:left w:val="single" w:sz="4" w:space="0" w:color="auto"/>
              <w:bottom w:val="single" w:sz="4" w:space="0" w:color="auto"/>
              <w:right w:val="single" w:sz="4" w:space="0" w:color="auto"/>
            </w:tcBorders>
            <w:vAlign w:val="center"/>
          </w:tcPr>
          <w:p w:rsidR="00C0595B" w:rsidRPr="00E520D4" w:rsidRDefault="00C46739" w:rsidP="00C46739">
            <w:pPr>
              <w:ind w:rightChars="50" w:right="120"/>
              <w:jc w:val="right"/>
              <w:rPr>
                <w:color w:val="000000"/>
              </w:rPr>
            </w:pPr>
            <w:r>
              <w:rPr>
                <w:color w:val="000000"/>
              </w:rPr>
              <w:t>4</w:t>
            </w:r>
            <w:r w:rsidR="000A48EA" w:rsidRPr="00E520D4">
              <w:rPr>
                <w:color w:val="000000"/>
              </w:rPr>
              <w:t>,</w:t>
            </w:r>
            <w:r>
              <w:rPr>
                <w:color w:val="000000"/>
              </w:rPr>
              <w:t>018</w:t>
            </w:r>
          </w:p>
        </w:tc>
        <w:tc>
          <w:tcPr>
            <w:tcW w:w="960" w:type="dxa"/>
            <w:tcBorders>
              <w:top w:val="single" w:sz="4" w:space="0" w:color="auto"/>
              <w:left w:val="single" w:sz="4" w:space="0" w:color="auto"/>
              <w:bottom w:val="single" w:sz="4" w:space="0" w:color="auto"/>
              <w:right w:val="single" w:sz="4" w:space="0" w:color="auto"/>
            </w:tcBorders>
            <w:vAlign w:val="center"/>
          </w:tcPr>
          <w:p w:rsidR="00C0595B" w:rsidRPr="00E520D4" w:rsidRDefault="00C46739" w:rsidP="00E03A0C">
            <w:pPr>
              <w:ind w:rightChars="50" w:right="120"/>
              <w:jc w:val="right"/>
              <w:rPr>
                <w:color w:val="000000"/>
              </w:rPr>
            </w:pPr>
            <w:r>
              <w:rPr>
                <w:color w:val="000000"/>
              </w:rPr>
              <w:t>20.8</w:t>
            </w:r>
          </w:p>
        </w:tc>
        <w:tc>
          <w:tcPr>
            <w:tcW w:w="1200" w:type="dxa"/>
            <w:tcBorders>
              <w:top w:val="single" w:sz="4" w:space="0" w:color="auto"/>
              <w:left w:val="single" w:sz="4" w:space="0" w:color="auto"/>
              <w:bottom w:val="single" w:sz="4" w:space="0" w:color="auto"/>
              <w:right w:val="single" w:sz="4" w:space="0" w:color="auto"/>
            </w:tcBorders>
            <w:vAlign w:val="center"/>
          </w:tcPr>
          <w:p w:rsidR="00C0595B" w:rsidRPr="00E520D4" w:rsidRDefault="00C46739" w:rsidP="00C46739">
            <w:pPr>
              <w:ind w:rightChars="50" w:right="120"/>
              <w:jc w:val="right"/>
              <w:rPr>
                <w:color w:val="000000"/>
              </w:rPr>
            </w:pPr>
            <w:r>
              <w:rPr>
                <w:color w:val="000000"/>
              </w:rPr>
              <w:t>4</w:t>
            </w:r>
            <w:r w:rsidR="003C77FD" w:rsidRPr="00E520D4">
              <w:rPr>
                <w:color w:val="000000"/>
              </w:rPr>
              <w:t>,</w:t>
            </w:r>
            <w:r>
              <w:rPr>
                <w:color w:val="000000"/>
              </w:rPr>
              <w:t>092</w:t>
            </w:r>
          </w:p>
        </w:tc>
        <w:tc>
          <w:tcPr>
            <w:tcW w:w="960" w:type="dxa"/>
            <w:tcBorders>
              <w:top w:val="single" w:sz="4" w:space="0" w:color="auto"/>
              <w:left w:val="single" w:sz="4" w:space="0" w:color="auto"/>
              <w:bottom w:val="single" w:sz="4" w:space="0" w:color="auto"/>
              <w:right w:val="single" w:sz="4" w:space="0" w:color="auto"/>
            </w:tcBorders>
            <w:vAlign w:val="center"/>
          </w:tcPr>
          <w:p w:rsidR="00C0595B" w:rsidRPr="00E520D4" w:rsidRDefault="00096A41" w:rsidP="00EF03C8">
            <w:pPr>
              <w:ind w:rightChars="50" w:right="120"/>
              <w:jc w:val="right"/>
              <w:rPr>
                <w:color w:val="000000"/>
              </w:rPr>
            </w:pPr>
            <w:r>
              <w:rPr>
                <w:color w:val="000000"/>
              </w:rPr>
              <w:t>20.7</w:t>
            </w:r>
          </w:p>
        </w:tc>
        <w:tc>
          <w:tcPr>
            <w:tcW w:w="1080" w:type="dxa"/>
            <w:tcBorders>
              <w:top w:val="single" w:sz="4" w:space="0" w:color="auto"/>
              <w:left w:val="single" w:sz="4" w:space="0" w:color="auto"/>
              <w:bottom w:val="single" w:sz="4" w:space="0" w:color="auto"/>
              <w:right w:val="single" w:sz="4" w:space="0" w:color="auto"/>
            </w:tcBorders>
            <w:vAlign w:val="center"/>
          </w:tcPr>
          <w:p w:rsidR="00C0595B" w:rsidRPr="00E520D4" w:rsidRDefault="00B15B85" w:rsidP="00096A41">
            <w:pPr>
              <w:ind w:rightChars="50" w:right="120"/>
              <w:jc w:val="right"/>
              <w:rPr>
                <w:color w:val="000000"/>
              </w:rPr>
            </w:pPr>
            <w:r w:rsidRPr="00E520D4">
              <w:rPr>
                <w:color w:val="000000"/>
              </w:rPr>
              <w:t>-</w:t>
            </w:r>
            <w:r w:rsidR="00096A41">
              <w:rPr>
                <w:color w:val="000000"/>
              </w:rPr>
              <w:t>74</w:t>
            </w:r>
          </w:p>
        </w:tc>
        <w:tc>
          <w:tcPr>
            <w:tcW w:w="840" w:type="dxa"/>
            <w:tcBorders>
              <w:top w:val="single" w:sz="4" w:space="0" w:color="auto"/>
              <w:left w:val="single" w:sz="4" w:space="0" w:color="auto"/>
              <w:bottom w:val="single" w:sz="4" w:space="0" w:color="auto"/>
              <w:right w:val="single" w:sz="12" w:space="0" w:color="auto"/>
            </w:tcBorders>
            <w:vAlign w:val="center"/>
          </w:tcPr>
          <w:p w:rsidR="00C0595B" w:rsidRPr="00E520D4" w:rsidRDefault="00EC3F71" w:rsidP="00096A41">
            <w:pPr>
              <w:ind w:rightChars="50" w:right="120"/>
              <w:jc w:val="right"/>
              <w:rPr>
                <w:color w:val="000000"/>
              </w:rPr>
            </w:pPr>
            <w:r w:rsidRPr="00E520D4">
              <w:rPr>
                <w:color w:val="000000"/>
              </w:rPr>
              <w:t>-1.</w:t>
            </w:r>
            <w:r w:rsidR="00096A41">
              <w:rPr>
                <w:color w:val="000000"/>
              </w:rPr>
              <w:t>8</w:t>
            </w:r>
          </w:p>
        </w:tc>
      </w:tr>
      <w:tr w:rsidR="00C0595B" w:rsidRPr="00E520D4" w:rsidTr="00BA46E9">
        <w:trPr>
          <w:trHeight w:hRule="exact" w:val="454"/>
        </w:trPr>
        <w:tc>
          <w:tcPr>
            <w:tcW w:w="3000" w:type="dxa"/>
            <w:tcBorders>
              <w:top w:val="single" w:sz="4" w:space="0" w:color="auto"/>
              <w:left w:val="single" w:sz="12" w:space="0" w:color="auto"/>
              <w:bottom w:val="single" w:sz="4" w:space="0" w:color="auto"/>
              <w:right w:val="single" w:sz="4" w:space="0" w:color="auto"/>
            </w:tcBorders>
            <w:vAlign w:val="center"/>
          </w:tcPr>
          <w:p w:rsidR="00C0595B" w:rsidRPr="00E520D4" w:rsidRDefault="00F85E30">
            <w:pPr>
              <w:rPr>
                <w:rFonts w:eastAsia="標楷體"/>
                <w:color w:val="000000"/>
                <w:spacing w:val="-4"/>
                <w:sz w:val="26"/>
                <w:szCs w:val="24"/>
              </w:rPr>
            </w:pPr>
            <w:r w:rsidRPr="00E520D4">
              <w:rPr>
                <w:rFonts w:eastAsia="標楷體"/>
                <w:color w:val="000000"/>
                <w:spacing w:val="-4"/>
                <w:sz w:val="26"/>
              </w:rPr>
              <w:t>4.</w:t>
            </w:r>
            <w:r w:rsidRPr="00E520D4">
              <w:rPr>
                <w:rFonts w:eastAsia="標楷體" w:hAnsi="標楷體" w:hint="eastAsia"/>
                <w:color w:val="000000"/>
                <w:spacing w:val="-4"/>
                <w:sz w:val="26"/>
              </w:rPr>
              <w:t>經濟發展支出</w:t>
            </w:r>
          </w:p>
        </w:tc>
        <w:tc>
          <w:tcPr>
            <w:tcW w:w="1200" w:type="dxa"/>
            <w:tcBorders>
              <w:top w:val="single" w:sz="4" w:space="0" w:color="auto"/>
              <w:left w:val="single" w:sz="4" w:space="0" w:color="auto"/>
              <w:bottom w:val="single" w:sz="4" w:space="0" w:color="auto"/>
              <w:right w:val="single" w:sz="4" w:space="0" w:color="auto"/>
            </w:tcBorders>
            <w:vAlign w:val="center"/>
          </w:tcPr>
          <w:p w:rsidR="00C0595B" w:rsidRPr="00E520D4" w:rsidRDefault="000A48EA" w:rsidP="00C46739">
            <w:pPr>
              <w:ind w:rightChars="50" w:right="120"/>
              <w:jc w:val="right"/>
              <w:rPr>
                <w:color w:val="000000"/>
              </w:rPr>
            </w:pPr>
            <w:r w:rsidRPr="00E520D4">
              <w:rPr>
                <w:color w:val="000000"/>
              </w:rPr>
              <w:t>2,</w:t>
            </w:r>
            <w:r w:rsidR="00C46739">
              <w:rPr>
                <w:color w:val="000000"/>
              </w:rPr>
              <w:t>5</w:t>
            </w:r>
            <w:r w:rsidRPr="00E520D4">
              <w:rPr>
                <w:color w:val="000000"/>
              </w:rPr>
              <w:t>67</w:t>
            </w:r>
          </w:p>
        </w:tc>
        <w:tc>
          <w:tcPr>
            <w:tcW w:w="960" w:type="dxa"/>
            <w:tcBorders>
              <w:top w:val="single" w:sz="4" w:space="0" w:color="auto"/>
              <w:left w:val="single" w:sz="4" w:space="0" w:color="auto"/>
              <w:bottom w:val="single" w:sz="4" w:space="0" w:color="auto"/>
              <w:right w:val="single" w:sz="4" w:space="0" w:color="auto"/>
            </w:tcBorders>
            <w:vAlign w:val="center"/>
          </w:tcPr>
          <w:p w:rsidR="00C0595B" w:rsidRPr="00E520D4" w:rsidRDefault="000A48EA" w:rsidP="00C46739">
            <w:pPr>
              <w:ind w:rightChars="50" w:right="120"/>
              <w:jc w:val="right"/>
              <w:rPr>
                <w:color w:val="000000"/>
              </w:rPr>
            </w:pPr>
            <w:r w:rsidRPr="00E520D4">
              <w:rPr>
                <w:color w:val="000000"/>
              </w:rPr>
              <w:t>13.</w:t>
            </w:r>
            <w:r w:rsidR="00C46739">
              <w:rPr>
                <w:color w:val="000000"/>
              </w:rPr>
              <w:t>3</w:t>
            </w:r>
          </w:p>
        </w:tc>
        <w:tc>
          <w:tcPr>
            <w:tcW w:w="1200" w:type="dxa"/>
            <w:tcBorders>
              <w:top w:val="single" w:sz="4" w:space="0" w:color="auto"/>
              <w:left w:val="single" w:sz="4" w:space="0" w:color="auto"/>
              <w:bottom w:val="single" w:sz="4" w:space="0" w:color="auto"/>
              <w:right w:val="single" w:sz="4" w:space="0" w:color="auto"/>
            </w:tcBorders>
            <w:vAlign w:val="center"/>
          </w:tcPr>
          <w:p w:rsidR="00C0595B" w:rsidRPr="00E520D4" w:rsidRDefault="00F7598F" w:rsidP="00C46739">
            <w:pPr>
              <w:ind w:rightChars="50" w:right="120"/>
              <w:jc w:val="right"/>
              <w:rPr>
                <w:color w:val="000000"/>
              </w:rPr>
            </w:pPr>
            <w:r w:rsidRPr="00E520D4">
              <w:rPr>
                <w:color w:val="000000"/>
              </w:rPr>
              <w:t>2,</w:t>
            </w:r>
            <w:r w:rsidR="00C46739">
              <w:rPr>
                <w:color w:val="000000"/>
              </w:rPr>
              <w:t>625</w:t>
            </w:r>
          </w:p>
        </w:tc>
        <w:tc>
          <w:tcPr>
            <w:tcW w:w="960" w:type="dxa"/>
            <w:tcBorders>
              <w:top w:val="single" w:sz="4" w:space="0" w:color="auto"/>
              <w:left w:val="single" w:sz="4" w:space="0" w:color="auto"/>
              <w:bottom w:val="single" w:sz="4" w:space="0" w:color="auto"/>
              <w:right w:val="single" w:sz="4" w:space="0" w:color="auto"/>
            </w:tcBorders>
            <w:vAlign w:val="center"/>
          </w:tcPr>
          <w:p w:rsidR="00C0595B" w:rsidRPr="00E520D4" w:rsidRDefault="005834E3" w:rsidP="00096A41">
            <w:pPr>
              <w:ind w:rightChars="50" w:right="120"/>
              <w:jc w:val="right"/>
              <w:rPr>
                <w:color w:val="000000"/>
              </w:rPr>
            </w:pPr>
            <w:r w:rsidRPr="00E520D4">
              <w:rPr>
                <w:color w:val="000000"/>
              </w:rPr>
              <w:t>13.</w:t>
            </w:r>
            <w:r w:rsidR="00096A41">
              <w:rPr>
                <w:color w:val="000000"/>
              </w:rPr>
              <w:t>3</w:t>
            </w:r>
          </w:p>
        </w:tc>
        <w:tc>
          <w:tcPr>
            <w:tcW w:w="1080" w:type="dxa"/>
            <w:tcBorders>
              <w:top w:val="single" w:sz="4" w:space="0" w:color="auto"/>
              <w:left w:val="single" w:sz="4" w:space="0" w:color="auto"/>
              <w:bottom w:val="single" w:sz="4" w:space="0" w:color="auto"/>
              <w:right w:val="single" w:sz="4" w:space="0" w:color="auto"/>
            </w:tcBorders>
            <w:vAlign w:val="center"/>
          </w:tcPr>
          <w:p w:rsidR="00C0595B" w:rsidRPr="00E520D4" w:rsidRDefault="00EC4681" w:rsidP="00096A41">
            <w:pPr>
              <w:ind w:rightChars="50" w:right="120"/>
              <w:jc w:val="right"/>
              <w:rPr>
                <w:color w:val="000000"/>
              </w:rPr>
            </w:pPr>
            <w:r w:rsidRPr="00E520D4">
              <w:rPr>
                <w:color w:val="000000"/>
              </w:rPr>
              <w:t>-</w:t>
            </w:r>
            <w:r w:rsidR="00096A41">
              <w:rPr>
                <w:color w:val="000000"/>
              </w:rPr>
              <w:t>58</w:t>
            </w:r>
          </w:p>
        </w:tc>
        <w:tc>
          <w:tcPr>
            <w:tcW w:w="840" w:type="dxa"/>
            <w:tcBorders>
              <w:top w:val="single" w:sz="4" w:space="0" w:color="auto"/>
              <w:left w:val="single" w:sz="4" w:space="0" w:color="auto"/>
              <w:bottom w:val="single" w:sz="4" w:space="0" w:color="auto"/>
              <w:right w:val="single" w:sz="12" w:space="0" w:color="auto"/>
            </w:tcBorders>
            <w:vAlign w:val="center"/>
          </w:tcPr>
          <w:p w:rsidR="00C0595B" w:rsidRPr="00E520D4" w:rsidRDefault="00EC3F71" w:rsidP="00096A41">
            <w:pPr>
              <w:ind w:rightChars="50" w:right="120"/>
              <w:jc w:val="right"/>
              <w:rPr>
                <w:color w:val="000000"/>
              </w:rPr>
            </w:pPr>
            <w:r w:rsidRPr="00E520D4">
              <w:rPr>
                <w:color w:val="000000"/>
              </w:rPr>
              <w:t>-</w:t>
            </w:r>
            <w:r w:rsidR="00096A41">
              <w:rPr>
                <w:color w:val="000000"/>
              </w:rPr>
              <w:t>2.2</w:t>
            </w:r>
          </w:p>
        </w:tc>
      </w:tr>
      <w:tr w:rsidR="00C0595B" w:rsidRPr="00E520D4" w:rsidTr="00BA46E9">
        <w:trPr>
          <w:trHeight w:hRule="exact" w:val="454"/>
        </w:trPr>
        <w:tc>
          <w:tcPr>
            <w:tcW w:w="3000" w:type="dxa"/>
            <w:tcBorders>
              <w:top w:val="single" w:sz="4" w:space="0" w:color="auto"/>
              <w:left w:val="single" w:sz="12" w:space="0" w:color="auto"/>
              <w:bottom w:val="single" w:sz="4" w:space="0" w:color="auto"/>
              <w:right w:val="single" w:sz="4" w:space="0" w:color="auto"/>
            </w:tcBorders>
            <w:vAlign w:val="center"/>
          </w:tcPr>
          <w:p w:rsidR="00C0595B" w:rsidRPr="00E520D4" w:rsidRDefault="00F85E30">
            <w:pPr>
              <w:rPr>
                <w:rFonts w:eastAsia="標楷體"/>
                <w:color w:val="000000"/>
                <w:spacing w:val="-4"/>
                <w:sz w:val="26"/>
                <w:szCs w:val="24"/>
              </w:rPr>
            </w:pPr>
            <w:r w:rsidRPr="00E520D4">
              <w:rPr>
                <w:rFonts w:eastAsia="標楷體"/>
                <w:color w:val="000000"/>
                <w:spacing w:val="-4"/>
                <w:sz w:val="26"/>
              </w:rPr>
              <w:t>5.</w:t>
            </w:r>
            <w:r w:rsidRPr="00E520D4">
              <w:rPr>
                <w:rFonts w:eastAsia="標楷體" w:hAnsi="標楷體" w:hint="eastAsia"/>
                <w:color w:val="000000"/>
                <w:spacing w:val="-4"/>
                <w:sz w:val="26"/>
              </w:rPr>
              <w:t>社會福利支出</w:t>
            </w:r>
          </w:p>
        </w:tc>
        <w:tc>
          <w:tcPr>
            <w:tcW w:w="1200" w:type="dxa"/>
            <w:tcBorders>
              <w:top w:val="single" w:sz="4" w:space="0" w:color="auto"/>
              <w:left w:val="single" w:sz="4" w:space="0" w:color="auto"/>
              <w:bottom w:val="single" w:sz="4" w:space="0" w:color="auto"/>
              <w:right w:val="single" w:sz="4" w:space="0" w:color="auto"/>
            </w:tcBorders>
            <w:vAlign w:val="center"/>
          </w:tcPr>
          <w:p w:rsidR="00C0595B" w:rsidRPr="00E520D4" w:rsidRDefault="00E241C2" w:rsidP="00C46739">
            <w:pPr>
              <w:ind w:rightChars="50" w:right="120"/>
              <w:jc w:val="right"/>
              <w:rPr>
                <w:color w:val="000000"/>
              </w:rPr>
            </w:pPr>
            <w:r w:rsidRPr="00E520D4">
              <w:rPr>
                <w:color w:val="000000"/>
              </w:rPr>
              <w:t>4,</w:t>
            </w:r>
            <w:r w:rsidR="00C46739">
              <w:rPr>
                <w:color w:val="000000"/>
              </w:rPr>
              <w:t>754</w:t>
            </w:r>
          </w:p>
        </w:tc>
        <w:tc>
          <w:tcPr>
            <w:tcW w:w="960" w:type="dxa"/>
            <w:tcBorders>
              <w:top w:val="single" w:sz="4" w:space="0" w:color="auto"/>
              <w:left w:val="single" w:sz="4" w:space="0" w:color="auto"/>
              <w:bottom w:val="single" w:sz="4" w:space="0" w:color="auto"/>
              <w:right w:val="single" w:sz="4" w:space="0" w:color="auto"/>
            </w:tcBorders>
            <w:vAlign w:val="center"/>
          </w:tcPr>
          <w:p w:rsidR="00C0595B" w:rsidRPr="00E520D4" w:rsidRDefault="00E241C2" w:rsidP="00C46739">
            <w:pPr>
              <w:ind w:rightChars="50" w:right="120"/>
              <w:jc w:val="right"/>
              <w:rPr>
                <w:color w:val="000000"/>
              </w:rPr>
            </w:pPr>
            <w:r w:rsidRPr="00E520D4">
              <w:rPr>
                <w:color w:val="000000"/>
              </w:rPr>
              <w:t>2</w:t>
            </w:r>
            <w:r w:rsidR="00C46739">
              <w:rPr>
                <w:color w:val="000000"/>
              </w:rPr>
              <w:t>4.6</w:t>
            </w:r>
          </w:p>
        </w:tc>
        <w:tc>
          <w:tcPr>
            <w:tcW w:w="1200" w:type="dxa"/>
            <w:tcBorders>
              <w:top w:val="single" w:sz="4" w:space="0" w:color="auto"/>
              <w:left w:val="single" w:sz="4" w:space="0" w:color="auto"/>
              <w:bottom w:val="single" w:sz="4" w:space="0" w:color="auto"/>
              <w:right w:val="single" w:sz="4" w:space="0" w:color="auto"/>
            </w:tcBorders>
            <w:vAlign w:val="center"/>
          </w:tcPr>
          <w:p w:rsidR="00C0595B" w:rsidRPr="00E520D4" w:rsidRDefault="00F7598F" w:rsidP="00C46739">
            <w:pPr>
              <w:ind w:rightChars="50" w:right="120"/>
              <w:jc w:val="right"/>
              <w:rPr>
                <w:color w:val="000000"/>
              </w:rPr>
            </w:pPr>
            <w:r w:rsidRPr="00E520D4">
              <w:rPr>
                <w:color w:val="000000"/>
              </w:rPr>
              <w:t>4,</w:t>
            </w:r>
            <w:r w:rsidR="00C46739">
              <w:rPr>
                <w:color w:val="000000"/>
              </w:rPr>
              <w:t>775</w:t>
            </w:r>
          </w:p>
        </w:tc>
        <w:tc>
          <w:tcPr>
            <w:tcW w:w="960" w:type="dxa"/>
            <w:tcBorders>
              <w:top w:val="single" w:sz="4" w:space="0" w:color="auto"/>
              <w:left w:val="single" w:sz="4" w:space="0" w:color="auto"/>
              <w:bottom w:val="single" w:sz="4" w:space="0" w:color="auto"/>
              <w:right w:val="single" w:sz="4" w:space="0" w:color="auto"/>
            </w:tcBorders>
            <w:vAlign w:val="center"/>
          </w:tcPr>
          <w:p w:rsidR="00C0595B" w:rsidRPr="00E520D4" w:rsidRDefault="004960DA" w:rsidP="00096A41">
            <w:pPr>
              <w:ind w:rightChars="50" w:right="120"/>
              <w:jc w:val="right"/>
              <w:rPr>
                <w:color w:val="000000"/>
              </w:rPr>
            </w:pPr>
            <w:r w:rsidRPr="00E520D4">
              <w:rPr>
                <w:color w:val="000000"/>
              </w:rPr>
              <w:t>2</w:t>
            </w:r>
            <w:r w:rsidR="00096A41">
              <w:rPr>
                <w:color w:val="000000"/>
              </w:rPr>
              <w:t>4.2</w:t>
            </w:r>
          </w:p>
        </w:tc>
        <w:tc>
          <w:tcPr>
            <w:tcW w:w="1080" w:type="dxa"/>
            <w:tcBorders>
              <w:top w:val="single" w:sz="4" w:space="0" w:color="auto"/>
              <w:left w:val="single" w:sz="4" w:space="0" w:color="auto"/>
              <w:bottom w:val="single" w:sz="4" w:space="0" w:color="auto"/>
              <w:right w:val="single" w:sz="4" w:space="0" w:color="auto"/>
            </w:tcBorders>
            <w:vAlign w:val="center"/>
          </w:tcPr>
          <w:p w:rsidR="00C0595B" w:rsidRPr="00E520D4" w:rsidRDefault="00EC4681" w:rsidP="00096A41">
            <w:pPr>
              <w:ind w:rightChars="50" w:right="120"/>
              <w:jc w:val="right"/>
              <w:rPr>
                <w:color w:val="000000"/>
              </w:rPr>
            </w:pPr>
            <w:r w:rsidRPr="00E520D4">
              <w:rPr>
                <w:color w:val="000000"/>
              </w:rPr>
              <w:t>-</w:t>
            </w:r>
            <w:r w:rsidR="00096A41">
              <w:rPr>
                <w:color w:val="000000"/>
              </w:rPr>
              <w:t>21</w:t>
            </w:r>
          </w:p>
        </w:tc>
        <w:tc>
          <w:tcPr>
            <w:tcW w:w="840" w:type="dxa"/>
            <w:tcBorders>
              <w:top w:val="single" w:sz="4" w:space="0" w:color="auto"/>
              <w:left w:val="single" w:sz="4" w:space="0" w:color="auto"/>
              <w:bottom w:val="single" w:sz="4" w:space="0" w:color="auto"/>
              <w:right w:val="single" w:sz="12" w:space="0" w:color="auto"/>
            </w:tcBorders>
            <w:vAlign w:val="center"/>
          </w:tcPr>
          <w:p w:rsidR="00C0595B" w:rsidRPr="00E520D4" w:rsidRDefault="00EC3F71" w:rsidP="00096A41">
            <w:pPr>
              <w:ind w:rightChars="50" w:right="120"/>
              <w:jc w:val="right"/>
              <w:rPr>
                <w:color w:val="000000"/>
              </w:rPr>
            </w:pPr>
            <w:r w:rsidRPr="00E520D4">
              <w:rPr>
                <w:color w:val="000000"/>
              </w:rPr>
              <w:t>-0.</w:t>
            </w:r>
            <w:r w:rsidR="00096A41">
              <w:rPr>
                <w:color w:val="000000"/>
              </w:rPr>
              <w:t>4</w:t>
            </w:r>
          </w:p>
        </w:tc>
      </w:tr>
      <w:tr w:rsidR="00C0595B" w:rsidRPr="00E520D4" w:rsidTr="00BA46E9">
        <w:trPr>
          <w:trHeight w:hRule="exact" w:val="454"/>
        </w:trPr>
        <w:tc>
          <w:tcPr>
            <w:tcW w:w="3000" w:type="dxa"/>
            <w:tcBorders>
              <w:top w:val="single" w:sz="4" w:space="0" w:color="auto"/>
              <w:left w:val="single" w:sz="12" w:space="0" w:color="auto"/>
              <w:bottom w:val="single" w:sz="4" w:space="0" w:color="auto"/>
              <w:right w:val="single" w:sz="4" w:space="0" w:color="auto"/>
            </w:tcBorders>
            <w:vAlign w:val="center"/>
          </w:tcPr>
          <w:p w:rsidR="00C0595B" w:rsidRPr="00E520D4" w:rsidRDefault="00F85E30">
            <w:pPr>
              <w:rPr>
                <w:rFonts w:eastAsia="標楷體"/>
                <w:color w:val="000000"/>
                <w:spacing w:val="-4"/>
                <w:sz w:val="26"/>
                <w:szCs w:val="24"/>
              </w:rPr>
            </w:pPr>
            <w:r w:rsidRPr="00E520D4">
              <w:rPr>
                <w:rFonts w:eastAsia="標楷體"/>
                <w:color w:val="000000"/>
                <w:spacing w:val="-4"/>
                <w:sz w:val="26"/>
              </w:rPr>
              <w:t>6.</w:t>
            </w:r>
            <w:r w:rsidRPr="00E520D4">
              <w:rPr>
                <w:rFonts w:eastAsia="標楷體" w:hAnsi="標楷體" w:hint="eastAsia"/>
                <w:color w:val="000000"/>
                <w:spacing w:val="-6"/>
                <w:sz w:val="26"/>
              </w:rPr>
              <w:t>社區發展及環境保護支出</w:t>
            </w:r>
          </w:p>
        </w:tc>
        <w:tc>
          <w:tcPr>
            <w:tcW w:w="1200" w:type="dxa"/>
            <w:tcBorders>
              <w:top w:val="single" w:sz="4" w:space="0" w:color="auto"/>
              <w:left w:val="single" w:sz="4" w:space="0" w:color="auto"/>
              <w:bottom w:val="single" w:sz="4" w:space="0" w:color="auto"/>
              <w:right w:val="single" w:sz="4" w:space="0" w:color="auto"/>
            </w:tcBorders>
            <w:vAlign w:val="center"/>
          </w:tcPr>
          <w:p w:rsidR="00C0595B" w:rsidRPr="00E520D4" w:rsidRDefault="002A5D4D" w:rsidP="00C46739">
            <w:pPr>
              <w:ind w:rightChars="50" w:right="120"/>
              <w:jc w:val="right"/>
              <w:rPr>
                <w:color w:val="000000"/>
              </w:rPr>
            </w:pPr>
            <w:r w:rsidRPr="00E520D4">
              <w:rPr>
                <w:color w:val="000000"/>
              </w:rPr>
              <w:t>1</w:t>
            </w:r>
            <w:r w:rsidR="00C46739">
              <w:rPr>
                <w:color w:val="000000"/>
              </w:rPr>
              <w:t>64</w:t>
            </w:r>
          </w:p>
        </w:tc>
        <w:tc>
          <w:tcPr>
            <w:tcW w:w="960" w:type="dxa"/>
            <w:tcBorders>
              <w:top w:val="single" w:sz="4" w:space="0" w:color="auto"/>
              <w:left w:val="single" w:sz="4" w:space="0" w:color="auto"/>
              <w:bottom w:val="single" w:sz="4" w:space="0" w:color="auto"/>
              <w:right w:val="single" w:sz="4" w:space="0" w:color="auto"/>
            </w:tcBorders>
            <w:vAlign w:val="center"/>
          </w:tcPr>
          <w:p w:rsidR="00C0595B" w:rsidRPr="00E520D4" w:rsidRDefault="002A5D4D" w:rsidP="00C0595B">
            <w:pPr>
              <w:ind w:rightChars="50" w:right="120"/>
              <w:jc w:val="right"/>
              <w:rPr>
                <w:color w:val="000000"/>
              </w:rPr>
            </w:pPr>
            <w:r w:rsidRPr="00E520D4">
              <w:rPr>
                <w:color w:val="000000"/>
              </w:rPr>
              <w:t>0.9</w:t>
            </w:r>
            <w:r w:rsidR="00F85E30" w:rsidRPr="00E520D4">
              <w:rPr>
                <w:color w:val="000000"/>
              </w:rPr>
              <w:t xml:space="preserve"> </w:t>
            </w:r>
          </w:p>
        </w:tc>
        <w:tc>
          <w:tcPr>
            <w:tcW w:w="1200" w:type="dxa"/>
            <w:tcBorders>
              <w:top w:val="single" w:sz="4" w:space="0" w:color="auto"/>
              <w:left w:val="single" w:sz="4" w:space="0" w:color="auto"/>
              <w:bottom w:val="single" w:sz="4" w:space="0" w:color="auto"/>
              <w:right w:val="single" w:sz="4" w:space="0" w:color="auto"/>
            </w:tcBorders>
            <w:vAlign w:val="center"/>
          </w:tcPr>
          <w:p w:rsidR="00C0595B" w:rsidRPr="00E520D4" w:rsidRDefault="00CE4263" w:rsidP="00C46739">
            <w:pPr>
              <w:ind w:rightChars="50" w:right="120"/>
              <w:jc w:val="right"/>
              <w:rPr>
                <w:color w:val="000000"/>
              </w:rPr>
            </w:pPr>
            <w:r w:rsidRPr="00E520D4">
              <w:rPr>
                <w:color w:val="000000"/>
              </w:rPr>
              <w:t>1</w:t>
            </w:r>
            <w:r w:rsidR="00C46739">
              <w:rPr>
                <w:color w:val="000000"/>
              </w:rPr>
              <w:t>72</w:t>
            </w:r>
          </w:p>
        </w:tc>
        <w:tc>
          <w:tcPr>
            <w:tcW w:w="960" w:type="dxa"/>
            <w:tcBorders>
              <w:top w:val="single" w:sz="4" w:space="0" w:color="auto"/>
              <w:left w:val="single" w:sz="4" w:space="0" w:color="auto"/>
              <w:bottom w:val="single" w:sz="4" w:space="0" w:color="auto"/>
              <w:right w:val="single" w:sz="4" w:space="0" w:color="auto"/>
            </w:tcBorders>
            <w:vAlign w:val="center"/>
          </w:tcPr>
          <w:p w:rsidR="00C0595B" w:rsidRPr="00E520D4" w:rsidRDefault="00F85E30" w:rsidP="00C0595B">
            <w:pPr>
              <w:ind w:rightChars="50" w:right="120"/>
              <w:jc w:val="right"/>
              <w:rPr>
                <w:color w:val="000000"/>
              </w:rPr>
            </w:pPr>
            <w:r w:rsidRPr="00E520D4">
              <w:rPr>
                <w:color w:val="000000"/>
              </w:rPr>
              <w:t xml:space="preserve">0.9 </w:t>
            </w:r>
          </w:p>
        </w:tc>
        <w:tc>
          <w:tcPr>
            <w:tcW w:w="1080" w:type="dxa"/>
            <w:tcBorders>
              <w:top w:val="single" w:sz="4" w:space="0" w:color="auto"/>
              <w:left w:val="single" w:sz="4" w:space="0" w:color="auto"/>
              <w:bottom w:val="single" w:sz="4" w:space="0" w:color="auto"/>
              <w:right w:val="single" w:sz="4" w:space="0" w:color="auto"/>
            </w:tcBorders>
            <w:vAlign w:val="center"/>
          </w:tcPr>
          <w:p w:rsidR="00C0595B" w:rsidRPr="00E520D4" w:rsidRDefault="00F85E30" w:rsidP="00096A41">
            <w:pPr>
              <w:ind w:rightChars="50" w:right="120"/>
              <w:jc w:val="right"/>
              <w:rPr>
                <w:color w:val="000000"/>
              </w:rPr>
            </w:pPr>
            <w:r w:rsidRPr="00E520D4">
              <w:rPr>
                <w:color w:val="000000"/>
              </w:rPr>
              <w:t>-</w:t>
            </w:r>
            <w:r w:rsidR="00096A41">
              <w:rPr>
                <w:color w:val="000000"/>
              </w:rPr>
              <w:t>8</w:t>
            </w:r>
          </w:p>
        </w:tc>
        <w:tc>
          <w:tcPr>
            <w:tcW w:w="840" w:type="dxa"/>
            <w:tcBorders>
              <w:top w:val="single" w:sz="4" w:space="0" w:color="auto"/>
              <w:left w:val="single" w:sz="4" w:space="0" w:color="auto"/>
              <w:bottom w:val="single" w:sz="4" w:space="0" w:color="auto"/>
              <w:right w:val="single" w:sz="12" w:space="0" w:color="auto"/>
            </w:tcBorders>
            <w:vAlign w:val="center"/>
          </w:tcPr>
          <w:p w:rsidR="00C0595B" w:rsidRPr="00E520D4" w:rsidRDefault="00EC3F71" w:rsidP="00201D59">
            <w:pPr>
              <w:ind w:rightChars="50" w:right="120"/>
              <w:jc w:val="right"/>
              <w:rPr>
                <w:color w:val="000000"/>
              </w:rPr>
            </w:pPr>
            <w:r w:rsidRPr="00E520D4">
              <w:rPr>
                <w:color w:val="000000"/>
              </w:rPr>
              <w:t>-</w:t>
            </w:r>
            <w:r w:rsidR="00201D59">
              <w:rPr>
                <w:color w:val="000000"/>
              </w:rPr>
              <w:t>4.2</w:t>
            </w:r>
          </w:p>
        </w:tc>
      </w:tr>
      <w:tr w:rsidR="00C0595B" w:rsidRPr="00E520D4" w:rsidTr="00BA46E9">
        <w:trPr>
          <w:trHeight w:hRule="exact" w:val="454"/>
        </w:trPr>
        <w:tc>
          <w:tcPr>
            <w:tcW w:w="3000" w:type="dxa"/>
            <w:tcBorders>
              <w:top w:val="single" w:sz="4" w:space="0" w:color="auto"/>
              <w:left w:val="single" w:sz="12" w:space="0" w:color="auto"/>
              <w:bottom w:val="single" w:sz="4" w:space="0" w:color="auto"/>
              <w:right w:val="single" w:sz="4" w:space="0" w:color="auto"/>
            </w:tcBorders>
            <w:vAlign w:val="center"/>
          </w:tcPr>
          <w:p w:rsidR="00C0595B" w:rsidRPr="00E520D4" w:rsidRDefault="00F85E30">
            <w:pPr>
              <w:rPr>
                <w:rFonts w:eastAsia="標楷體"/>
                <w:color w:val="000000"/>
                <w:spacing w:val="-4"/>
                <w:sz w:val="26"/>
                <w:szCs w:val="24"/>
              </w:rPr>
            </w:pPr>
            <w:r w:rsidRPr="00E520D4">
              <w:rPr>
                <w:rFonts w:eastAsia="標楷體"/>
                <w:color w:val="000000"/>
                <w:spacing w:val="-4"/>
                <w:sz w:val="26"/>
              </w:rPr>
              <w:t>7.</w:t>
            </w:r>
            <w:r w:rsidRPr="00E520D4">
              <w:rPr>
                <w:rFonts w:eastAsia="標楷體" w:hAnsi="標楷體" w:hint="eastAsia"/>
                <w:color w:val="000000"/>
                <w:spacing w:val="-4"/>
                <w:sz w:val="26"/>
              </w:rPr>
              <w:t>退休撫</w:t>
            </w:r>
            <w:proofErr w:type="gramStart"/>
            <w:r w:rsidRPr="00E520D4">
              <w:rPr>
                <w:rFonts w:eastAsia="標楷體" w:hAnsi="標楷體" w:hint="eastAsia"/>
                <w:color w:val="000000"/>
                <w:spacing w:val="-4"/>
                <w:sz w:val="26"/>
              </w:rPr>
              <w:t>卹</w:t>
            </w:r>
            <w:proofErr w:type="gramEnd"/>
            <w:r w:rsidRPr="00E520D4">
              <w:rPr>
                <w:rFonts w:eastAsia="標楷體" w:hAnsi="標楷體" w:hint="eastAsia"/>
                <w:color w:val="000000"/>
                <w:spacing w:val="-4"/>
                <w:sz w:val="26"/>
              </w:rPr>
              <w:t>支出</w:t>
            </w:r>
          </w:p>
        </w:tc>
        <w:tc>
          <w:tcPr>
            <w:tcW w:w="1200" w:type="dxa"/>
            <w:tcBorders>
              <w:top w:val="single" w:sz="4" w:space="0" w:color="auto"/>
              <w:left w:val="single" w:sz="4" w:space="0" w:color="auto"/>
              <w:bottom w:val="single" w:sz="4" w:space="0" w:color="auto"/>
              <w:right w:val="single" w:sz="4" w:space="0" w:color="auto"/>
            </w:tcBorders>
            <w:vAlign w:val="center"/>
          </w:tcPr>
          <w:p w:rsidR="00C0595B" w:rsidRPr="00E520D4" w:rsidRDefault="00B5541A" w:rsidP="00C46739">
            <w:pPr>
              <w:ind w:rightChars="50" w:right="120"/>
              <w:jc w:val="right"/>
              <w:rPr>
                <w:color w:val="000000"/>
              </w:rPr>
            </w:pPr>
            <w:r w:rsidRPr="00E520D4">
              <w:rPr>
                <w:color w:val="000000"/>
              </w:rPr>
              <w:t>1,</w:t>
            </w:r>
            <w:r w:rsidR="00C46739">
              <w:rPr>
                <w:color w:val="000000"/>
              </w:rPr>
              <w:t>379</w:t>
            </w:r>
          </w:p>
        </w:tc>
        <w:tc>
          <w:tcPr>
            <w:tcW w:w="960" w:type="dxa"/>
            <w:tcBorders>
              <w:top w:val="single" w:sz="4" w:space="0" w:color="auto"/>
              <w:left w:val="single" w:sz="4" w:space="0" w:color="auto"/>
              <w:bottom w:val="single" w:sz="4" w:space="0" w:color="auto"/>
              <w:right w:val="single" w:sz="4" w:space="0" w:color="auto"/>
            </w:tcBorders>
            <w:vAlign w:val="center"/>
          </w:tcPr>
          <w:p w:rsidR="00C0595B" w:rsidRPr="00E520D4" w:rsidRDefault="00B5541A" w:rsidP="00C46739">
            <w:pPr>
              <w:ind w:rightChars="50" w:right="120"/>
              <w:jc w:val="right"/>
              <w:rPr>
                <w:color w:val="000000"/>
              </w:rPr>
            </w:pPr>
            <w:r w:rsidRPr="00E520D4">
              <w:rPr>
                <w:color w:val="000000"/>
              </w:rPr>
              <w:t>7.</w:t>
            </w:r>
            <w:r w:rsidR="00C46739">
              <w:rPr>
                <w:color w:val="000000"/>
              </w:rPr>
              <w:t>1</w:t>
            </w:r>
          </w:p>
        </w:tc>
        <w:tc>
          <w:tcPr>
            <w:tcW w:w="1200" w:type="dxa"/>
            <w:tcBorders>
              <w:top w:val="single" w:sz="4" w:space="0" w:color="auto"/>
              <w:left w:val="single" w:sz="4" w:space="0" w:color="auto"/>
              <w:bottom w:val="single" w:sz="4" w:space="0" w:color="auto"/>
              <w:right w:val="single" w:sz="4" w:space="0" w:color="auto"/>
            </w:tcBorders>
            <w:vAlign w:val="center"/>
          </w:tcPr>
          <w:p w:rsidR="00C0595B" w:rsidRPr="00E520D4" w:rsidRDefault="006F5E7E" w:rsidP="00C46739">
            <w:pPr>
              <w:ind w:rightChars="50" w:right="120"/>
              <w:jc w:val="right"/>
              <w:rPr>
                <w:color w:val="000000"/>
              </w:rPr>
            </w:pPr>
            <w:r w:rsidRPr="00E520D4">
              <w:rPr>
                <w:color w:val="000000"/>
              </w:rPr>
              <w:t>1,4</w:t>
            </w:r>
            <w:r w:rsidR="00C46739">
              <w:rPr>
                <w:color w:val="000000"/>
              </w:rPr>
              <w:t>03</w:t>
            </w:r>
          </w:p>
        </w:tc>
        <w:tc>
          <w:tcPr>
            <w:tcW w:w="960" w:type="dxa"/>
            <w:tcBorders>
              <w:top w:val="single" w:sz="4" w:space="0" w:color="auto"/>
              <w:left w:val="single" w:sz="4" w:space="0" w:color="auto"/>
              <w:bottom w:val="single" w:sz="4" w:space="0" w:color="auto"/>
              <w:right w:val="single" w:sz="4" w:space="0" w:color="auto"/>
            </w:tcBorders>
            <w:vAlign w:val="center"/>
          </w:tcPr>
          <w:p w:rsidR="00C0595B" w:rsidRPr="00E520D4" w:rsidRDefault="004751C1" w:rsidP="00096A41">
            <w:pPr>
              <w:ind w:rightChars="50" w:right="120"/>
              <w:jc w:val="right"/>
              <w:rPr>
                <w:color w:val="000000"/>
              </w:rPr>
            </w:pPr>
            <w:r w:rsidRPr="00E520D4">
              <w:rPr>
                <w:color w:val="000000"/>
              </w:rPr>
              <w:t>7.</w:t>
            </w:r>
            <w:r w:rsidR="00096A41">
              <w:rPr>
                <w:color w:val="000000"/>
              </w:rPr>
              <w:t>1</w:t>
            </w:r>
          </w:p>
        </w:tc>
        <w:tc>
          <w:tcPr>
            <w:tcW w:w="1080" w:type="dxa"/>
            <w:tcBorders>
              <w:top w:val="single" w:sz="4" w:space="0" w:color="auto"/>
              <w:left w:val="single" w:sz="4" w:space="0" w:color="auto"/>
              <w:bottom w:val="single" w:sz="4" w:space="0" w:color="auto"/>
              <w:right w:val="single" w:sz="4" w:space="0" w:color="auto"/>
            </w:tcBorders>
            <w:vAlign w:val="center"/>
          </w:tcPr>
          <w:p w:rsidR="00C0595B" w:rsidRPr="00E520D4" w:rsidRDefault="00EC4681" w:rsidP="00096A41">
            <w:pPr>
              <w:ind w:rightChars="50" w:right="120"/>
              <w:jc w:val="right"/>
              <w:rPr>
                <w:color w:val="000000"/>
              </w:rPr>
            </w:pPr>
            <w:r w:rsidRPr="00E520D4">
              <w:rPr>
                <w:color w:val="000000"/>
              </w:rPr>
              <w:t>-</w:t>
            </w:r>
            <w:r w:rsidR="00096A41">
              <w:rPr>
                <w:color w:val="000000"/>
              </w:rPr>
              <w:t>24</w:t>
            </w:r>
          </w:p>
        </w:tc>
        <w:tc>
          <w:tcPr>
            <w:tcW w:w="840" w:type="dxa"/>
            <w:tcBorders>
              <w:top w:val="single" w:sz="4" w:space="0" w:color="auto"/>
              <w:left w:val="single" w:sz="4" w:space="0" w:color="auto"/>
              <w:bottom w:val="single" w:sz="4" w:space="0" w:color="auto"/>
              <w:right w:val="single" w:sz="12" w:space="0" w:color="auto"/>
            </w:tcBorders>
            <w:vAlign w:val="center"/>
          </w:tcPr>
          <w:p w:rsidR="00C0595B" w:rsidRPr="00E520D4" w:rsidRDefault="00EC3F71" w:rsidP="00201D59">
            <w:pPr>
              <w:ind w:rightChars="50" w:right="120"/>
              <w:jc w:val="right"/>
              <w:rPr>
                <w:color w:val="000000"/>
              </w:rPr>
            </w:pPr>
            <w:r w:rsidRPr="00E520D4">
              <w:rPr>
                <w:color w:val="000000"/>
              </w:rPr>
              <w:t>-</w:t>
            </w:r>
            <w:r w:rsidR="00201D59">
              <w:rPr>
                <w:color w:val="000000"/>
              </w:rPr>
              <w:t>1.7</w:t>
            </w:r>
          </w:p>
        </w:tc>
      </w:tr>
      <w:tr w:rsidR="00C0595B" w:rsidRPr="00E520D4" w:rsidTr="00BA46E9">
        <w:trPr>
          <w:trHeight w:hRule="exact" w:val="454"/>
        </w:trPr>
        <w:tc>
          <w:tcPr>
            <w:tcW w:w="3000" w:type="dxa"/>
            <w:tcBorders>
              <w:top w:val="single" w:sz="4" w:space="0" w:color="auto"/>
              <w:left w:val="single" w:sz="12" w:space="0" w:color="auto"/>
              <w:bottom w:val="single" w:sz="4" w:space="0" w:color="auto"/>
              <w:right w:val="single" w:sz="4" w:space="0" w:color="auto"/>
            </w:tcBorders>
            <w:vAlign w:val="center"/>
          </w:tcPr>
          <w:p w:rsidR="00C0595B" w:rsidRPr="00E520D4" w:rsidRDefault="00F85E30">
            <w:pPr>
              <w:rPr>
                <w:rFonts w:eastAsia="標楷體"/>
                <w:color w:val="000000"/>
                <w:spacing w:val="-4"/>
                <w:sz w:val="26"/>
                <w:szCs w:val="24"/>
              </w:rPr>
            </w:pPr>
            <w:r w:rsidRPr="00E520D4">
              <w:rPr>
                <w:rFonts w:eastAsia="標楷體"/>
                <w:color w:val="000000"/>
                <w:spacing w:val="-4"/>
                <w:sz w:val="26"/>
              </w:rPr>
              <w:t>8.</w:t>
            </w:r>
            <w:r w:rsidRPr="00E520D4">
              <w:rPr>
                <w:rFonts w:eastAsia="標楷體" w:hAnsi="標楷體" w:hint="eastAsia"/>
                <w:color w:val="000000"/>
                <w:spacing w:val="-4"/>
                <w:sz w:val="26"/>
              </w:rPr>
              <w:t>債務支出</w:t>
            </w:r>
          </w:p>
        </w:tc>
        <w:tc>
          <w:tcPr>
            <w:tcW w:w="1200" w:type="dxa"/>
            <w:tcBorders>
              <w:top w:val="single" w:sz="4" w:space="0" w:color="auto"/>
              <w:left w:val="single" w:sz="4" w:space="0" w:color="auto"/>
              <w:bottom w:val="single" w:sz="4" w:space="0" w:color="auto"/>
              <w:right w:val="single" w:sz="4" w:space="0" w:color="auto"/>
            </w:tcBorders>
            <w:vAlign w:val="center"/>
          </w:tcPr>
          <w:p w:rsidR="00C0595B" w:rsidRPr="00E520D4" w:rsidRDefault="00D31A12" w:rsidP="00C46739">
            <w:pPr>
              <w:ind w:rightChars="50" w:right="120"/>
              <w:jc w:val="right"/>
              <w:rPr>
                <w:color w:val="000000"/>
              </w:rPr>
            </w:pPr>
            <w:r w:rsidRPr="00E520D4">
              <w:rPr>
                <w:color w:val="000000"/>
              </w:rPr>
              <w:t>1,</w:t>
            </w:r>
            <w:r w:rsidR="00C46739">
              <w:rPr>
                <w:color w:val="000000"/>
              </w:rPr>
              <w:t>018</w:t>
            </w:r>
          </w:p>
        </w:tc>
        <w:tc>
          <w:tcPr>
            <w:tcW w:w="960" w:type="dxa"/>
            <w:tcBorders>
              <w:top w:val="single" w:sz="4" w:space="0" w:color="auto"/>
              <w:left w:val="single" w:sz="4" w:space="0" w:color="auto"/>
              <w:bottom w:val="single" w:sz="4" w:space="0" w:color="auto"/>
              <w:right w:val="single" w:sz="4" w:space="0" w:color="auto"/>
            </w:tcBorders>
            <w:vAlign w:val="center"/>
          </w:tcPr>
          <w:p w:rsidR="00C0595B" w:rsidRPr="00E520D4" w:rsidRDefault="00D31A12" w:rsidP="00C46739">
            <w:pPr>
              <w:ind w:rightChars="50" w:right="120"/>
              <w:jc w:val="right"/>
              <w:rPr>
                <w:color w:val="000000"/>
              </w:rPr>
            </w:pPr>
            <w:r w:rsidRPr="00E520D4">
              <w:rPr>
                <w:color w:val="000000"/>
              </w:rPr>
              <w:t>5.</w:t>
            </w:r>
            <w:r w:rsidR="00C46739">
              <w:rPr>
                <w:color w:val="000000"/>
              </w:rPr>
              <w:t>3</w:t>
            </w:r>
          </w:p>
        </w:tc>
        <w:tc>
          <w:tcPr>
            <w:tcW w:w="1200" w:type="dxa"/>
            <w:tcBorders>
              <w:top w:val="single" w:sz="4" w:space="0" w:color="auto"/>
              <w:left w:val="single" w:sz="4" w:space="0" w:color="auto"/>
              <w:bottom w:val="single" w:sz="4" w:space="0" w:color="auto"/>
              <w:right w:val="single" w:sz="4" w:space="0" w:color="auto"/>
            </w:tcBorders>
            <w:vAlign w:val="center"/>
          </w:tcPr>
          <w:p w:rsidR="00C0595B" w:rsidRPr="00E520D4" w:rsidRDefault="006F5E7E" w:rsidP="00C46739">
            <w:pPr>
              <w:ind w:rightChars="50" w:right="120"/>
              <w:jc w:val="right"/>
              <w:rPr>
                <w:color w:val="000000"/>
              </w:rPr>
            </w:pPr>
            <w:r w:rsidRPr="00E520D4">
              <w:rPr>
                <w:color w:val="000000"/>
              </w:rPr>
              <w:t>1,</w:t>
            </w:r>
            <w:r w:rsidR="00C46739">
              <w:rPr>
                <w:color w:val="000000"/>
              </w:rPr>
              <w:t>121</w:t>
            </w:r>
          </w:p>
        </w:tc>
        <w:tc>
          <w:tcPr>
            <w:tcW w:w="960" w:type="dxa"/>
            <w:tcBorders>
              <w:top w:val="single" w:sz="4" w:space="0" w:color="auto"/>
              <w:left w:val="single" w:sz="4" w:space="0" w:color="auto"/>
              <w:bottom w:val="single" w:sz="4" w:space="0" w:color="auto"/>
              <w:right w:val="single" w:sz="4" w:space="0" w:color="auto"/>
            </w:tcBorders>
            <w:vAlign w:val="center"/>
          </w:tcPr>
          <w:p w:rsidR="00C0595B" w:rsidRPr="00E520D4" w:rsidRDefault="00096A41" w:rsidP="00096A41">
            <w:pPr>
              <w:ind w:rightChars="50" w:right="120"/>
              <w:jc w:val="right"/>
              <w:rPr>
                <w:color w:val="000000"/>
              </w:rPr>
            </w:pPr>
            <w:r>
              <w:rPr>
                <w:color w:val="000000"/>
              </w:rPr>
              <w:t>5.7</w:t>
            </w:r>
          </w:p>
        </w:tc>
        <w:tc>
          <w:tcPr>
            <w:tcW w:w="1080" w:type="dxa"/>
            <w:tcBorders>
              <w:top w:val="single" w:sz="4" w:space="0" w:color="auto"/>
              <w:left w:val="single" w:sz="4" w:space="0" w:color="auto"/>
              <w:bottom w:val="single" w:sz="4" w:space="0" w:color="auto"/>
              <w:right w:val="single" w:sz="4" w:space="0" w:color="auto"/>
            </w:tcBorders>
            <w:vAlign w:val="center"/>
          </w:tcPr>
          <w:p w:rsidR="00C0595B" w:rsidRPr="00E520D4" w:rsidRDefault="00EC4681" w:rsidP="00096A41">
            <w:pPr>
              <w:ind w:rightChars="50" w:right="120"/>
              <w:jc w:val="right"/>
              <w:rPr>
                <w:color w:val="000000"/>
              </w:rPr>
            </w:pPr>
            <w:r w:rsidRPr="00E520D4">
              <w:rPr>
                <w:color w:val="000000"/>
              </w:rPr>
              <w:t>-10</w:t>
            </w:r>
            <w:r w:rsidR="00096A41">
              <w:rPr>
                <w:color w:val="000000"/>
              </w:rPr>
              <w:t>3</w:t>
            </w:r>
          </w:p>
        </w:tc>
        <w:tc>
          <w:tcPr>
            <w:tcW w:w="840" w:type="dxa"/>
            <w:tcBorders>
              <w:top w:val="single" w:sz="4" w:space="0" w:color="auto"/>
              <w:left w:val="single" w:sz="4" w:space="0" w:color="auto"/>
              <w:bottom w:val="single" w:sz="4" w:space="0" w:color="auto"/>
              <w:right w:val="single" w:sz="12" w:space="0" w:color="auto"/>
            </w:tcBorders>
            <w:vAlign w:val="center"/>
          </w:tcPr>
          <w:p w:rsidR="00C0595B" w:rsidRPr="00E520D4" w:rsidRDefault="00EC3F71" w:rsidP="00201D59">
            <w:pPr>
              <w:ind w:rightChars="50" w:right="120"/>
              <w:jc w:val="right"/>
              <w:rPr>
                <w:color w:val="000000"/>
              </w:rPr>
            </w:pPr>
            <w:r w:rsidRPr="00E520D4">
              <w:rPr>
                <w:color w:val="000000"/>
              </w:rPr>
              <w:t>-</w:t>
            </w:r>
            <w:r w:rsidR="00201D59">
              <w:rPr>
                <w:color w:val="000000"/>
              </w:rPr>
              <w:t>9.2</w:t>
            </w:r>
          </w:p>
        </w:tc>
      </w:tr>
      <w:tr w:rsidR="00762F11" w:rsidRPr="00E520D4" w:rsidTr="00BA46E9">
        <w:trPr>
          <w:trHeight w:hRule="exact" w:val="454"/>
        </w:trPr>
        <w:tc>
          <w:tcPr>
            <w:tcW w:w="3000" w:type="dxa"/>
            <w:tcBorders>
              <w:top w:val="single" w:sz="4" w:space="0" w:color="auto"/>
              <w:left w:val="single" w:sz="12" w:space="0" w:color="auto"/>
              <w:bottom w:val="single" w:sz="12" w:space="0" w:color="auto"/>
              <w:right w:val="single" w:sz="4" w:space="0" w:color="auto"/>
            </w:tcBorders>
            <w:vAlign w:val="center"/>
          </w:tcPr>
          <w:p w:rsidR="00762F11" w:rsidRPr="00E520D4" w:rsidRDefault="00F85E30">
            <w:pPr>
              <w:rPr>
                <w:rFonts w:eastAsia="標楷體"/>
                <w:color w:val="000000"/>
                <w:spacing w:val="-4"/>
                <w:sz w:val="26"/>
                <w:szCs w:val="24"/>
              </w:rPr>
            </w:pPr>
            <w:r w:rsidRPr="00E520D4">
              <w:rPr>
                <w:rFonts w:eastAsia="標楷體"/>
                <w:color w:val="000000"/>
                <w:spacing w:val="-4"/>
                <w:sz w:val="26"/>
              </w:rPr>
              <w:t>9.</w:t>
            </w:r>
            <w:r w:rsidRPr="00E520D4">
              <w:rPr>
                <w:rFonts w:eastAsia="標楷體" w:hAnsi="標楷體" w:hint="eastAsia"/>
                <w:color w:val="000000"/>
                <w:spacing w:val="-4"/>
                <w:sz w:val="26"/>
              </w:rPr>
              <w:t>一般補助及其他支出</w:t>
            </w:r>
          </w:p>
        </w:tc>
        <w:tc>
          <w:tcPr>
            <w:tcW w:w="1200" w:type="dxa"/>
            <w:tcBorders>
              <w:top w:val="single" w:sz="4" w:space="0" w:color="auto"/>
              <w:left w:val="single" w:sz="4" w:space="0" w:color="auto"/>
              <w:bottom w:val="single" w:sz="12" w:space="0" w:color="auto"/>
              <w:right w:val="single" w:sz="4" w:space="0" w:color="auto"/>
            </w:tcBorders>
            <w:vAlign w:val="center"/>
          </w:tcPr>
          <w:p w:rsidR="00762F11" w:rsidRPr="00E520D4" w:rsidRDefault="00C46739" w:rsidP="00E03A0C">
            <w:pPr>
              <w:ind w:rightChars="50" w:right="120"/>
              <w:jc w:val="right"/>
              <w:rPr>
                <w:color w:val="000000"/>
              </w:rPr>
            </w:pPr>
            <w:r>
              <w:rPr>
                <w:color w:val="000000"/>
              </w:rPr>
              <w:t>593</w:t>
            </w:r>
          </w:p>
        </w:tc>
        <w:tc>
          <w:tcPr>
            <w:tcW w:w="960" w:type="dxa"/>
            <w:tcBorders>
              <w:top w:val="single" w:sz="4" w:space="0" w:color="auto"/>
              <w:left w:val="single" w:sz="4" w:space="0" w:color="auto"/>
              <w:bottom w:val="single" w:sz="12" w:space="0" w:color="auto"/>
              <w:right w:val="single" w:sz="4" w:space="0" w:color="auto"/>
            </w:tcBorders>
            <w:vAlign w:val="center"/>
          </w:tcPr>
          <w:p w:rsidR="00762F11" w:rsidRPr="00E520D4" w:rsidRDefault="008520E7" w:rsidP="00C46739">
            <w:pPr>
              <w:ind w:rightChars="50" w:right="120"/>
              <w:jc w:val="right"/>
              <w:rPr>
                <w:color w:val="000000"/>
              </w:rPr>
            </w:pPr>
            <w:r w:rsidRPr="00E520D4">
              <w:rPr>
                <w:color w:val="000000"/>
              </w:rPr>
              <w:t>3.</w:t>
            </w:r>
            <w:r w:rsidR="00C46739">
              <w:rPr>
                <w:color w:val="000000"/>
              </w:rPr>
              <w:t>1</w:t>
            </w:r>
          </w:p>
        </w:tc>
        <w:tc>
          <w:tcPr>
            <w:tcW w:w="1200" w:type="dxa"/>
            <w:tcBorders>
              <w:top w:val="single" w:sz="4" w:space="0" w:color="auto"/>
              <w:left w:val="single" w:sz="4" w:space="0" w:color="auto"/>
              <w:bottom w:val="single" w:sz="12" w:space="0" w:color="auto"/>
              <w:right w:val="single" w:sz="4" w:space="0" w:color="auto"/>
            </w:tcBorders>
            <w:vAlign w:val="center"/>
          </w:tcPr>
          <w:p w:rsidR="00762F11" w:rsidRPr="00E520D4" w:rsidRDefault="006F5E7E" w:rsidP="00C46739">
            <w:pPr>
              <w:ind w:rightChars="50" w:right="120"/>
              <w:jc w:val="right"/>
              <w:rPr>
                <w:color w:val="000000"/>
              </w:rPr>
            </w:pPr>
            <w:r w:rsidRPr="00E520D4">
              <w:rPr>
                <w:color w:val="000000"/>
              </w:rPr>
              <w:t>6</w:t>
            </w:r>
            <w:r w:rsidR="00C46739">
              <w:rPr>
                <w:color w:val="000000"/>
              </w:rPr>
              <w:t>56</w:t>
            </w:r>
          </w:p>
        </w:tc>
        <w:tc>
          <w:tcPr>
            <w:tcW w:w="960" w:type="dxa"/>
            <w:tcBorders>
              <w:top w:val="single" w:sz="4" w:space="0" w:color="auto"/>
              <w:left w:val="single" w:sz="4" w:space="0" w:color="auto"/>
              <w:bottom w:val="single" w:sz="12" w:space="0" w:color="auto"/>
              <w:right w:val="single" w:sz="4" w:space="0" w:color="auto"/>
            </w:tcBorders>
            <w:vAlign w:val="center"/>
          </w:tcPr>
          <w:p w:rsidR="00762F11" w:rsidRPr="00E520D4" w:rsidRDefault="000438C0" w:rsidP="00096A41">
            <w:pPr>
              <w:ind w:rightChars="50" w:right="120"/>
              <w:jc w:val="right"/>
              <w:rPr>
                <w:color w:val="000000"/>
              </w:rPr>
            </w:pPr>
            <w:r w:rsidRPr="00E520D4">
              <w:rPr>
                <w:color w:val="000000"/>
              </w:rPr>
              <w:t>3.</w:t>
            </w:r>
            <w:r w:rsidR="00096A41">
              <w:rPr>
                <w:color w:val="000000"/>
              </w:rPr>
              <w:t>3</w:t>
            </w:r>
          </w:p>
        </w:tc>
        <w:tc>
          <w:tcPr>
            <w:tcW w:w="1080" w:type="dxa"/>
            <w:tcBorders>
              <w:top w:val="single" w:sz="4" w:space="0" w:color="auto"/>
              <w:left w:val="single" w:sz="4" w:space="0" w:color="auto"/>
              <w:bottom w:val="single" w:sz="12" w:space="0" w:color="auto"/>
              <w:right w:val="single" w:sz="4" w:space="0" w:color="auto"/>
            </w:tcBorders>
            <w:vAlign w:val="center"/>
          </w:tcPr>
          <w:p w:rsidR="00762F11" w:rsidRPr="00E520D4" w:rsidRDefault="00F85E30" w:rsidP="00096A41">
            <w:pPr>
              <w:ind w:rightChars="50" w:right="120"/>
              <w:jc w:val="right"/>
              <w:rPr>
                <w:color w:val="000000"/>
              </w:rPr>
            </w:pPr>
            <w:r w:rsidRPr="00E520D4">
              <w:rPr>
                <w:color w:val="000000"/>
              </w:rPr>
              <w:t>-</w:t>
            </w:r>
            <w:r w:rsidR="00096A41">
              <w:rPr>
                <w:color w:val="000000"/>
              </w:rPr>
              <w:t>63</w:t>
            </w:r>
          </w:p>
        </w:tc>
        <w:tc>
          <w:tcPr>
            <w:tcW w:w="840" w:type="dxa"/>
            <w:tcBorders>
              <w:top w:val="single" w:sz="4" w:space="0" w:color="auto"/>
              <w:left w:val="single" w:sz="4" w:space="0" w:color="auto"/>
              <w:bottom w:val="single" w:sz="12" w:space="0" w:color="auto"/>
              <w:right w:val="single" w:sz="12" w:space="0" w:color="auto"/>
            </w:tcBorders>
            <w:vAlign w:val="center"/>
          </w:tcPr>
          <w:p w:rsidR="00762F11" w:rsidRDefault="00EC3F71" w:rsidP="00201D59">
            <w:pPr>
              <w:ind w:rightChars="50" w:right="120"/>
              <w:jc w:val="right"/>
              <w:rPr>
                <w:color w:val="000000"/>
              </w:rPr>
            </w:pPr>
            <w:r w:rsidRPr="00E520D4">
              <w:rPr>
                <w:color w:val="000000"/>
              </w:rPr>
              <w:t>-</w:t>
            </w:r>
            <w:r w:rsidR="00201D59">
              <w:rPr>
                <w:color w:val="000000"/>
              </w:rPr>
              <w:t>9.7</w:t>
            </w:r>
          </w:p>
          <w:p w:rsidR="00201D59" w:rsidRPr="00E520D4" w:rsidRDefault="00201D59" w:rsidP="00201D59">
            <w:pPr>
              <w:ind w:rightChars="50" w:right="120"/>
              <w:jc w:val="right"/>
              <w:rPr>
                <w:color w:val="000000"/>
              </w:rPr>
            </w:pPr>
          </w:p>
        </w:tc>
      </w:tr>
    </w:tbl>
    <w:bookmarkEnd w:id="1"/>
    <w:p w:rsidR="005557DC" w:rsidRPr="00646DAD" w:rsidRDefault="003959C6" w:rsidP="00646DAD">
      <w:pPr>
        <w:pStyle w:val="5"/>
        <w:spacing w:line="220" w:lineRule="exact"/>
        <w:ind w:left="0" w:firstLineChars="50" w:firstLine="90"/>
        <w:rPr>
          <w:rFonts w:ascii="標楷體" w:eastAsia="標楷體" w:hAnsi="標楷體"/>
          <w:color w:val="000000"/>
          <w:sz w:val="18"/>
          <w:szCs w:val="18"/>
        </w:rPr>
      </w:pPr>
      <w:proofErr w:type="gramStart"/>
      <w:r w:rsidRPr="00646DAD">
        <w:rPr>
          <w:rFonts w:ascii="標楷體" w:eastAsia="標楷體" w:hAnsi="標楷體" w:hint="eastAsia"/>
          <w:color w:val="000000"/>
          <w:sz w:val="18"/>
          <w:szCs w:val="18"/>
        </w:rPr>
        <w:t>註</w:t>
      </w:r>
      <w:proofErr w:type="gramEnd"/>
      <w:r w:rsidRPr="00646DAD">
        <w:rPr>
          <w:rFonts w:ascii="標楷體" w:eastAsia="標楷體" w:hAnsi="標楷體" w:hint="eastAsia"/>
          <w:color w:val="000000"/>
          <w:sz w:val="18"/>
          <w:szCs w:val="18"/>
        </w:rPr>
        <w:t>：百分比欄位係以</w:t>
      </w:r>
      <w:proofErr w:type="gramStart"/>
      <w:r w:rsidRPr="00646DAD">
        <w:rPr>
          <w:rFonts w:ascii="標楷體" w:eastAsia="標楷體" w:hAnsi="標楷體" w:hint="eastAsia"/>
          <w:color w:val="000000"/>
          <w:sz w:val="18"/>
          <w:szCs w:val="18"/>
        </w:rPr>
        <w:t>採</w:t>
      </w:r>
      <w:proofErr w:type="gramEnd"/>
      <w:r w:rsidRPr="00646DAD">
        <w:rPr>
          <w:rFonts w:ascii="標楷體" w:eastAsia="標楷體" w:hAnsi="標楷體" w:hint="eastAsia"/>
          <w:color w:val="000000"/>
          <w:sz w:val="18"/>
          <w:szCs w:val="18"/>
        </w:rPr>
        <w:t>計至元為單位核算。</w:t>
      </w:r>
    </w:p>
    <w:p w:rsidR="005731DE" w:rsidRPr="005731DE" w:rsidRDefault="005731DE" w:rsidP="005731DE">
      <w:pPr>
        <w:numPr>
          <w:ilvl w:val="0"/>
          <w:numId w:val="36"/>
        </w:numPr>
        <w:spacing w:before="360" w:line="360" w:lineRule="auto"/>
        <w:jc w:val="both"/>
        <w:rPr>
          <w:rFonts w:ascii="標楷體" w:eastAsia="標楷體" w:hAnsi="標楷體"/>
          <w:color w:val="000000"/>
          <w:sz w:val="28"/>
        </w:rPr>
      </w:pPr>
      <w:r w:rsidRPr="005731DE">
        <w:rPr>
          <w:rFonts w:ascii="標楷體" w:eastAsia="標楷體" w:hAnsi="標楷體" w:hint="eastAsia"/>
          <w:color w:val="000000"/>
          <w:sz w:val="28"/>
        </w:rPr>
        <w:lastRenderedPageBreak/>
        <w:t>本年度歲入歲出差短及融資調度分析</w:t>
      </w:r>
    </w:p>
    <w:p w:rsidR="005731DE" w:rsidRPr="005731DE" w:rsidRDefault="008C04D1" w:rsidP="005731DE">
      <w:pPr>
        <w:spacing w:line="540" w:lineRule="exact"/>
        <w:ind w:leftChars="355" w:left="852" w:firstLineChars="200" w:firstLine="560"/>
        <w:jc w:val="both"/>
        <w:rPr>
          <w:rFonts w:ascii="標楷體" w:eastAsia="標楷體" w:hAnsi="標楷體"/>
          <w:color w:val="000000"/>
          <w:sz w:val="28"/>
        </w:rPr>
      </w:pPr>
      <w:r w:rsidRPr="008C04D1">
        <w:rPr>
          <w:rFonts w:ascii="標楷體" w:eastAsia="標楷體" w:hAnsi="標楷體" w:hint="eastAsia"/>
          <w:color w:val="000000"/>
          <w:sz w:val="28"/>
        </w:rPr>
        <w:t>本年度中央政府總預算歲入歲出差短1,325億元，連同債務還本740億元，合共須融資調度2,065億元，以舉借債務2,065億元予以彌平。執行結果，歲入歲出差短97億元，連同債務還本743億元，尚須融資調度840億元，以舉借債務840億元予以彌平。</w:t>
      </w:r>
    </w:p>
    <w:p w:rsidR="005731DE" w:rsidRPr="005731DE" w:rsidRDefault="005731DE" w:rsidP="005731DE">
      <w:pPr>
        <w:spacing w:beforeLines="100" w:before="240" w:line="440" w:lineRule="exact"/>
        <w:ind w:right="-62"/>
        <w:jc w:val="both"/>
        <w:rPr>
          <w:rFonts w:ascii="標楷體" w:eastAsia="標楷體"/>
          <w:bCs/>
          <w:color w:val="000000"/>
          <w:sz w:val="32"/>
        </w:rPr>
      </w:pPr>
      <w:r w:rsidRPr="005731DE">
        <w:rPr>
          <w:rFonts w:ascii="標楷體" w:eastAsia="標楷體"/>
          <w:bCs/>
          <w:color w:val="000000"/>
          <w:sz w:val="32"/>
        </w:rPr>
        <w:t xml:space="preserve">             </w:t>
      </w:r>
      <w:r w:rsidRPr="005731DE">
        <w:rPr>
          <w:rFonts w:ascii="標楷體" w:eastAsia="標楷體" w:hint="eastAsia"/>
          <w:bCs/>
          <w:color w:val="000000"/>
          <w:sz w:val="32"/>
        </w:rPr>
        <w:t xml:space="preserve">本年度中央政府總決算收支簡明表   </w:t>
      </w:r>
    </w:p>
    <w:p w:rsidR="005731DE" w:rsidRPr="005731DE" w:rsidRDefault="005731DE" w:rsidP="005731DE">
      <w:pPr>
        <w:spacing w:line="280" w:lineRule="exact"/>
        <w:jc w:val="right"/>
        <w:rPr>
          <w:rFonts w:ascii="標楷體" w:eastAsia="標楷體"/>
          <w:bCs/>
          <w:color w:val="000000"/>
          <w:sz w:val="28"/>
        </w:rPr>
      </w:pPr>
      <w:r w:rsidRPr="005731DE">
        <w:rPr>
          <w:rFonts w:ascii="標楷體" w:eastAsia="標楷體" w:hAnsi="標楷體" w:hint="eastAsia"/>
          <w:bCs/>
          <w:color w:val="000000"/>
        </w:rPr>
        <w:t>單位：新臺幣億元</w:t>
      </w:r>
    </w:p>
    <w:tbl>
      <w:tblPr>
        <w:tblW w:w="9360"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20"/>
        <w:gridCol w:w="1860"/>
        <w:gridCol w:w="1860"/>
        <w:gridCol w:w="1920"/>
      </w:tblGrid>
      <w:tr w:rsidR="005731DE" w:rsidRPr="005731DE" w:rsidTr="006569CE">
        <w:trPr>
          <w:cantSplit/>
          <w:trHeight w:val="624"/>
        </w:trPr>
        <w:tc>
          <w:tcPr>
            <w:tcW w:w="3720" w:type="dxa"/>
            <w:vAlign w:val="center"/>
          </w:tcPr>
          <w:p w:rsidR="005731DE" w:rsidRPr="005731DE" w:rsidRDefault="005731DE" w:rsidP="005731DE">
            <w:pPr>
              <w:snapToGrid w:val="0"/>
              <w:spacing w:line="0" w:lineRule="atLeast"/>
              <w:jc w:val="center"/>
              <w:rPr>
                <w:rFonts w:ascii="標楷體" w:eastAsia="標楷體" w:hAnsi="標楷體"/>
                <w:color w:val="000000"/>
                <w:sz w:val="28"/>
              </w:rPr>
            </w:pPr>
            <w:r w:rsidRPr="005731DE">
              <w:rPr>
                <w:rFonts w:ascii="標楷體" w:eastAsia="標楷體" w:hAnsi="標楷體" w:hint="eastAsia"/>
                <w:color w:val="000000"/>
                <w:sz w:val="28"/>
              </w:rPr>
              <w:t>項</w:t>
            </w:r>
            <w:r w:rsidRPr="005731DE">
              <w:rPr>
                <w:rFonts w:ascii="標楷體" w:eastAsia="標楷體" w:hAnsi="標楷體"/>
                <w:color w:val="000000"/>
                <w:sz w:val="28"/>
              </w:rPr>
              <w:t xml:space="preserve">           </w:t>
            </w:r>
            <w:r w:rsidRPr="005731DE">
              <w:rPr>
                <w:rFonts w:ascii="標楷體" w:eastAsia="標楷體" w:hAnsi="標楷體" w:hint="eastAsia"/>
                <w:color w:val="000000"/>
                <w:sz w:val="28"/>
              </w:rPr>
              <w:t>目</w:t>
            </w:r>
          </w:p>
        </w:tc>
        <w:tc>
          <w:tcPr>
            <w:tcW w:w="1860" w:type="dxa"/>
            <w:vAlign w:val="center"/>
          </w:tcPr>
          <w:p w:rsidR="005731DE" w:rsidRPr="005731DE" w:rsidRDefault="005731DE" w:rsidP="005731DE">
            <w:pPr>
              <w:snapToGrid w:val="0"/>
              <w:spacing w:line="0" w:lineRule="atLeast"/>
              <w:jc w:val="center"/>
              <w:rPr>
                <w:rFonts w:ascii="標楷體" w:eastAsia="標楷體" w:hAnsi="標楷體"/>
                <w:color w:val="000000"/>
                <w:sz w:val="28"/>
              </w:rPr>
            </w:pPr>
            <w:r w:rsidRPr="005731DE">
              <w:rPr>
                <w:rFonts w:ascii="標楷體" w:eastAsia="標楷體" w:hAnsi="標楷體" w:hint="eastAsia"/>
                <w:color w:val="000000"/>
                <w:sz w:val="28"/>
              </w:rPr>
              <w:t>決算數</w:t>
            </w:r>
            <w:r w:rsidRPr="005731DE">
              <w:rPr>
                <w:rFonts w:ascii="標楷體" w:eastAsia="標楷體" w:hAnsi="標楷體"/>
                <w:color w:val="000000"/>
                <w:sz w:val="28"/>
              </w:rPr>
              <w:br/>
            </w:r>
            <w:r w:rsidRPr="005731DE">
              <w:rPr>
                <w:rFonts w:eastAsia="標楷體"/>
                <w:color w:val="000000"/>
                <w:sz w:val="20"/>
                <w:szCs w:val="28"/>
              </w:rPr>
              <w:t>(A)</w:t>
            </w:r>
          </w:p>
        </w:tc>
        <w:tc>
          <w:tcPr>
            <w:tcW w:w="1860" w:type="dxa"/>
            <w:vAlign w:val="center"/>
          </w:tcPr>
          <w:p w:rsidR="005731DE" w:rsidRPr="005731DE" w:rsidRDefault="005731DE" w:rsidP="005731DE">
            <w:pPr>
              <w:snapToGrid w:val="0"/>
              <w:spacing w:line="0" w:lineRule="atLeast"/>
              <w:jc w:val="center"/>
              <w:rPr>
                <w:rFonts w:ascii="標楷體" w:eastAsia="標楷體" w:hAnsi="標楷體"/>
                <w:color w:val="000000"/>
                <w:sz w:val="28"/>
              </w:rPr>
            </w:pPr>
            <w:r w:rsidRPr="005731DE">
              <w:rPr>
                <w:rFonts w:ascii="標楷體" w:eastAsia="標楷體" w:hAnsi="標楷體" w:hint="eastAsia"/>
                <w:color w:val="000000"/>
                <w:sz w:val="28"/>
              </w:rPr>
              <w:t>預算數</w:t>
            </w:r>
          </w:p>
          <w:p w:rsidR="005731DE" w:rsidRPr="005731DE" w:rsidRDefault="005731DE" w:rsidP="005731DE">
            <w:pPr>
              <w:snapToGrid w:val="0"/>
              <w:spacing w:line="0" w:lineRule="atLeast"/>
              <w:jc w:val="center"/>
              <w:rPr>
                <w:rFonts w:ascii="標楷體" w:eastAsia="標楷體" w:hAnsi="標楷體"/>
                <w:color w:val="000000"/>
                <w:sz w:val="28"/>
              </w:rPr>
            </w:pPr>
            <w:r w:rsidRPr="005731DE">
              <w:rPr>
                <w:rFonts w:eastAsia="標楷體"/>
                <w:color w:val="000000"/>
                <w:sz w:val="20"/>
                <w:szCs w:val="28"/>
              </w:rPr>
              <w:t>(B)</w:t>
            </w:r>
          </w:p>
        </w:tc>
        <w:tc>
          <w:tcPr>
            <w:tcW w:w="1920" w:type="dxa"/>
            <w:vAlign w:val="center"/>
          </w:tcPr>
          <w:p w:rsidR="005731DE" w:rsidRPr="005731DE" w:rsidRDefault="005731DE" w:rsidP="005731DE">
            <w:pPr>
              <w:snapToGrid w:val="0"/>
              <w:spacing w:line="0" w:lineRule="atLeast"/>
              <w:jc w:val="center"/>
              <w:rPr>
                <w:rFonts w:ascii="標楷體" w:eastAsia="標楷體" w:hAnsi="標楷體"/>
                <w:color w:val="000000"/>
                <w:sz w:val="28"/>
              </w:rPr>
            </w:pPr>
            <w:r w:rsidRPr="005731DE">
              <w:rPr>
                <w:rFonts w:ascii="標楷體" w:eastAsia="標楷體" w:hAnsi="標楷體" w:hint="eastAsia"/>
                <w:color w:val="000000"/>
                <w:sz w:val="28"/>
              </w:rPr>
              <w:t>比較增減數</w:t>
            </w:r>
          </w:p>
          <w:p w:rsidR="005731DE" w:rsidRPr="005731DE" w:rsidRDefault="005731DE" w:rsidP="005731DE">
            <w:pPr>
              <w:snapToGrid w:val="0"/>
              <w:spacing w:line="0" w:lineRule="atLeast"/>
              <w:jc w:val="center"/>
              <w:rPr>
                <w:rFonts w:ascii="標楷體" w:eastAsia="標楷體" w:hAnsi="標楷體"/>
                <w:color w:val="000000"/>
                <w:sz w:val="28"/>
              </w:rPr>
            </w:pPr>
            <w:r w:rsidRPr="005731DE">
              <w:rPr>
                <w:rFonts w:eastAsia="標楷體"/>
                <w:color w:val="000000"/>
                <w:sz w:val="20"/>
                <w:szCs w:val="28"/>
              </w:rPr>
              <w:t>(A-B)</w:t>
            </w:r>
          </w:p>
        </w:tc>
      </w:tr>
      <w:tr w:rsidR="008C04D1" w:rsidRPr="005731DE" w:rsidTr="006569CE">
        <w:trPr>
          <w:cantSplit/>
          <w:trHeight w:hRule="exact" w:val="567"/>
        </w:trPr>
        <w:tc>
          <w:tcPr>
            <w:tcW w:w="3720" w:type="dxa"/>
            <w:vAlign w:val="center"/>
          </w:tcPr>
          <w:p w:rsidR="008C04D1" w:rsidRPr="005731DE" w:rsidRDefault="008C04D1" w:rsidP="008C04D1">
            <w:pPr>
              <w:snapToGrid w:val="0"/>
              <w:spacing w:line="0" w:lineRule="atLeast"/>
              <w:jc w:val="both"/>
              <w:rPr>
                <w:rFonts w:eastAsia="標楷體"/>
                <w:color w:val="000000"/>
                <w:sz w:val="28"/>
              </w:rPr>
            </w:pPr>
            <w:r w:rsidRPr="005731DE">
              <w:rPr>
                <w:rFonts w:eastAsia="標楷體"/>
                <w:color w:val="000000"/>
                <w:sz w:val="28"/>
              </w:rPr>
              <w:t>1.</w:t>
            </w:r>
            <w:r w:rsidRPr="005731DE">
              <w:rPr>
                <w:rFonts w:eastAsia="標楷體" w:hAnsi="標楷體" w:hint="eastAsia"/>
                <w:color w:val="000000"/>
                <w:sz w:val="28"/>
              </w:rPr>
              <w:t>歲入</w:t>
            </w:r>
          </w:p>
        </w:tc>
        <w:tc>
          <w:tcPr>
            <w:tcW w:w="1860" w:type="dxa"/>
            <w:vAlign w:val="center"/>
          </w:tcPr>
          <w:p w:rsidR="008C04D1" w:rsidRPr="008C04D1" w:rsidRDefault="008C04D1" w:rsidP="008C04D1">
            <w:pPr>
              <w:snapToGrid w:val="0"/>
              <w:spacing w:line="0" w:lineRule="atLeast"/>
              <w:ind w:right="454"/>
              <w:jc w:val="right"/>
              <w:rPr>
                <w:rFonts w:eastAsia="標楷體"/>
                <w:sz w:val="28"/>
              </w:rPr>
            </w:pPr>
            <w:r w:rsidRPr="008C04D1">
              <w:rPr>
                <w:rFonts w:eastAsia="標楷體"/>
                <w:sz w:val="28"/>
              </w:rPr>
              <w:t>19,21</w:t>
            </w:r>
            <w:r w:rsidRPr="008C04D1">
              <w:rPr>
                <w:rFonts w:eastAsia="標楷體" w:hint="eastAsia"/>
                <w:sz w:val="28"/>
              </w:rPr>
              <w:t>3</w:t>
            </w:r>
          </w:p>
        </w:tc>
        <w:tc>
          <w:tcPr>
            <w:tcW w:w="1860" w:type="dxa"/>
            <w:vAlign w:val="center"/>
          </w:tcPr>
          <w:p w:rsidR="008C04D1" w:rsidRPr="008C04D1" w:rsidRDefault="008C04D1" w:rsidP="008C04D1">
            <w:pPr>
              <w:snapToGrid w:val="0"/>
              <w:spacing w:line="0" w:lineRule="atLeast"/>
              <w:ind w:right="454"/>
              <w:jc w:val="right"/>
              <w:rPr>
                <w:rFonts w:eastAsia="標楷體"/>
                <w:sz w:val="28"/>
              </w:rPr>
            </w:pPr>
            <w:r w:rsidRPr="008C04D1">
              <w:rPr>
                <w:rFonts w:eastAsia="標楷體"/>
                <w:sz w:val="28"/>
              </w:rPr>
              <w:t>18,415</w:t>
            </w:r>
          </w:p>
        </w:tc>
        <w:tc>
          <w:tcPr>
            <w:tcW w:w="1920" w:type="dxa"/>
            <w:vAlign w:val="center"/>
          </w:tcPr>
          <w:p w:rsidR="008C04D1" w:rsidRPr="008C04D1" w:rsidRDefault="008C04D1" w:rsidP="008C04D1">
            <w:pPr>
              <w:snapToGrid w:val="0"/>
              <w:spacing w:line="0" w:lineRule="atLeast"/>
              <w:ind w:rightChars="188" w:right="451"/>
              <w:jc w:val="right"/>
              <w:rPr>
                <w:rFonts w:eastAsia="標楷體"/>
                <w:sz w:val="28"/>
              </w:rPr>
            </w:pPr>
            <w:r w:rsidRPr="008C04D1">
              <w:rPr>
                <w:rFonts w:eastAsia="標楷體"/>
                <w:sz w:val="28"/>
              </w:rPr>
              <w:t>79</w:t>
            </w:r>
            <w:r w:rsidRPr="008C04D1">
              <w:rPr>
                <w:rFonts w:eastAsia="標楷體" w:hint="eastAsia"/>
                <w:sz w:val="28"/>
              </w:rPr>
              <w:t>8</w:t>
            </w:r>
          </w:p>
        </w:tc>
      </w:tr>
      <w:tr w:rsidR="008C04D1" w:rsidRPr="005731DE" w:rsidTr="006569CE">
        <w:trPr>
          <w:cantSplit/>
          <w:trHeight w:hRule="exact" w:val="567"/>
        </w:trPr>
        <w:tc>
          <w:tcPr>
            <w:tcW w:w="3720" w:type="dxa"/>
            <w:vAlign w:val="center"/>
          </w:tcPr>
          <w:p w:rsidR="008C04D1" w:rsidRPr="005731DE" w:rsidRDefault="008C04D1" w:rsidP="008C04D1">
            <w:pPr>
              <w:snapToGrid w:val="0"/>
              <w:spacing w:line="0" w:lineRule="atLeast"/>
              <w:jc w:val="both"/>
              <w:rPr>
                <w:rFonts w:eastAsia="標楷體"/>
                <w:color w:val="000000"/>
                <w:sz w:val="28"/>
              </w:rPr>
            </w:pPr>
            <w:r w:rsidRPr="005731DE">
              <w:rPr>
                <w:rFonts w:eastAsia="標楷體"/>
                <w:color w:val="000000"/>
                <w:sz w:val="28"/>
              </w:rPr>
              <w:t>2.</w:t>
            </w:r>
            <w:r w:rsidRPr="005731DE">
              <w:rPr>
                <w:rFonts w:eastAsia="標楷體" w:hAnsi="標楷體" w:hint="eastAsia"/>
                <w:color w:val="000000"/>
                <w:sz w:val="28"/>
              </w:rPr>
              <w:t>歲出</w:t>
            </w:r>
          </w:p>
        </w:tc>
        <w:tc>
          <w:tcPr>
            <w:tcW w:w="1860" w:type="dxa"/>
            <w:vAlign w:val="center"/>
          </w:tcPr>
          <w:p w:rsidR="008C04D1" w:rsidRPr="008C04D1" w:rsidRDefault="008C04D1" w:rsidP="008C04D1">
            <w:pPr>
              <w:snapToGrid w:val="0"/>
              <w:spacing w:line="0" w:lineRule="atLeast"/>
              <w:ind w:right="454"/>
              <w:jc w:val="right"/>
              <w:rPr>
                <w:rFonts w:eastAsia="標楷體"/>
                <w:sz w:val="28"/>
              </w:rPr>
            </w:pPr>
            <w:r w:rsidRPr="008C04D1">
              <w:rPr>
                <w:rFonts w:eastAsia="標楷體"/>
                <w:sz w:val="28"/>
              </w:rPr>
              <w:t>19,310</w:t>
            </w:r>
          </w:p>
        </w:tc>
        <w:tc>
          <w:tcPr>
            <w:tcW w:w="1860" w:type="dxa"/>
            <w:vAlign w:val="center"/>
          </w:tcPr>
          <w:p w:rsidR="008C04D1" w:rsidRPr="008C04D1" w:rsidRDefault="008C04D1" w:rsidP="008C04D1">
            <w:pPr>
              <w:snapToGrid w:val="0"/>
              <w:spacing w:line="0" w:lineRule="atLeast"/>
              <w:ind w:right="454"/>
              <w:jc w:val="right"/>
              <w:rPr>
                <w:rFonts w:eastAsia="標楷體"/>
                <w:sz w:val="28"/>
              </w:rPr>
            </w:pPr>
            <w:r w:rsidRPr="008C04D1">
              <w:rPr>
                <w:rFonts w:eastAsia="標楷體"/>
                <w:sz w:val="28"/>
              </w:rPr>
              <w:t>19,740</w:t>
            </w:r>
          </w:p>
        </w:tc>
        <w:tc>
          <w:tcPr>
            <w:tcW w:w="1920" w:type="dxa"/>
            <w:vAlign w:val="center"/>
          </w:tcPr>
          <w:p w:rsidR="008C04D1" w:rsidRPr="008C04D1" w:rsidRDefault="008C04D1" w:rsidP="008C04D1">
            <w:pPr>
              <w:snapToGrid w:val="0"/>
              <w:spacing w:line="0" w:lineRule="atLeast"/>
              <w:ind w:rightChars="188" w:right="451"/>
              <w:jc w:val="right"/>
              <w:rPr>
                <w:rFonts w:eastAsia="標楷體"/>
                <w:sz w:val="28"/>
              </w:rPr>
            </w:pPr>
            <w:r w:rsidRPr="008C04D1">
              <w:rPr>
                <w:rFonts w:eastAsia="標楷體"/>
                <w:sz w:val="28"/>
              </w:rPr>
              <w:t>-430</w:t>
            </w:r>
          </w:p>
        </w:tc>
      </w:tr>
      <w:tr w:rsidR="008C04D1" w:rsidRPr="005731DE" w:rsidTr="006569CE">
        <w:trPr>
          <w:cantSplit/>
          <w:trHeight w:hRule="exact" w:val="567"/>
        </w:trPr>
        <w:tc>
          <w:tcPr>
            <w:tcW w:w="3720" w:type="dxa"/>
            <w:vAlign w:val="center"/>
          </w:tcPr>
          <w:p w:rsidR="008C04D1" w:rsidRPr="005731DE" w:rsidRDefault="008C04D1" w:rsidP="008C04D1">
            <w:pPr>
              <w:snapToGrid w:val="0"/>
              <w:spacing w:line="0" w:lineRule="atLeast"/>
              <w:jc w:val="both"/>
              <w:rPr>
                <w:rFonts w:eastAsia="標楷體"/>
                <w:color w:val="000000"/>
                <w:sz w:val="28"/>
              </w:rPr>
            </w:pPr>
            <w:r w:rsidRPr="005731DE">
              <w:rPr>
                <w:rFonts w:eastAsia="標楷體"/>
                <w:color w:val="000000"/>
                <w:sz w:val="28"/>
              </w:rPr>
              <w:t>3.</w:t>
            </w:r>
            <w:r w:rsidRPr="005731DE">
              <w:rPr>
                <w:rFonts w:eastAsia="標楷體" w:hAnsi="標楷體" w:hint="eastAsia"/>
                <w:color w:val="000000"/>
                <w:sz w:val="28"/>
              </w:rPr>
              <w:t>歲入歲出差短</w:t>
            </w:r>
          </w:p>
        </w:tc>
        <w:tc>
          <w:tcPr>
            <w:tcW w:w="1860" w:type="dxa"/>
            <w:vAlign w:val="center"/>
          </w:tcPr>
          <w:p w:rsidR="008C04D1" w:rsidRPr="008C04D1" w:rsidRDefault="008C04D1" w:rsidP="008C04D1">
            <w:pPr>
              <w:snapToGrid w:val="0"/>
              <w:spacing w:line="0" w:lineRule="atLeast"/>
              <w:ind w:right="454"/>
              <w:jc w:val="right"/>
              <w:rPr>
                <w:rFonts w:eastAsia="標楷體"/>
                <w:sz w:val="28"/>
              </w:rPr>
            </w:pPr>
            <w:r w:rsidRPr="008C04D1">
              <w:rPr>
                <w:rFonts w:eastAsia="標楷體"/>
                <w:sz w:val="28"/>
              </w:rPr>
              <w:t>9</w:t>
            </w:r>
            <w:r w:rsidRPr="008C04D1">
              <w:rPr>
                <w:rFonts w:eastAsia="標楷體" w:hint="eastAsia"/>
                <w:sz w:val="28"/>
              </w:rPr>
              <w:t>7</w:t>
            </w:r>
          </w:p>
        </w:tc>
        <w:tc>
          <w:tcPr>
            <w:tcW w:w="1860" w:type="dxa"/>
            <w:vAlign w:val="center"/>
          </w:tcPr>
          <w:p w:rsidR="008C04D1" w:rsidRPr="008C04D1" w:rsidRDefault="008C04D1" w:rsidP="008C04D1">
            <w:pPr>
              <w:snapToGrid w:val="0"/>
              <w:spacing w:line="0" w:lineRule="atLeast"/>
              <w:ind w:right="454"/>
              <w:jc w:val="right"/>
              <w:rPr>
                <w:rFonts w:eastAsia="標楷體"/>
                <w:sz w:val="28"/>
              </w:rPr>
            </w:pPr>
            <w:r w:rsidRPr="008C04D1">
              <w:rPr>
                <w:rFonts w:eastAsia="標楷體"/>
                <w:sz w:val="28"/>
              </w:rPr>
              <w:t>1,325</w:t>
            </w:r>
          </w:p>
        </w:tc>
        <w:tc>
          <w:tcPr>
            <w:tcW w:w="1920" w:type="dxa"/>
            <w:vAlign w:val="center"/>
          </w:tcPr>
          <w:p w:rsidR="008C04D1" w:rsidRPr="008C04D1" w:rsidRDefault="008C04D1" w:rsidP="008C04D1">
            <w:pPr>
              <w:snapToGrid w:val="0"/>
              <w:spacing w:line="0" w:lineRule="atLeast"/>
              <w:ind w:rightChars="188" w:right="451"/>
              <w:jc w:val="right"/>
              <w:rPr>
                <w:rFonts w:eastAsia="標楷體"/>
                <w:sz w:val="28"/>
              </w:rPr>
            </w:pPr>
            <w:r w:rsidRPr="008C04D1">
              <w:rPr>
                <w:rFonts w:eastAsia="標楷體" w:hint="eastAsia"/>
                <w:sz w:val="28"/>
              </w:rPr>
              <w:t>-</w:t>
            </w:r>
            <w:r w:rsidRPr="008C04D1">
              <w:rPr>
                <w:rFonts w:eastAsia="標楷體"/>
                <w:sz w:val="28"/>
              </w:rPr>
              <w:t>1,22</w:t>
            </w:r>
            <w:r w:rsidRPr="008C04D1">
              <w:rPr>
                <w:rFonts w:eastAsia="標楷體" w:hint="eastAsia"/>
                <w:sz w:val="28"/>
              </w:rPr>
              <w:t>8</w:t>
            </w:r>
          </w:p>
        </w:tc>
      </w:tr>
      <w:tr w:rsidR="008C04D1" w:rsidRPr="005731DE" w:rsidTr="006569CE">
        <w:trPr>
          <w:cantSplit/>
          <w:trHeight w:hRule="exact" w:val="567"/>
        </w:trPr>
        <w:tc>
          <w:tcPr>
            <w:tcW w:w="3720" w:type="dxa"/>
            <w:vAlign w:val="center"/>
          </w:tcPr>
          <w:p w:rsidR="008C04D1" w:rsidRPr="005731DE" w:rsidRDefault="008C04D1" w:rsidP="008C04D1">
            <w:pPr>
              <w:snapToGrid w:val="0"/>
              <w:spacing w:line="0" w:lineRule="atLeast"/>
              <w:jc w:val="both"/>
              <w:rPr>
                <w:rFonts w:eastAsia="標楷體"/>
                <w:color w:val="000000"/>
                <w:sz w:val="28"/>
              </w:rPr>
            </w:pPr>
            <w:r w:rsidRPr="005731DE">
              <w:rPr>
                <w:rFonts w:eastAsia="標楷體"/>
                <w:color w:val="000000"/>
                <w:sz w:val="28"/>
              </w:rPr>
              <w:t>4.</w:t>
            </w:r>
            <w:r w:rsidRPr="005731DE">
              <w:rPr>
                <w:rFonts w:eastAsia="標楷體" w:hAnsi="標楷體" w:hint="eastAsia"/>
                <w:color w:val="000000"/>
                <w:sz w:val="28"/>
              </w:rPr>
              <w:t>債務之償還</w:t>
            </w:r>
          </w:p>
        </w:tc>
        <w:tc>
          <w:tcPr>
            <w:tcW w:w="1860" w:type="dxa"/>
            <w:vAlign w:val="center"/>
          </w:tcPr>
          <w:p w:rsidR="008C04D1" w:rsidRPr="008C04D1" w:rsidRDefault="008C04D1" w:rsidP="008C04D1">
            <w:pPr>
              <w:snapToGrid w:val="0"/>
              <w:spacing w:line="0" w:lineRule="atLeast"/>
              <w:ind w:right="454"/>
              <w:jc w:val="right"/>
              <w:rPr>
                <w:rFonts w:eastAsia="標楷體"/>
                <w:sz w:val="28"/>
              </w:rPr>
            </w:pPr>
            <w:r w:rsidRPr="008C04D1">
              <w:rPr>
                <w:rFonts w:eastAsia="標楷體"/>
                <w:sz w:val="28"/>
              </w:rPr>
              <w:t>743</w:t>
            </w:r>
          </w:p>
        </w:tc>
        <w:tc>
          <w:tcPr>
            <w:tcW w:w="1860" w:type="dxa"/>
            <w:vAlign w:val="center"/>
          </w:tcPr>
          <w:p w:rsidR="008C04D1" w:rsidRPr="008C04D1" w:rsidRDefault="008C04D1" w:rsidP="008C04D1">
            <w:pPr>
              <w:snapToGrid w:val="0"/>
              <w:spacing w:line="0" w:lineRule="atLeast"/>
              <w:ind w:right="454"/>
              <w:jc w:val="right"/>
              <w:rPr>
                <w:rFonts w:eastAsia="標楷體"/>
                <w:sz w:val="28"/>
              </w:rPr>
            </w:pPr>
            <w:r w:rsidRPr="008C04D1">
              <w:rPr>
                <w:rFonts w:eastAsia="標楷體"/>
                <w:sz w:val="28"/>
              </w:rPr>
              <w:t>740</w:t>
            </w:r>
          </w:p>
        </w:tc>
        <w:tc>
          <w:tcPr>
            <w:tcW w:w="1920" w:type="dxa"/>
            <w:vAlign w:val="center"/>
          </w:tcPr>
          <w:p w:rsidR="008C04D1" w:rsidRPr="008C04D1" w:rsidRDefault="008C04D1" w:rsidP="008C04D1">
            <w:pPr>
              <w:snapToGrid w:val="0"/>
              <w:spacing w:line="0" w:lineRule="atLeast"/>
              <w:ind w:rightChars="188" w:right="451"/>
              <w:jc w:val="right"/>
              <w:rPr>
                <w:rFonts w:eastAsia="標楷體"/>
                <w:sz w:val="28"/>
              </w:rPr>
            </w:pPr>
            <w:r w:rsidRPr="008C04D1">
              <w:rPr>
                <w:rFonts w:eastAsia="標楷體"/>
                <w:sz w:val="28"/>
              </w:rPr>
              <w:t>3</w:t>
            </w:r>
          </w:p>
        </w:tc>
      </w:tr>
      <w:tr w:rsidR="008C04D1" w:rsidRPr="005731DE" w:rsidTr="006569CE">
        <w:trPr>
          <w:cantSplit/>
          <w:trHeight w:hRule="exact" w:val="567"/>
        </w:trPr>
        <w:tc>
          <w:tcPr>
            <w:tcW w:w="3720" w:type="dxa"/>
            <w:vAlign w:val="center"/>
          </w:tcPr>
          <w:p w:rsidR="008C04D1" w:rsidRPr="005731DE" w:rsidRDefault="008C04D1" w:rsidP="008C04D1">
            <w:pPr>
              <w:snapToGrid w:val="0"/>
              <w:spacing w:line="0" w:lineRule="atLeast"/>
              <w:jc w:val="both"/>
              <w:rPr>
                <w:rFonts w:eastAsia="標楷體"/>
                <w:color w:val="000000"/>
                <w:sz w:val="28"/>
              </w:rPr>
            </w:pPr>
            <w:r w:rsidRPr="005731DE">
              <w:rPr>
                <w:rFonts w:eastAsia="標楷體"/>
                <w:color w:val="000000"/>
                <w:sz w:val="28"/>
              </w:rPr>
              <w:t>5.</w:t>
            </w:r>
            <w:r w:rsidRPr="005731DE">
              <w:rPr>
                <w:rFonts w:eastAsia="標楷體" w:hAnsi="標楷體" w:hint="eastAsia"/>
                <w:color w:val="000000"/>
                <w:sz w:val="28"/>
              </w:rPr>
              <w:t>融資調度需求數</w:t>
            </w:r>
            <w:r w:rsidRPr="005731DE">
              <w:rPr>
                <w:rFonts w:eastAsia="標楷體"/>
                <w:color w:val="000000"/>
                <w:sz w:val="22"/>
              </w:rPr>
              <w:t>(4+3)</w:t>
            </w:r>
          </w:p>
        </w:tc>
        <w:tc>
          <w:tcPr>
            <w:tcW w:w="1860" w:type="dxa"/>
            <w:vAlign w:val="center"/>
          </w:tcPr>
          <w:p w:rsidR="008C04D1" w:rsidRPr="008C04D1" w:rsidRDefault="008C04D1" w:rsidP="008C04D1">
            <w:pPr>
              <w:snapToGrid w:val="0"/>
              <w:spacing w:line="0" w:lineRule="atLeast"/>
              <w:ind w:right="454"/>
              <w:jc w:val="right"/>
              <w:rPr>
                <w:rFonts w:eastAsia="標楷體"/>
                <w:sz w:val="28"/>
              </w:rPr>
            </w:pPr>
            <w:r w:rsidRPr="008C04D1">
              <w:rPr>
                <w:rFonts w:eastAsia="標楷體"/>
                <w:sz w:val="28"/>
              </w:rPr>
              <w:t>84</w:t>
            </w:r>
            <w:r w:rsidRPr="008C04D1">
              <w:rPr>
                <w:rFonts w:eastAsia="標楷體" w:hint="eastAsia"/>
                <w:sz w:val="28"/>
              </w:rPr>
              <w:t>0</w:t>
            </w:r>
          </w:p>
        </w:tc>
        <w:tc>
          <w:tcPr>
            <w:tcW w:w="1860" w:type="dxa"/>
            <w:vAlign w:val="center"/>
          </w:tcPr>
          <w:p w:rsidR="008C04D1" w:rsidRPr="008C04D1" w:rsidRDefault="008C04D1" w:rsidP="008C04D1">
            <w:pPr>
              <w:snapToGrid w:val="0"/>
              <w:spacing w:line="0" w:lineRule="atLeast"/>
              <w:ind w:right="454"/>
              <w:jc w:val="right"/>
              <w:rPr>
                <w:rFonts w:eastAsia="標楷體"/>
                <w:sz w:val="28"/>
              </w:rPr>
            </w:pPr>
            <w:r w:rsidRPr="008C04D1">
              <w:rPr>
                <w:rFonts w:eastAsia="標楷體"/>
                <w:sz w:val="28"/>
              </w:rPr>
              <w:t>2,065</w:t>
            </w:r>
          </w:p>
        </w:tc>
        <w:tc>
          <w:tcPr>
            <w:tcW w:w="1920" w:type="dxa"/>
            <w:vAlign w:val="center"/>
          </w:tcPr>
          <w:p w:rsidR="008C04D1" w:rsidRPr="008C04D1" w:rsidRDefault="008C04D1" w:rsidP="008C04D1">
            <w:pPr>
              <w:snapToGrid w:val="0"/>
              <w:spacing w:line="0" w:lineRule="atLeast"/>
              <w:ind w:rightChars="188" w:right="451"/>
              <w:jc w:val="right"/>
              <w:rPr>
                <w:rFonts w:eastAsia="標楷體"/>
                <w:sz w:val="28"/>
              </w:rPr>
            </w:pPr>
            <w:r w:rsidRPr="008C04D1">
              <w:rPr>
                <w:rFonts w:eastAsia="標楷體"/>
                <w:sz w:val="28"/>
              </w:rPr>
              <w:t>-1,22</w:t>
            </w:r>
            <w:r w:rsidRPr="008C04D1">
              <w:rPr>
                <w:rFonts w:eastAsia="標楷體" w:hint="eastAsia"/>
                <w:sz w:val="28"/>
              </w:rPr>
              <w:t>5</w:t>
            </w:r>
          </w:p>
        </w:tc>
      </w:tr>
      <w:tr w:rsidR="008C04D1" w:rsidRPr="005731DE" w:rsidTr="006569CE">
        <w:trPr>
          <w:cantSplit/>
          <w:trHeight w:hRule="exact" w:val="567"/>
        </w:trPr>
        <w:tc>
          <w:tcPr>
            <w:tcW w:w="3720" w:type="dxa"/>
            <w:vAlign w:val="center"/>
          </w:tcPr>
          <w:p w:rsidR="008C04D1" w:rsidRPr="005731DE" w:rsidRDefault="008C04D1" w:rsidP="008C04D1">
            <w:pPr>
              <w:snapToGrid w:val="0"/>
              <w:spacing w:line="0" w:lineRule="atLeast"/>
              <w:jc w:val="both"/>
              <w:rPr>
                <w:rFonts w:eastAsia="標楷體"/>
                <w:color w:val="000000"/>
                <w:sz w:val="28"/>
              </w:rPr>
            </w:pPr>
            <w:r w:rsidRPr="005731DE">
              <w:rPr>
                <w:rFonts w:eastAsia="標楷體"/>
                <w:color w:val="000000"/>
                <w:sz w:val="28"/>
              </w:rPr>
              <w:t>6.</w:t>
            </w:r>
            <w:r w:rsidRPr="005731DE">
              <w:rPr>
                <w:rFonts w:eastAsia="標楷體" w:hAnsi="標楷體" w:hint="eastAsia"/>
                <w:color w:val="000000"/>
                <w:sz w:val="28"/>
              </w:rPr>
              <w:t>融資調度財源</w:t>
            </w:r>
          </w:p>
        </w:tc>
        <w:tc>
          <w:tcPr>
            <w:tcW w:w="1860" w:type="dxa"/>
            <w:vAlign w:val="center"/>
          </w:tcPr>
          <w:p w:rsidR="008C04D1" w:rsidRPr="008C04D1" w:rsidRDefault="008C04D1" w:rsidP="008C04D1">
            <w:pPr>
              <w:snapToGrid w:val="0"/>
              <w:spacing w:line="0" w:lineRule="atLeast"/>
              <w:ind w:right="454"/>
              <w:jc w:val="right"/>
              <w:rPr>
                <w:rFonts w:eastAsia="標楷體"/>
                <w:sz w:val="28"/>
              </w:rPr>
            </w:pPr>
            <w:r w:rsidRPr="008C04D1">
              <w:rPr>
                <w:rFonts w:eastAsia="標楷體"/>
                <w:sz w:val="28"/>
              </w:rPr>
              <w:t>84</w:t>
            </w:r>
            <w:r w:rsidRPr="008C04D1">
              <w:rPr>
                <w:rFonts w:eastAsia="標楷體" w:hint="eastAsia"/>
                <w:sz w:val="28"/>
              </w:rPr>
              <w:t>0</w:t>
            </w:r>
          </w:p>
        </w:tc>
        <w:tc>
          <w:tcPr>
            <w:tcW w:w="1860" w:type="dxa"/>
            <w:vAlign w:val="center"/>
          </w:tcPr>
          <w:p w:rsidR="008C04D1" w:rsidRPr="008C04D1" w:rsidRDefault="008C04D1" w:rsidP="008C04D1">
            <w:pPr>
              <w:snapToGrid w:val="0"/>
              <w:spacing w:line="0" w:lineRule="atLeast"/>
              <w:ind w:right="454"/>
              <w:jc w:val="right"/>
              <w:rPr>
                <w:rFonts w:eastAsia="標楷體"/>
                <w:sz w:val="28"/>
              </w:rPr>
            </w:pPr>
            <w:r w:rsidRPr="008C04D1">
              <w:rPr>
                <w:rFonts w:eastAsia="標楷體"/>
                <w:sz w:val="28"/>
              </w:rPr>
              <w:t>2,065</w:t>
            </w:r>
          </w:p>
        </w:tc>
        <w:tc>
          <w:tcPr>
            <w:tcW w:w="1920" w:type="dxa"/>
            <w:vAlign w:val="center"/>
          </w:tcPr>
          <w:p w:rsidR="008C04D1" w:rsidRPr="008C04D1" w:rsidRDefault="008C04D1" w:rsidP="008C04D1">
            <w:pPr>
              <w:snapToGrid w:val="0"/>
              <w:spacing w:line="0" w:lineRule="atLeast"/>
              <w:ind w:rightChars="188" w:right="451"/>
              <w:jc w:val="right"/>
              <w:rPr>
                <w:rFonts w:eastAsia="標楷體"/>
                <w:sz w:val="28"/>
              </w:rPr>
            </w:pPr>
            <w:r w:rsidRPr="008C04D1">
              <w:rPr>
                <w:rFonts w:eastAsia="標楷體"/>
                <w:sz w:val="28"/>
              </w:rPr>
              <w:t>-1,22</w:t>
            </w:r>
            <w:r w:rsidRPr="008C04D1">
              <w:rPr>
                <w:rFonts w:eastAsia="標楷體" w:hint="eastAsia"/>
                <w:sz w:val="28"/>
              </w:rPr>
              <w:t>5</w:t>
            </w:r>
          </w:p>
        </w:tc>
      </w:tr>
      <w:tr w:rsidR="008C04D1" w:rsidRPr="005731DE" w:rsidTr="006569CE">
        <w:trPr>
          <w:cantSplit/>
          <w:trHeight w:hRule="exact" w:val="567"/>
        </w:trPr>
        <w:tc>
          <w:tcPr>
            <w:tcW w:w="3720" w:type="dxa"/>
            <w:vAlign w:val="center"/>
          </w:tcPr>
          <w:p w:rsidR="008C04D1" w:rsidRPr="005731DE" w:rsidRDefault="008C04D1" w:rsidP="009251E0">
            <w:pPr>
              <w:snapToGrid w:val="0"/>
              <w:spacing w:line="0" w:lineRule="atLeast"/>
              <w:ind w:firstLineChars="179" w:firstLine="501"/>
              <w:jc w:val="both"/>
              <w:rPr>
                <w:rFonts w:eastAsia="標楷體"/>
                <w:color w:val="000000"/>
                <w:sz w:val="28"/>
              </w:rPr>
            </w:pPr>
            <w:r w:rsidRPr="005731DE">
              <w:rPr>
                <w:rFonts w:eastAsia="標楷體" w:hAnsi="標楷體" w:hint="eastAsia"/>
                <w:color w:val="000000"/>
                <w:sz w:val="28"/>
              </w:rPr>
              <w:t>債務之舉借</w:t>
            </w:r>
          </w:p>
        </w:tc>
        <w:tc>
          <w:tcPr>
            <w:tcW w:w="1860" w:type="dxa"/>
            <w:vAlign w:val="center"/>
          </w:tcPr>
          <w:p w:rsidR="008C04D1" w:rsidRPr="008C04D1" w:rsidRDefault="008C04D1" w:rsidP="008C04D1">
            <w:pPr>
              <w:snapToGrid w:val="0"/>
              <w:spacing w:line="0" w:lineRule="atLeast"/>
              <w:ind w:right="454"/>
              <w:jc w:val="right"/>
              <w:rPr>
                <w:rFonts w:eastAsia="標楷體"/>
                <w:sz w:val="28"/>
              </w:rPr>
            </w:pPr>
            <w:r w:rsidRPr="008C04D1">
              <w:rPr>
                <w:rFonts w:eastAsia="標楷體"/>
                <w:sz w:val="28"/>
              </w:rPr>
              <w:t>84</w:t>
            </w:r>
            <w:r w:rsidRPr="008C04D1">
              <w:rPr>
                <w:rFonts w:eastAsia="標楷體" w:hint="eastAsia"/>
                <w:sz w:val="28"/>
              </w:rPr>
              <w:t>0</w:t>
            </w:r>
          </w:p>
        </w:tc>
        <w:tc>
          <w:tcPr>
            <w:tcW w:w="1860" w:type="dxa"/>
            <w:vAlign w:val="center"/>
          </w:tcPr>
          <w:p w:rsidR="008C04D1" w:rsidRPr="008C04D1" w:rsidRDefault="008C04D1" w:rsidP="008C04D1">
            <w:pPr>
              <w:snapToGrid w:val="0"/>
              <w:spacing w:line="0" w:lineRule="atLeast"/>
              <w:ind w:right="454"/>
              <w:jc w:val="right"/>
              <w:rPr>
                <w:rFonts w:eastAsia="標楷體"/>
                <w:sz w:val="28"/>
              </w:rPr>
            </w:pPr>
            <w:r w:rsidRPr="008C04D1">
              <w:rPr>
                <w:rFonts w:eastAsia="標楷體"/>
                <w:sz w:val="28"/>
              </w:rPr>
              <w:t>2,065</w:t>
            </w:r>
          </w:p>
        </w:tc>
        <w:tc>
          <w:tcPr>
            <w:tcW w:w="1920" w:type="dxa"/>
            <w:vAlign w:val="center"/>
          </w:tcPr>
          <w:p w:rsidR="008C04D1" w:rsidRPr="008C04D1" w:rsidRDefault="008C04D1" w:rsidP="008C04D1">
            <w:pPr>
              <w:snapToGrid w:val="0"/>
              <w:spacing w:line="0" w:lineRule="atLeast"/>
              <w:ind w:rightChars="188" w:right="451"/>
              <w:jc w:val="right"/>
              <w:rPr>
                <w:rFonts w:eastAsia="標楷體"/>
                <w:sz w:val="28"/>
              </w:rPr>
            </w:pPr>
            <w:r w:rsidRPr="008C04D1">
              <w:rPr>
                <w:rFonts w:eastAsia="標楷體"/>
                <w:sz w:val="28"/>
              </w:rPr>
              <w:t>-1,22</w:t>
            </w:r>
            <w:r w:rsidRPr="008C04D1">
              <w:rPr>
                <w:rFonts w:eastAsia="標楷體" w:hint="eastAsia"/>
                <w:sz w:val="28"/>
              </w:rPr>
              <w:t>5</w:t>
            </w:r>
          </w:p>
        </w:tc>
      </w:tr>
    </w:tbl>
    <w:p w:rsidR="005731DE" w:rsidRPr="005731DE" w:rsidRDefault="005731DE" w:rsidP="005731DE">
      <w:pPr>
        <w:numPr>
          <w:ilvl w:val="0"/>
          <w:numId w:val="36"/>
        </w:numPr>
        <w:spacing w:before="360" w:line="360" w:lineRule="auto"/>
        <w:jc w:val="both"/>
        <w:rPr>
          <w:rFonts w:ascii="標楷體" w:eastAsia="標楷體" w:hAnsi="標楷體"/>
          <w:color w:val="000000"/>
          <w:sz w:val="28"/>
        </w:rPr>
      </w:pPr>
      <w:r w:rsidRPr="005731DE">
        <w:rPr>
          <w:rFonts w:ascii="標楷體" w:eastAsia="標楷體" w:hAnsi="標楷體" w:hint="eastAsia"/>
          <w:color w:val="000000"/>
          <w:sz w:val="28"/>
        </w:rPr>
        <w:t>以前年度歲入、歲出及融資調度轉入數之執行概況</w:t>
      </w:r>
    </w:p>
    <w:p w:rsidR="00A74446" w:rsidRPr="00A74446" w:rsidRDefault="00A74446" w:rsidP="00A74446">
      <w:pPr>
        <w:pStyle w:val="af0"/>
        <w:spacing w:line="500" w:lineRule="exact"/>
        <w:ind w:leftChars="355" w:left="852" w:firstLineChars="200" w:firstLine="560"/>
        <w:rPr>
          <w:rFonts w:ascii="標楷體" w:eastAsia="標楷體" w:hAnsi="標楷體"/>
          <w:sz w:val="28"/>
        </w:rPr>
      </w:pPr>
      <w:r w:rsidRPr="00A74446">
        <w:rPr>
          <w:rFonts w:ascii="標楷體" w:eastAsia="標楷體" w:hAnsi="標楷體" w:hint="eastAsia"/>
          <w:sz w:val="28"/>
        </w:rPr>
        <w:t>以前年度（</w:t>
      </w:r>
      <w:r w:rsidRPr="00A74446">
        <w:rPr>
          <w:rFonts w:ascii="標楷體" w:eastAsia="標楷體" w:hAnsi="標楷體"/>
          <w:sz w:val="28"/>
        </w:rPr>
        <w:t>85</w:t>
      </w:r>
      <w:r w:rsidRPr="00A74446">
        <w:rPr>
          <w:rFonts w:ascii="標楷體" w:eastAsia="標楷體" w:hAnsi="標楷體" w:hint="eastAsia"/>
          <w:sz w:val="28"/>
        </w:rPr>
        <w:t>年度至</w:t>
      </w:r>
      <w:proofErr w:type="gramStart"/>
      <w:r w:rsidRPr="00A74446">
        <w:rPr>
          <w:rFonts w:ascii="標楷體" w:eastAsia="標楷體" w:hAnsi="標楷體"/>
          <w:sz w:val="28"/>
        </w:rPr>
        <w:t>10</w:t>
      </w:r>
      <w:r w:rsidRPr="00A74446">
        <w:rPr>
          <w:rFonts w:ascii="標楷體" w:eastAsia="標楷體" w:hAnsi="標楷體" w:hint="eastAsia"/>
          <w:sz w:val="28"/>
        </w:rPr>
        <w:t>5</w:t>
      </w:r>
      <w:proofErr w:type="gramEnd"/>
      <w:r w:rsidRPr="00A74446">
        <w:rPr>
          <w:rFonts w:ascii="標楷體" w:eastAsia="標楷體" w:hAnsi="標楷體" w:hint="eastAsia"/>
          <w:sz w:val="28"/>
        </w:rPr>
        <w:t>年度）歲入、歲出及融資調度轉入數在本年度執行概況，按年度別分項說明如下：</w:t>
      </w:r>
    </w:p>
    <w:p w:rsidR="00A74446" w:rsidRPr="00A74446" w:rsidRDefault="00A74446" w:rsidP="00A74446">
      <w:pPr>
        <w:pStyle w:val="14"/>
        <w:spacing w:line="500" w:lineRule="exact"/>
        <w:ind w:leftChars="239" w:left="846" w:hangingChars="97" w:hanging="272"/>
        <w:rPr>
          <w:rFonts w:hAnsi="標楷體"/>
        </w:rPr>
      </w:pPr>
      <w:r w:rsidRPr="00A74446">
        <w:rPr>
          <w:rFonts w:hAnsi="標楷體"/>
        </w:rPr>
        <w:t>1.85</w:t>
      </w:r>
      <w:r w:rsidRPr="00A74446">
        <w:rPr>
          <w:rFonts w:hAnsi="標楷體" w:hint="eastAsia"/>
        </w:rPr>
        <w:t>年度歲入轉入數（包括應收數及保留數，以下同）</w:t>
      </w:r>
      <w:r w:rsidRPr="00A74446">
        <w:rPr>
          <w:rFonts w:hAnsi="標楷體"/>
        </w:rPr>
        <w:t>765</w:t>
      </w:r>
      <w:r w:rsidRPr="00A74446">
        <w:rPr>
          <w:rFonts w:hAnsi="標楷體" w:hint="eastAsia"/>
        </w:rPr>
        <w:t>萬元，全數轉入下年度繼續處理。</w:t>
      </w:r>
    </w:p>
    <w:p w:rsidR="00A74446" w:rsidRPr="00A74446" w:rsidRDefault="00A74446" w:rsidP="00A74446">
      <w:pPr>
        <w:pStyle w:val="14"/>
        <w:spacing w:line="500" w:lineRule="exact"/>
        <w:ind w:leftChars="237" w:left="852" w:hangingChars="101" w:hanging="283"/>
        <w:rPr>
          <w:rFonts w:hAnsi="標楷體"/>
        </w:rPr>
      </w:pPr>
      <w:r w:rsidRPr="00A74446">
        <w:rPr>
          <w:rFonts w:hAnsi="標楷體"/>
        </w:rPr>
        <w:t>2.87</w:t>
      </w:r>
      <w:r w:rsidRPr="00A74446">
        <w:rPr>
          <w:rFonts w:hAnsi="標楷體" w:hint="eastAsia"/>
        </w:rPr>
        <w:t>年度歲入轉入數</w:t>
      </w:r>
      <w:r w:rsidRPr="00A74446">
        <w:rPr>
          <w:rFonts w:hAnsi="標楷體"/>
        </w:rPr>
        <w:t>528</w:t>
      </w:r>
      <w:r w:rsidRPr="00A74446">
        <w:rPr>
          <w:rFonts w:hAnsi="標楷體" w:hint="eastAsia"/>
        </w:rPr>
        <w:t>億元，全數</w:t>
      </w:r>
      <w:r w:rsidRPr="00A74446">
        <w:rPr>
          <w:rFonts w:hAnsi="標楷體" w:hint="eastAsia"/>
          <w:spacing w:val="-4"/>
        </w:rPr>
        <w:t>轉入下年度繼續處理</w:t>
      </w:r>
      <w:r w:rsidRPr="00A74446">
        <w:rPr>
          <w:rFonts w:hAnsi="標楷體" w:hint="eastAsia"/>
        </w:rPr>
        <w:t>；歲出轉入數（包括應付數及保留數，以下同）</w:t>
      </w:r>
      <w:r w:rsidRPr="00A74446">
        <w:rPr>
          <w:rFonts w:hAnsi="標楷體"/>
        </w:rPr>
        <w:t>4</w:t>
      </w:r>
      <w:r w:rsidRPr="00A74446">
        <w:rPr>
          <w:rFonts w:hAnsi="標楷體" w:hint="eastAsia"/>
        </w:rPr>
        <w:t>億</w:t>
      </w:r>
      <w:r w:rsidRPr="00A74446">
        <w:rPr>
          <w:rFonts w:hAnsi="標楷體"/>
        </w:rPr>
        <w:t>8,414</w:t>
      </w:r>
      <w:r w:rsidRPr="00A74446">
        <w:rPr>
          <w:rFonts w:hAnsi="標楷體" w:hint="eastAsia"/>
        </w:rPr>
        <w:t>萬元，全數轉入下年度繼續處理。</w:t>
      </w:r>
    </w:p>
    <w:p w:rsidR="00A74446" w:rsidRPr="00A74446" w:rsidRDefault="00A74446" w:rsidP="00A74446">
      <w:pPr>
        <w:pStyle w:val="14"/>
        <w:spacing w:line="500" w:lineRule="exact"/>
        <w:ind w:leftChars="228" w:left="824" w:hangingChars="99" w:hanging="277"/>
        <w:rPr>
          <w:rFonts w:hAnsi="標楷體"/>
        </w:rPr>
      </w:pPr>
      <w:r w:rsidRPr="00A74446">
        <w:rPr>
          <w:rFonts w:hAnsi="標楷體"/>
        </w:rPr>
        <w:t>3.88</w:t>
      </w:r>
      <w:r w:rsidRPr="00A74446">
        <w:rPr>
          <w:rFonts w:hAnsi="標楷體" w:hint="eastAsia"/>
        </w:rPr>
        <w:t>年度歲入轉入數</w:t>
      </w:r>
      <w:r w:rsidRPr="00A74446">
        <w:rPr>
          <w:rFonts w:hAnsi="標楷體"/>
        </w:rPr>
        <w:t>1,208</w:t>
      </w:r>
      <w:r w:rsidRPr="00A74446">
        <w:rPr>
          <w:rFonts w:hAnsi="標楷體" w:hint="eastAsia"/>
        </w:rPr>
        <w:t>億4</w:t>
      </w:r>
      <w:r w:rsidRPr="00A74446">
        <w:rPr>
          <w:rFonts w:hAnsi="標楷體"/>
        </w:rPr>
        <w:t>,619</w:t>
      </w:r>
      <w:r w:rsidRPr="00A74446">
        <w:rPr>
          <w:rFonts w:hAnsi="標楷體" w:hint="eastAsia"/>
        </w:rPr>
        <w:t>萬元，全數轉入下年度繼續處理；歲出轉入數</w:t>
      </w:r>
      <w:r w:rsidRPr="00A74446">
        <w:rPr>
          <w:rFonts w:hAnsi="標楷體"/>
        </w:rPr>
        <w:t>10</w:t>
      </w:r>
      <w:r w:rsidRPr="00A74446">
        <w:rPr>
          <w:rFonts w:hAnsi="標楷體" w:hint="eastAsia"/>
        </w:rPr>
        <w:t>億</w:t>
      </w:r>
      <w:r w:rsidRPr="00A74446">
        <w:rPr>
          <w:rFonts w:hAnsi="標楷體"/>
        </w:rPr>
        <w:t>3,557</w:t>
      </w:r>
      <w:r w:rsidRPr="00A74446">
        <w:rPr>
          <w:rFonts w:hAnsi="標楷體" w:hint="eastAsia"/>
        </w:rPr>
        <w:t>萬元，全數轉入下年度繼續處理。</w:t>
      </w:r>
    </w:p>
    <w:p w:rsidR="00A74446" w:rsidRPr="00A74446" w:rsidRDefault="00A74446" w:rsidP="00A74446">
      <w:pPr>
        <w:pStyle w:val="14"/>
        <w:spacing w:line="500" w:lineRule="exact"/>
        <w:ind w:leftChars="228" w:left="824" w:hangingChars="99" w:hanging="277"/>
        <w:rPr>
          <w:rFonts w:hAnsi="標楷體"/>
        </w:rPr>
      </w:pPr>
      <w:r w:rsidRPr="00A74446">
        <w:rPr>
          <w:rFonts w:hAnsi="標楷體"/>
        </w:rPr>
        <w:lastRenderedPageBreak/>
        <w:t>4.88</w:t>
      </w:r>
      <w:r w:rsidRPr="00A74446">
        <w:rPr>
          <w:rFonts w:hAnsi="標楷體" w:hint="eastAsia"/>
        </w:rPr>
        <w:t>年下半年及</w:t>
      </w:r>
      <w:r w:rsidRPr="00A74446">
        <w:rPr>
          <w:rFonts w:hAnsi="標楷體"/>
        </w:rPr>
        <w:t>89</w:t>
      </w:r>
      <w:r w:rsidRPr="00A74446">
        <w:rPr>
          <w:rFonts w:hAnsi="標楷體" w:hint="eastAsia"/>
        </w:rPr>
        <w:t>年度歲入轉入數</w:t>
      </w:r>
      <w:r w:rsidRPr="00A74446">
        <w:rPr>
          <w:rFonts w:hAnsi="標楷體"/>
        </w:rPr>
        <w:t>1,750</w:t>
      </w:r>
      <w:r w:rsidRPr="00A74446">
        <w:rPr>
          <w:rFonts w:hAnsi="標楷體" w:hint="eastAsia"/>
        </w:rPr>
        <w:t>萬元，實現數1</w:t>
      </w:r>
      <w:r w:rsidRPr="00A74446">
        <w:rPr>
          <w:rFonts w:hAnsi="標楷體"/>
        </w:rPr>
        <w:t>,7</w:t>
      </w:r>
      <w:r w:rsidRPr="00A74446">
        <w:rPr>
          <w:rFonts w:hAnsi="標楷體" w:hint="eastAsia"/>
        </w:rPr>
        <w:t>43萬元，須轉入下年度繼續處理者7萬元。</w:t>
      </w:r>
    </w:p>
    <w:p w:rsidR="00A74446" w:rsidRPr="00A74446" w:rsidRDefault="00A74446" w:rsidP="00A74446">
      <w:pPr>
        <w:pStyle w:val="14"/>
        <w:spacing w:line="500" w:lineRule="exact"/>
        <w:ind w:left="826" w:hanging="280"/>
        <w:rPr>
          <w:rFonts w:hAnsi="標楷體"/>
        </w:rPr>
      </w:pPr>
      <w:r w:rsidRPr="00A74446">
        <w:rPr>
          <w:rFonts w:hAnsi="標楷體"/>
        </w:rPr>
        <w:t>5.90</w:t>
      </w:r>
      <w:r w:rsidRPr="00A74446">
        <w:rPr>
          <w:rFonts w:hAnsi="標楷體" w:hint="eastAsia"/>
          <w:spacing w:val="-4"/>
        </w:rPr>
        <w:t>年度歲入轉入數</w:t>
      </w:r>
      <w:r w:rsidRPr="00A74446">
        <w:rPr>
          <w:rFonts w:hAnsi="標楷體"/>
          <w:spacing w:val="-4"/>
        </w:rPr>
        <w:t>2,575</w:t>
      </w:r>
      <w:r w:rsidRPr="00A74446">
        <w:rPr>
          <w:rFonts w:hAnsi="標楷體" w:hint="eastAsia"/>
          <w:spacing w:val="-4"/>
        </w:rPr>
        <w:t>萬元，減免（註銷）數5萬元，實現數3萬元，須轉入下年度繼續處理者</w:t>
      </w:r>
      <w:r w:rsidRPr="00A74446">
        <w:rPr>
          <w:rFonts w:hAnsi="標楷體"/>
          <w:spacing w:val="-4"/>
        </w:rPr>
        <w:t>2,5</w:t>
      </w:r>
      <w:r w:rsidRPr="00A74446">
        <w:rPr>
          <w:rFonts w:hAnsi="標楷體" w:hint="eastAsia"/>
          <w:spacing w:val="-4"/>
        </w:rPr>
        <w:t>67萬元。</w:t>
      </w:r>
    </w:p>
    <w:p w:rsidR="00A74446" w:rsidRPr="00A74446" w:rsidRDefault="00A74446" w:rsidP="00A74446">
      <w:pPr>
        <w:pStyle w:val="14"/>
        <w:spacing w:line="500" w:lineRule="exact"/>
        <w:ind w:leftChars="233" w:left="884" w:hangingChars="116" w:hanging="325"/>
        <w:rPr>
          <w:rFonts w:hAnsi="標楷體"/>
        </w:rPr>
      </w:pPr>
      <w:r w:rsidRPr="00A74446">
        <w:rPr>
          <w:rFonts w:hAnsi="標楷體"/>
        </w:rPr>
        <w:t>6.91</w:t>
      </w:r>
      <w:r w:rsidRPr="00A74446">
        <w:rPr>
          <w:rFonts w:hAnsi="標楷體" w:hint="eastAsia"/>
          <w:spacing w:val="-4"/>
        </w:rPr>
        <w:t>年度歲入轉入數</w:t>
      </w:r>
      <w:r w:rsidRPr="00A74446">
        <w:rPr>
          <w:rFonts w:hAnsi="標楷體"/>
          <w:spacing w:val="-4"/>
        </w:rPr>
        <w:t>99</w:t>
      </w:r>
      <w:r w:rsidRPr="00A74446">
        <w:rPr>
          <w:rFonts w:hAnsi="標楷體" w:hint="eastAsia"/>
          <w:spacing w:val="-4"/>
        </w:rPr>
        <w:t>6萬元，減免（註銷）數2萬元，實現數4萬元，須轉入下年度繼續處理者990萬元</w:t>
      </w:r>
      <w:r w:rsidRPr="00A74446">
        <w:rPr>
          <w:rFonts w:hAnsi="標楷體" w:hint="eastAsia"/>
        </w:rPr>
        <w:t>。</w:t>
      </w:r>
    </w:p>
    <w:p w:rsidR="00A74446" w:rsidRPr="00A74446" w:rsidRDefault="00A74446" w:rsidP="00A74446">
      <w:pPr>
        <w:pStyle w:val="14"/>
        <w:spacing w:line="500" w:lineRule="exact"/>
        <w:ind w:leftChars="233" w:left="887" w:hangingChars="117" w:hanging="328"/>
        <w:rPr>
          <w:rFonts w:hAnsi="標楷體"/>
        </w:rPr>
      </w:pPr>
      <w:r w:rsidRPr="00A74446">
        <w:rPr>
          <w:rFonts w:hAnsi="標楷體"/>
        </w:rPr>
        <w:t>7.92</w:t>
      </w:r>
      <w:r w:rsidRPr="00A74446">
        <w:rPr>
          <w:rFonts w:hAnsi="標楷體" w:hint="eastAsia"/>
          <w:spacing w:val="-2"/>
        </w:rPr>
        <w:t>年度歲入轉入數</w:t>
      </w:r>
      <w:r w:rsidRPr="00A74446">
        <w:rPr>
          <w:rFonts w:hAnsi="標楷體"/>
          <w:spacing w:val="-2"/>
        </w:rPr>
        <w:t>236</w:t>
      </w:r>
      <w:r w:rsidRPr="00A74446">
        <w:rPr>
          <w:rFonts w:hAnsi="標楷體" w:hint="eastAsia"/>
          <w:spacing w:val="-2"/>
        </w:rPr>
        <w:t>億8,</w:t>
      </w:r>
      <w:r w:rsidRPr="00A74446">
        <w:rPr>
          <w:rFonts w:hAnsi="標楷體"/>
          <w:spacing w:val="-2"/>
        </w:rPr>
        <w:t>085</w:t>
      </w:r>
      <w:r w:rsidRPr="00A74446">
        <w:rPr>
          <w:rFonts w:hAnsi="標楷體" w:hint="eastAsia"/>
        </w:rPr>
        <w:t>萬</w:t>
      </w:r>
      <w:r w:rsidRPr="00A74446">
        <w:rPr>
          <w:rFonts w:hAnsi="標楷體" w:hint="eastAsia"/>
          <w:spacing w:val="-2"/>
        </w:rPr>
        <w:t>元，實現數468萬元，須轉入下年度繼續處理者</w:t>
      </w:r>
      <w:r w:rsidRPr="00A74446">
        <w:rPr>
          <w:rFonts w:hAnsi="標楷體"/>
          <w:spacing w:val="-2"/>
        </w:rPr>
        <w:t>236</w:t>
      </w:r>
      <w:r w:rsidRPr="00A74446">
        <w:rPr>
          <w:rFonts w:hAnsi="標楷體" w:hint="eastAsia"/>
          <w:spacing w:val="-2"/>
        </w:rPr>
        <w:t>億7,617</w:t>
      </w:r>
      <w:r w:rsidRPr="00A74446">
        <w:rPr>
          <w:rFonts w:hAnsi="標楷體" w:hint="eastAsia"/>
        </w:rPr>
        <w:t>萬</w:t>
      </w:r>
      <w:r w:rsidRPr="00A74446">
        <w:rPr>
          <w:rFonts w:hAnsi="標楷體" w:hint="eastAsia"/>
          <w:spacing w:val="-2"/>
        </w:rPr>
        <w:t>元。</w:t>
      </w:r>
    </w:p>
    <w:p w:rsidR="00A74446" w:rsidRPr="00A74446" w:rsidRDefault="00A74446" w:rsidP="00A74446">
      <w:pPr>
        <w:pStyle w:val="14"/>
        <w:spacing w:line="500" w:lineRule="exact"/>
        <w:ind w:leftChars="233" w:left="873" w:hangingChars="112" w:hanging="314"/>
        <w:rPr>
          <w:rFonts w:hAnsi="標楷體"/>
        </w:rPr>
      </w:pPr>
      <w:r w:rsidRPr="00A74446">
        <w:rPr>
          <w:rFonts w:hAnsi="標楷體"/>
        </w:rPr>
        <w:t>8.93</w:t>
      </w:r>
      <w:r w:rsidRPr="00A74446">
        <w:rPr>
          <w:rFonts w:hAnsi="標楷體" w:hint="eastAsia"/>
        </w:rPr>
        <w:t>年度歲入轉入數</w:t>
      </w:r>
      <w:r w:rsidRPr="00A74446">
        <w:rPr>
          <w:rFonts w:hAnsi="標楷體"/>
        </w:rPr>
        <w:t>11</w:t>
      </w:r>
      <w:r w:rsidRPr="00A74446">
        <w:rPr>
          <w:rFonts w:hAnsi="標楷體" w:hint="eastAsia"/>
        </w:rPr>
        <w:t>億8</w:t>
      </w:r>
      <w:r w:rsidRPr="00A74446">
        <w:rPr>
          <w:rFonts w:hAnsi="標楷體"/>
        </w:rPr>
        <w:t>,307</w:t>
      </w:r>
      <w:r w:rsidRPr="00A74446">
        <w:rPr>
          <w:rFonts w:hAnsi="標楷體" w:hint="eastAsia"/>
        </w:rPr>
        <w:t>萬元，減免</w:t>
      </w:r>
      <w:r w:rsidRPr="00A74446">
        <w:rPr>
          <w:rFonts w:hAnsi="標楷體" w:hint="eastAsia"/>
          <w:spacing w:val="-4"/>
        </w:rPr>
        <w:t>（註銷）數5,758</w:t>
      </w:r>
      <w:r w:rsidRPr="00A74446">
        <w:rPr>
          <w:rFonts w:hAnsi="標楷體" w:hint="eastAsia"/>
        </w:rPr>
        <w:t>萬元，實現數10億4,939萬元，須轉入下年度繼續處理者7</w:t>
      </w:r>
      <w:r w:rsidRPr="00A74446">
        <w:rPr>
          <w:rFonts w:hAnsi="標楷體"/>
        </w:rPr>
        <w:t>,</w:t>
      </w:r>
      <w:r w:rsidRPr="00A74446">
        <w:rPr>
          <w:rFonts w:hAnsi="標楷體" w:hint="eastAsia"/>
        </w:rPr>
        <w:t>610萬元。</w:t>
      </w:r>
    </w:p>
    <w:p w:rsidR="00A74446" w:rsidRPr="00A74446" w:rsidRDefault="00A74446" w:rsidP="00A74446">
      <w:pPr>
        <w:pStyle w:val="14"/>
        <w:spacing w:line="500" w:lineRule="exact"/>
        <w:ind w:leftChars="239" w:left="826" w:hangingChars="90" w:hanging="252"/>
        <w:rPr>
          <w:rFonts w:hAnsi="標楷體"/>
        </w:rPr>
      </w:pPr>
      <w:bookmarkStart w:id="2" w:name="OLE_LINK3"/>
      <w:r w:rsidRPr="00A74446">
        <w:rPr>
          <w:rFonts w:hAnsi="標楷體"/>
        </w:rPr>
        <w:t>9.94</w:t>
      </w:r>
      <w:r w:rsidRPr="00A74446">
        <w:rPr>
          <w:rFonts w:hAnsi="標楷體" w:hint="eastAsia"/>
        </w:rPr>
        <w:t>年度歲入轉入數</w:t>
      </w:r>
      <w:r w:rsidRPr="00A74446">
        <w:rPr>
          <w:rFonts w:hAnsi="標楷體"/>
        </w:rPr>
        <w:t>2</w:t>
      </w:r>
      <w:r w:rsidRPr="00A74446">
        <w:rPr>
          <w:rFonts w:hAnsi="標楷體" w:hint="eastAsia"/>
        </w:rPr>
        <w:t>億6</w:t>
      </w:r>
      <w:r w:rsidRPr="00A74446">
        <w:rPr>
          <w:rFonts w:hAnsi="標楷體"/>
        </w:rPr>
        <w:t>,846</w:t>
      </w:r>
      <w:r w:rsidRPr="00A74446">
        <w:rPr>
          <w:rFonts w:hAnsi="標楷體" w:hint="eastAsia"/>
        </w:rPr>
        <w:t>萬元，減免</w:t>
      </w:r>
      <w:r w:rsidRPr="00A74446">
        <w:rPr>
          <w:rFonts w:hAnsi="標楷體" w:hint="eastAsia"/>
          <w:spacing w:val="-4"/>
        </w:rPr>
        <w:t>（註銷）數</w:t>
      </w:r>
      <w:r w:rsidRPr="00A74446">
        <w:rPr>
          <w:rFonts w:hAnsi="標楷體" w:hint="eastAsia"/>
        </w:rPr>
        <w:t>755萬元，實現數1</w:t>
      </w:r>
      <w:r w:rsidRPr="00A74446">
        <w:rPr>
          <w:rFonts w:hAnsi="標楷體"/>
        </w:rPr>
        <w:t>,</w:t>
      </w:r>
      <w:r w:rsidRPr="00A74446">
        <w:rPr>
          <w:rFonts w:hAnsi="標楷體" w:hint="eastAsia"/>
        </w:rPr>
        <w:t>23</w:t>
      </w:r>
      <w:r w:rsidRPr="00A74446">
        <w:rPr>
          <w:rFonts w:hAnsi="標楷體"/>
        </w:rPr>
        <w:t>6</w:t>
      </w:r>
      <w:r w:rsidRPr="00A74446">
        <w:rPr>
          <w:rFonts w:hAnsi="標楷體" w:hint="eastAsia"/>
        </w:rPr>
        <w:t>萬元，須轉入下年度繼續處理者</w:t>
      </w:r>
      <w:r w:rsidRPr="00A74446">
        <w:rPr>
          <w:rFonts w:hAnsi="標楷體"/>
        </w:rPr>
        <w:t>2</w:t>
      </w:r>
      <w:r w:rsidRPr="00A74446">
        <w:rPr>
          <w:rFonts w:hAnsi="標楷體" w:hint="eastAsia"/>
        </w:rPr>
        <w:t>億4</w:t>
      </w:r>
      <w:r w:rsidRPr="00A74446">
        <w:rPr>
          <w:rFonts w:hAnsi="標楷體"/>
        </w:rPr>
        <w:t>,8</w:t>
      </w:r>
      <w:r w:rsidRPr="00A74446">
        <w:rPr>
          <w:rFonts w:hAnsi="標楷體" w:hint="eastAsia"/>
        </w:rPr>
        <w:t>55萬元；</w:t>
      </w:r>
      <w:bookmarkEnd w:id="2"/>
      <w:r w:rsidRPr="00A74446">
        <w:rPr>
          <w:rFonts w:hAnsi="標楷體" w:hint="eastAsia"/>
        </w:rPr>
        <w:t>歲出轉入數</w:t>
      </w:r>
      <w:r w:rsidRPr="00A74446">
        <w:rPr>
          <w:rFonts w:hAnsi="標楷體"/>
        </w:rPr>
        <w:t>3,685</w:t>
      </w:r>
      <w:r w:rsidRPr="00A74446">
        <w:rPr>
          <w:rFonts w:hAnsi="標楷體" w:hint="eastAsia"/>
        </w:rPr>
        <w:t>萬元，全數轉入下年度繼續處理。</w:t>
      </w:r>
    </w:p>
    <w:p w:rsidR="00A74446" w:rsidRPr="00A74446" w:rsidRDefault="00A74446" w:rsidP="00A74446">
      <w:pPr>
        <w:pStyle w:val="14"/>
        <w:spacing w:line="500" w:lineRule="exact"/>
        <w:ind w:leftChars="169" w:left="823" w:hangingChars="149" w:hanging="417"/>
        <w:rPr>
          <w:rFonts w:hAnsi="標楷體"/>
        </w:rPr>
      </w:pPr>
      <w:r w:rsidRPr="00A74446">
        <w:rPr>
          <w:rFonts w:hAnsi="標楷體"/>
        </w:rPr>
        <w:t>10.95</w:t>
      </w:r>
      <w:r w:rsidRPr="00A74446">
        <w:rPr>
          <w:rFonts w:hAnsi="標楷體" w:hint="eastAsia"/>
        </w:rPr>
        <w:t>年度歲入轉入數</w:t>
      </w:r>
      <w:r w:rsidRPr="00A74446">
        <w:rPr>
          <w:rFonts w:hAnsi="標楷體"/>
        </w:rPr>
        <w:t>152</w:t>
      </w:r>
      <w:r w:rsidRPr="00A74446">
        <w:rPr>
          <w:rFonts w:hAnsi="標楷體" w:hint="eastAsia"/>
        </w:rPr>
        <w:t>億3</w:t>
      </w:r>
      <w:r w:rsidRPr="00A74446">
        <w:rPr>
          <w:rFonts w:hAnsi="標楷體"/>
        </w:rPr>
        <w:t>,284</w:t>
      </w:r>
      <w:r w:rsidRPr="00A74446">
        <w:rPr>
          <w:rFonts w:hAnsi="標楷體" w:hint="eastAsia"/>
        </w:rPr>
        <w:t>萬元，減免</w:t>
      </w:r>
      <w:r w:rsidRPr="00A74446">
        <w:rPr>
          <w:rFonts w:hAnsi="標楷體" w:hint="eastAsia"/>
          <w:spacing w:val="-4"/>
        </w:rPr>
        <w:t>（註銷）數354</w:t>
      </w:r>
      <w:r w:rsidRPr="00A74446">
        <w:rPr>
          <w:rFonts w:hAnsi="標楷體" w:hint="eastAsia"/>
        </w:rPr>
        <w:t>萬元，實現數578萬元，須轉入下年度繼續處理者</w:t>
      </w:r>
      <w:r w:rsidRPr="00A74446">
        <w:rPr>
          <w:rFonts w:hAnsi="標楷體"/>
        </w:rPr>
        <w:t>152</w:t>
      </w:r>
      <w:r w:rsidRPr="00A74446">
        <w:rPr>
          <w:rFonts w:hAnsi="標楷體" w:hint="eastAsia"/>
        </w:rPr>
        <w:t>億2</w:t>
      </w:r>
      <w:r w:rsidRPr="00A74446">
        <w:rPr>
          <w:rFonts w:hAnsi="標楷體"/>
        </w:rPr>
        <w:t>,</w:t>
      </w:r>
      <w:r w:rsidRPr="00A74446">
        <w:rPr>
          <w:rFonts w:hAnsi="標楷體" w:hint="eastAsia"/>
        </w:rPr>
        <w:t>352萬元；歲出轉入數</w:t>
      </w:r>
      <w:r w:rsidRPr="00A74446">
        <w:rPr>
          <w:rFonts w:hAnsi="標楷體"/>
        </w:rPr>
        <w:t>1</w:t>
      </w:r>
      <w:r w:rsidRPr="00A74446">
        <w:rPr>
          <w:rFonts w:hAnsi="標楷體" w:hint="eastAsia"/>
        </w:rPr>
        <w:t>億</w:t>
      </w:r>
      <w:r w:rsidRPr="00A74446">
        <w:rPr>
          <w:rFonts w:hAnsi="標楷體"/>
        </w:rPr>
        <w:t>3,483</w:t>
      </w:r>
      <w:r w:rsidRPr="00A74446">
        <w:rPr>
          <w:rFonts w:hAnsi="標楷體" w:hint="eastAsia"/>
        </w:rPr>
        <w:t>萬元，全數轉入下年度繼續處理。</w:t>
      </w:r>
    </w:p>
    <w:p w:rsidR="00A74446" w:rsidRPr="00A74446" w:rsidRDefault="00A74446" w:rsidP="00A74446">
      <w:pPr>
        <w:pStyle w:val="14"/>
        <w:spacing w:line="500" w:lineRule="exact"/>
        <w:ind w:leftChars="180" w:left="838" w:hangingChars="145" w:hanging="406"/>
        <w:rPr>
          <w:rFonts w:hAnsi="標楷體"/>
        </w:rPr>
      </w:pPr>
      <w:bookmarkStart w:id="3" w:name="OLE_LINK5"/>
      <w:r w:rsidRPr="00A74446">
        <w:rPr>
          <w:rFonts w:hAnsi="標楷體"/>
        </w:rPr>
        <w:t>11.96</w:t>
      </w:r>
      <w:r w:rsidRPr="00A74446">
        <w:rPr>
          <w:rFonts w:hAnsi="標楷體" w:hint="eastAsia"/>
        </w:rPr>
        <w:t>年度歲入轉入數</w:t>
      </w:r>
      <w:r w:rsidRPr="00A74446">
        <w:rPr>
          <w:rFonts w:hAnsi="標楷體"/>
        </w:rPr>
        <w:t>3</w:t>
      </w:r>
      <w:r w:rsidRPr="00A74446">
        <w:rPr>
          <w:rFonts w:hAnsi="標楷體" w:hint="eastAsia"/>
        </w:rPr>
        <w:t>億3</w:t>
      </w:r>
      <w:r w:rsidRPr="00A74446">
        <w:rPr>
          <w:rFonts w:hAnsi="標楷體"/>
        </w:rPr>
        <w:t>,325</w:t>
      </w:r>
      <w:r w:rsidRPr="00A74446">
        <w:rPr>
          <w:rFonts w:hAnsi="標楷體" w:hint="eastAsia"/>
        </w:rPr>
        <w:t>萬元，減免</w:t>
      </w:r>
      <w:r w:rsidRPr="00A74446">
        <w:rPr>
          <w:rFonts w:hAnsi="標楷體" w:hint="eastAsia"/>
          <w:spacing w:val="-4"/>
        </w:rPr>
        <w:t>（註銷）數</w:t>
      </w:r>
      <w:r w:rsidRPr="00A74446">
        <w:rPr>
          <w:rFonts w:hAnsi="標楷體" w:hint="eastAsia"/>
        </w:rPr>
        <w:t>4</w:t>
      </w:r>
      <w:r w:rsidRPr="00A74446">
        <w:rPr>
          <w:rFonts w:hAnsi="標楷體"/>
        </w:rPr>
        <w:t>,</w:t>
      </w:r>
      <w:r w:rsidRPr="00A74446">
        <w:rPr>
          <w:rFonts w:hAnsi="標楷體" w:hint="eastAsia"/>
        </w:rPr>
        <w:t>518萬元，實現數356萬元，須轉入下年度繼續處理者2億8</w:t>
      </w:r>
      <w:r w:rsidRPr="00A74446">
        <w:rPr>
          <w:rFonts w:hAnsi="標楷體"/>
        </w:rPr>
        <w:t>,</w:t>
      </w:r>
      <w:r w:rsidRPr="00A74446">
        <w:rPr>
          <w:rFonts w:hAnsi="標楷體" w:hint="eastAsia"/>
        </w:rPr>
        <w:t>451萬元；</w:t>
      </w:r>
      <w:bookmarkEnd w:id="3"/>
      <w:r w:rsidRPr="00A74446">
        <w:rPr>
          <w:rFonts w:hAnsi="標楷體" w:hint="eastAsia"/>
        </w:rPr>
        <w:t>歲出轉入數408萬元，實現數223萬元，須轉入下年度繼續處理者1</w:t>
      </w:r>
      <w:r w:rsidRPr="00A74446">
        <w:rPr>
          <w:rFonts w:hAnsi="標楷體"/>
        </w:rPr>
        <w:t>8</w:t>
      </w:r>
      <w:r w:rsidRPr="00A74446">
        <w:rPr>
          <w:rFonts w:hAnsi="標楷體" w:hint="eastAsia"/>
        </w:rPr>
        <w:t>5萬元。</w:t>
      </w:r>
    </w:p>
    <w:p w:rsidR="00A74446" w:rsidRPr="00A74446" w:rsidRDefault="00A74446" w:rsidP="00A74446">
      <w:pPr>
        <w:pStyle w:val="14"/>
        <w:spacing w:line="500" w:lineRule="exact"/>
        <w:ind w:leftChars="169" w:left="851" w:hangingChars="159" w:hanging="445"/>
        <w:rPr>
          <w:rFonts w:hAnsi="標楷體"/>
        </w:rPr>
      </w:pPr>
      <w:r w:rsidRPr="00A74446">
        <w:rPr>
          <w:rFonts w:hAnsi="標楷體"/>
        </w:rPr>
        <w:t>12.97</w:t>
      </w:r>
      <w:r w:rsidRPr="00A74446">
        <w:rPr>
          <w:rFonts w:hAnsi="標楷體" w:hint="eastAsia"/>
        </w:rPr>
        <w:t>年度歲入轉入數1億9</w:t>
      </w:r>
      <w:r w:rsidRPr="00A74446">
        <w:rPr>
          <w:rFonts w:hAnsi="標楷體"/>
        </w:rPr>
        <w:t>,108</w:t>
      </w:r>
      <w:r w:rsidRPr="00A74446">
        <w:rPr>
          <w:rFonts w:hAnsi="標楷體" w:hint="eastAsia"/>
        </w:rPr>
        <w:t>萬元，減免</w:t>
      </w:r>
      <w:r w:rsidRPr="00A74446">
        <w:rPr>
          <w:rFonts w:hAnsi="標楷體" w:hint="eastAsia"/>
          <w:spacing w:val="-4"/>
        </w:rPr>
        <w:t>（註銷）數</w:t>
      </w:r>
      <w:r w:rsidRPr="00A74446">
        <w:rPr>
          <w:rFonts w:hAnsi="標楷體" w:hint="eastAsia"/>
        </w:rPr>
        <w:t>4</w:t>
      </w:r>
      <w:r w:rsidRPr="00A74446">
        <w:rPr>
          <w:rFonts w:hAnsi="標楷體"/>
        </w:rPr>
        <w:t>,</w:t>
      </w:r>
      <w:r w:rsidRPr="00A74446">
        <w:rPr>
          <w:rFonts w:hAnsi="標楷體" w:hint="eastAsia"/>
        </w:rPr>
        <w:t>696萬元，實現數286萬元，須轉入下年度繼續處理者1億4</w:t>
      </w:r>
      <w:r w:rsidRPr="00A74446">
        <w:rPr>
          <w:rFonts w:hAnsi="標楷體"/>
        </w:rPr>
        <w:t>,</w:t>
      </w:r>
      <w:r w:rsidRPr="00A74446">
        <w:rPr>
          <w:rFonts w:hAnsi="標楷體" w:hint="eastAsia"/>
        </w:rPr>
        <w:t>126萬元；歲出轉入數</w:t>
      </w:r>
      <w:r w:rsidRPr="00A74446">
        <w:rPr>
          <w:rFonts w:hAnsi="標楷體"/>
        </w:rPr>
        <w:t>3</w:t>
      </w:r>
      <w:r w:rsidRPr="00A74446">
        <w:rPr>
          <w:rFonts w:hAnsi="標楷體" w:hint="eastAsia"/>
        </w:rPr>
        <w:t>億4</w:t>
      </w:r>
      <w:r w:rsidRPr="00A74446">
        <w:rPr>
          <w:rFonts w:hAnsi="標楷體"/>
        </w:rPr>
        <w:t>,794</w:t>
      </w:r>
      <w:r w:rsidRPr="00A74446">
        <w:rPr>
          <w:rFonts w:hAnsi="標楷體" w:hint="eastAsia"/>
        </w:rPr>
        <w:t>萬元，實現數2,323萬元，須轉入下年度繼續處理者</w:t>
      </w:r>
      <w:r w:rsidRPr="00A74446">
        <w:rPr>
          <w:rFonts w:hAnsi="標楷體"/>
        </w:rPr>
        <w:t>3</w:t>
      </w:r>
      <w:r w:rsidRPr="00A74446">
        <w:rPr>
          <w:rFonts w:hAnsi="標楷體" w:hint="eastAsia"/>
        </w:rPr>
        <w:t>億2</w:t>
      </w:r>
      <w:r w:rsidRPr="00A74446">
        <w:rPr>
          <w:rFonts w:hAnsi="標楷體"/>
        </w:rPr>
        <w:t>,</w:t>
      </w:r>
      <w:r w:rsidRPr="00A74446">
        <w:rPr>
          <w:rFonts w:hAnsi="標楷體" w:hint="eastAsia"/>
        </w:rPr>
        <w:t>471萬元。</w:t>
      </w:r>
    </w:p>
    <w:p w:rsidR="00A74446" w:rsidRPr="00A74446" w:rsidRDefault="00A74446" w:rsidP="00A74446">
      <w:pPr>
        <w:pStyle w:val="14"/>
        <w:spacing w:line="500" w:lineRule="exact"/>
        <w:ind w:leftChars="181" w:left="882" w:hangingChars="160" w:hanging="448"/>
        <w:rPr>
          <w:rFonts w:hAnsi="標楷體"/>
        </w:rPr>
      </w:pPr>
      <w:r w:rsidRPr="00A74446">
        <w:rPr>
          <w:rFonts w:hAnsi="標楷體"/>
        </w:rPr>
        <w:t>13.98</w:t>
      </w:r>
      <w:r w:rsidRPr="00A74446">
        <w:rPr>
          <w:rFonts w:hAnsi="標楷體" w:hint="eastAsia"/>
        </w:rPr>
        <w:t>年度歲入轉入數2億9,</w:t>
      </w:r>
      <w:r w:rsidRPr="00A74446">
        <w:rPr>
          <w:rFonts w:hAnsi="標楷體"/>
        </w:rPr>
        <w:t>511</w:t>
      </w:r>
      <w:r w:rsidRPr="00A74446">
        <w:rPr>
          <w:rFonts w:hAnsi="標楷體" w:hint="eastAsia"/>
        </w:rPr>
        <w:t>萬元，減免</w:t>
      </w:r>
      <w:r w:rsidRPr="00A74446">
        <w:rPr>
          <w:rFonts w:hAnsi="標楷體" w:hint="eastAsia"/>
          <w:spacing w:val="-4"/>
        </w:rPr>
        <w:t>（註銷）數489</w:t>
      </w:r>
      <w:r w:rsidRPr="00A74446">
        <w:rPr>
          <w:rFonts w:hAnsi="標楷體" w:hint="eastAsia"/>
        </w:rPr>
        <w:t>萬元，實現數236萬元，須轉入下年度繼續處理者2億8,786萬元；歲出轉入數</w:t>
      </w:r>
      <w:r w:rsidRPr="00A74446">
        <w:rPr>
          <w:rFonts w:hAnsi="標楷體"/>
        </w:rPr>
        <w:t>193</w:t>
      </w:r>
      <w:r w:rsidRPr="00A74446">
        <w:rPr>
          <w:rFonts w:hAnsi="標楷體" w:hint="eastAsia"/>
        </w:rPr>
        <w:t>萬元，全數轉入下年度繼續處理。</w:t>
      </w:r>
    </w:p>
    <w:p w:rsidR="00A74446" w:rsidRPr="00A74446" w:rsidRDefault="00A74446" w:rsidP="00A74446">
      <w:pPr>
        <w:pStyle w:val="14"/>
        <w:spacing w:line="500" w:lineRule="exact"/>
        <w:ind w:leftChars="187" w:left="880" w:hangingChars="154" w:hanging="431"/>
        <w:rPr>
          <w:rFonts w:hAnsi="標楷體"/>
        </w:rPr>
      </w:pPr>
      <w:r w:rsidRPr="00A74446">
        <w:rPr>
          <w:rFonts w:hAnsi="標楷體"/>
        </w:rPr>
        <w:t>14.99</w:t>
      </w:r>
      <w:r w:rsidRPr="00A74446">
        <w:rPr>
          <w:rFonts w:hAnsi="標楷體" w:hint="eastAsia"/>
        </w:rPr>
        <w:t>年度歲入轉入數6億2</w:t>
      </w:r>
      <w:r w:rsidRPr="00A74446">
        <w:rPr>
          <w:rFonts w:hAnsi="標楷體"/>
        </w:rPr>
        <w:t>,</w:t>
      </w:r>
      <w:r w:rsidRPr="00A74446">
        <w:rPr>
          <w:rFonts w:hAnsi="標楷體" w:hint="eastAsia"/>
        </w:rPr>
        <w:t>000萬元，減免</w:t>
      </w:r>
      <w:r w:rsidRPr="00A74446">
        <w:rPr>
          <w:rFonts w:hAnsi="標楷體" w:hint="eastAsia"/>
          <w:spacing w:val="-4"/>
        </w:rPr>
        <w:t>（註銷）數22</w:t>
      </w:r>
      <w:r w:rsidR="000E55D1">
        <w:rPr>
          <w:rFonts w:hAnsi="標楷體"/>
          <w:spacing w:val="-4"/>
        </w:rPr>
        <w:t>3</w:t>
      </w:r>
      <w:r w:rsidRPr="00A74446">
        <w:rPr>
          <w:rFonts w:hAnsi="標楷體" w:hint="eastAsia"/>
        </w:rPr>
        <w:t>萬元，實現數657萬元，須轉入下年度繼續處理者6億1</w:t>
      </w:r>
      <w:r w:rsidRPr="00A74446">
        <w:rPr>
          <w:rFonts w:hAnsi="標楷體"/>
        </w:rPr>
        <w:t>,</w:t>
      </w:r>
      <w:r w:rsidRPr="00A74446">
        <w:rPr>
          <w:rFonts w:hAnsi="標楷體" w:hint="eastAsia"/>
        </w:rPr>
        <w:t>12</w:t>
      </w:r>
      <w:r w:rsidR="000E55D1">
        <w:rPr>
          <w:rFonts w:hAnsi="標楷體"/>
        </w:rPr>
        <w:t>0</w:t>
      </w:r>
      <w:r w:rsidRPr="00A74446">
        <w:rPr>
          <w:rFonts w:hAnsi="標楷體" w:hint="eastAsia"/>
        </w:rPr>
        <w:t>萬元；歲出轉入數</w:t>
      </w:r>
      <w:r w:rsidRPr="00A74446">
        <w:rPr>
          <w:rFonts w:hAnsi="標楷體" w:hint="eastAsia"/>
        </w:rPr>
        <w:lastRenderedPageBreak/>
        <w:t>1</w:t>
      </w:r>
      <w:r w:rsidRPr="00A74446">
        <w:rPr>
          <w:rFonts w:hAnsi="標楷體"/>
        </w:rPr>
        <w:t>3</w:t>
      </w:r>
      <w:r w:rsidRPr="00A74446">
        <w:rPr>
          <w:rFonts w:hAnsi="標楷體" w:hint="eastAsia"/>
        </w:rPr>
        <w:t>3萬元，減免</w:t>
      </w:r>
      <w:r w:rsidRPr="00A74446">
        <w:rPr>
          <w:rFonts w:hAnsi="標楷體" w:hint="eastAsia"/>
          <w:spacing w:val="-4"/>
        </w:rPr>
        <w:t>（註銷）數3</w:t>
      </w:r>
      <w:r w:rsidRPr="00A74446">
        <w:rPr>
          <w:rFonts w:hAnsi="標楷體" w:hint="eastAsia"/>
        </w:rPr>
        <w:t>萬元，實現數130萬元。</w:t>
      </w:r>
    </w:p>
    <w:p w:rsidR="00A74446" w:rsidRPr="00A74446" w:rsidRDefault="00A74446" w:rsidP="00A74446">
      <w:pPr>
        <w:pStyle w:val="14"/>
        <w:spacing w:line="500" w:lineRule="exact"/>
        <w:ind w:leftChars="181" w:left="851" w:hangingChars="149" w:hanging="417"/>
        <w:rPr>
          <w:rFonts w:hAnsi="標楷體"/>
        </w:rPr>
      </w:pPr>
      <w:r w:rsidRPr="00A74446">
        <w:rPr>
          <w:rFonts w:hAnsi="標楷體"/>
        </w:rPr>
        <w:t>15.100</w:t>
      </w:r>
      <w:r w:rsidRPr="00A74446">
        <w:rPr>
          <w:rFonts w:hAnsi="標楷體" w:hint="eastAsia"/>
        </w:rPr>
        <w:t>年度歲入轉入數4億5</w:t>
      </w:r>
      <w:r w:rsidRPr="00A74446">
        <w:rPr>
          <w:rFonts w:hAnsi="標楷體"/>
        </w:rPr>
        <w:t>,11</w:t>
      </w:r>
      <w:r w:rsidR="000E55D1">
        <w:rPr>
          <w:rFonts w:hAnsi="標楷體"/>
        </w:rPr>
        <w:t>8</w:t>
      </w:r>
      <w:r w:rsidRPr="00A74446">
        <w:rPr>
          <w:rFonts w:hAnsi="標楷體" w:hint="eastAsia"/>
        </w:rPr>
        <w:t>萬元，減免</w:t>
      </w:r>
      <w:r w:rsidRPr="00A74446">
        <w:rPr>
          <w:rFonts w:hAnsi="標楷體" w:hint="eastAsia"/>
          <w:spacing w:val="-4"/>
        </w:rPr>
        <w:t>（註銷）數4,</w:t>
      </w:r>
      <w:r w:rsidRPr="00A74446">
        <w:rPr>
          <w:rFonts w:hAnsi="標楷體"/>
          <w:spacing w:val="-4"/>
        </w:rPr>
        <w:t>242</w:t>
      </w:r>
      <w:r w:rsidRPr="00A74446">
        <w:rPr>
          <w:rFonts w:hAnsi="標楷體" w:hint="eastAsia"/>
        </w:rPr>
        <w:t>萬元，實現數</w:t>
      </w:r>
      <w:r w:rsidRPr="00A74446">
        <w:rPr>
          <w:rFonts w:hAnsi="標楷體"/>
        </w:rPr>
        <w:t>7,29</w:t>
      </w:r>
      <w:r w:rsidR="000E55D1">
        <w:rPr>
          <w:rFonts w:hAnsi="標楷體"/>
        </w:rPr>
        <w:t>7</w:t>
      </w:r>
      <w:r w:rsidRPr="00A74446">
        <w:rPr>
          <w:rFonts w:hAnsi="標楷體" w:hint="eastAsia"/>
        </w:rPr>
        <w:t>萬元，須轉入下年度繼續處理者3億3</w:t>
      </w:r>
      <w:r w:rsidRPr="00A74446">
        <w:rPr>
          <w:rFonts w:hAnsi="標楷體"/>
        </w:rPr>
        <w:t>,579</w:t>
      </w:r>
      <w:r w:rsidRPr="00A74446">
        <w:rPr>
          <w:rFonts w:hAnsi="標楷體" w:hint="eastAsia"/>
        </w:rPr>
        <w:t>萬元；歲出轉入數4億3</w:t>
      </w:r>
      <w:r w:rsidRPr="00A74446">
        <w:rPr>
          <w:rFonts w:hAnsi="標楷體"/>
        </w:rPr>
        <w:t>,993</w:t>
      </w:r>
      <w:r w:rsidRPr="00A74446">
        <w:rPr>
          <w:rFonts w:hAnsi="標楷體" w:hint="eastAsia"/>
        </w:rPr>
        <w:t>萬元，實現數4億508萬元，須轉入下年度繼續處理者3</w:t>
      </w:r>
      <w:r w:rsidRPr="00A74446">
        <w:rPr>
          <w:rFonts w:hAnsi="標楷體"/>
        </w:rPr>
        <w:t>,485</w:t>
      </w:r>
      <w:r w:rsidRPr="00A74446">
        <w:rPr>
          <w:rFonts w:hAnsi="標楷體" w:hint="eastAsia"/>
        </w:rPr>
        <w:t>萬元。</w:t>
      </w:r>
    </w:p>
    <w:p w:rsidR="00A74446" w:rsidRPr="00A74446" w:rsidRDefault="00A74446" w:rsidP="00A74446">
      <w:pPr>
        <w:pStyle w:val="14"/>
        <w:spacing w:line="500" w:lineRule="exact"/>
        <w:ind w:leftChars="182" w:left="826" w:hangingChars="139" w:hanging="389"/>
        <w:rPr>
          <w:rFonts w:hAnsi="標楷體"/>
        </w:rPr>
      </w:pPr>
      <w:r w:rsidRPr="00A74446">
        <w:rPr>
          <w:rFonts w:hAnsi="標楷體"/>
        </w:rPr>
        <w:t>16.101</w:t>
      </w:r>
      <w:r w:rsidRPr="00A74446">
        <w:rPr>
          <w:rFonts w:hAnsi="標楷體" w:hint="eastAsia"/>
        </w:rPr>
        <w:t>年度歲入轉入數1億7</w:t>
      </w:r>
      <w:r w:rsidRPr="00A74446">
        <w:rPr>
          <w:rFonts w:hAnsi="標楷體"/>
        </w:rPr>
        <w:t>,253</w:t>
      </w:r>
      <w:r w:rsidRPr="00A74446">
        <w:rPr>
          <w:rFonts w:hAnsi="標楷體" w:hint="eastAsia"/>
        </w:rPr>
        <w:t>萬元，減免</w:t>
      </w:r>
      <w:r w:rsidRPr="00A74446">
        <w:rPr>
          <w:rFonts w:hAnsi="標楷體" w:hint="eastAsia"/>
          <w:spacing w:val="-4"/>
        </w:rPr>
        <w:t>（註銷）數</w:t>
      </w:r>
      <w:r w:rsidRPr="00A74446">
        <w:rPr>
          <w:rFonts w:hAnsi="標楷體" w:hint="eastAsia"/>
        </w:rPr>
        <w:t>2</w:t>
      </w:r>
      <w:r w:rsidRPr="00A74446">
        <w:rPr>
          <w:rFonts w:hAnsi="標楷體"/>
        </w:rPr>
        <w:t>,724</w:t>
      </w:r>
      <w:r w:rsidRPr="00A74446">
        <w:rPr>
          <w:rFonts w:hAnsi="標楷體" w:hint="eastAsia"/>
        </w:rPr>
        <w:t>萬元，實現數1</w:t>
      </w:r>
      <w:r w:rsidRPr="00A74446">
        <w:rPr>
          <w:rFonts w:hAnsi="標楷體"/>
        </w:rPr>
        <w:t>,148</w:t>
      </w:r>
      <w:r w:rsidRPr="00A74446">
        <w:rPr>
          <w:rFonts w:hAnsi="標楷體" w:hint="eastAsia"/>
        </w:rPr>
        <w:t>萬元，須轉入下年度繼續處理者1億3</w:t>
      </w:r>
      <w:r w:rsidRPr="00A74446">
        <w:rPr>
          <w:rFonts w:hAnsi="標楷體"/>
        </w:rPr>
        <w:t>,381</w:t>
      </w:r>
      <w:r w:rsidRPr="00A74446">
        <w:rPr>
          <w:rFonts w:hAnsi="標楷體" w:hint="eastAsia"/>
        </w:rPr>
        <w:t>萬元；歲出轉入數6億5</w:t>
      </w:r>
      <w:r w:rsidRPr="00A74446">
        <w:rPr>
          <w:rFonts w:hAnsi="標楷體"/>
        </w:rPr>
        <w:t>,646</w:t>
      </w:r>
      <w:r w:rsidRPr="00A74446">
        <w:rPr>
          <w:rFonts w:hAnsi="標楷體" w:hint="eastAsia"/>
        </w:rPr>
        <w:t>萬元，減免</w:t>
      </w:r>
      <w:r w:rsidRPr="00A74446">
        <w:rPr>
          <w:rFonts w:hAnsi="標楷體" w:hint="eastAsia"/>
          <w:spacing w:val="-4"/>
        </w:rPr>
        <w:t>（註銷）數8</w:t>
      </w:r>
      <w:r w:rsidRPr="00A74446">
        <w:rPr>
          <w:rFonts w:hAnsi="標楷體"/>
        </w:rPr>
        <w:t>,231</w:t>
      </w:r>
      <w:r w:rsidRPr="00A74446">
        <w:rPr>
          <w:rFonts w:hAnsi="標楷體" w:hint="eastAsia"/>
        </w:rPr>
        <w:t>萬元，實現數2億8,</w:t>
      </w:r>
      <w:r w:rsidRPr="00A74446">
        <w:rPr>
          <w:rFonts w:hAnsi="標楷體"/>
        </w:rPr>
        <w:t>574</w:t>
      </w:r>
      <w:r w:rsidRPr="00A74446">
        <w:rPr>
          <w:rFonts w:hAnsi="標楷體" w:hint="eastAsia"/>
        </w:rPr>
        <w:t>萬元，須轉入下年度繼續處理者2億8</w:t>
      </w:r>
      <w:r w:rsidRPr="00A74446">
        <w:rPr>
          <w:rFonts w:hAnsi="標楷體"/>
        </w:rPr>
        <w:t>,841</w:t>
      </w:r>
      <w:r w:rsidRPr="00A74446">
        <w:rPr>
          <w:rFonts w:hAnsi="標楷體" w:hint="eastAsia"/>
        </w:rPr>
        <w:t>萬元。</w:t>
      </w:r>
    </w:p>
    <w:p w:rsidR="00A74446" w:rsidRPr="000C397C" w:rsidRDefault="00A74446" w:rsidP="00A74446">
      <w:pPr>
        <w:pStyle w:val="14"/>
        <w:spacing w:line="500" w:lineRule="exact"/>
        <w:ind w:leftChars="175" w:left="812" w:hangingChars="140" w:hanging="392"/>
        <w:rPr>
          <w:rFonts w:hAnsi="標楷體"/>
        </w:rPr>
      </w:pPr>
      <w:r w:rsidRPr="00A74446">
        <w:rPr>
          <w:rFonts w:hAnsi="標楷體"/>
        </w:rPr>
        <w:t>17.102</w:t>
      </w:r>
      <w:r w:rsidRPr="00A74446">
        <w:rPr>
          <w:rFonts w:hAnsi="標楷體" w:hint="eastAsia"/>
        </w:rPr>
        <w:t>年度歲入轉入數</w:t>
      </w:r>
      <w:r w:rsidRPr="00A74446">
        <w:rPr>
          <w:rFonts w:hAnsi="標楷體"/>
        </w:rPr>
        <w:t>144</w:t>
      </w:r>
      <w:r w:rsidRPr="00A74446">
        <w:rPr>
          <w:rFonts w:hAnsi="標楷體" w:hint="eastAsia"/>
        </w:rPr>
        <w:t>億5,</w:t>
      </w:r>
      <w:r w:rsidRPr="00A74446">
        <w:rPr>
          <w:rFonts w:hAnsi="標楷體"/>
        </w:rPr>
        <w:t>555</w:t>
      </w:r>
      <w:r w:rsidRPr="00A74446">
        <w:rPr>
          <w:rFonts w:hAnsi="標楷體" w:hint="eastAsia"/>
        </w:rPr>
        <w:t>萬元，減免</w:t>
      </w:r>
      <w:r w:rsidRPr="00A74446">
        <w:rPr>
          <w:rFonts w:hAnsi="標楷體" w:hint="eastAsia"/>
          <w:spacing w:val="-4"/>
        </w:rPr>
        <w:t>（註銷）數6</w:t>
      </w:r>
      <w:r w:rsidRPr="00A74446">
        <w:rPr>
          <w:rFonts w:hAnsi="標楷體"/>
        </w:rPr>
        <w:t>,134</w:t>
      </w:r>
      <w:r w:rsidRPr="00A74446">
        <w:rPr>
          <w:rFonts w:hAnsi="標楷體" w:hint="eastAsia"/>
        </w:rPr>
        <w:t>萬元，實現數2</w:t>
      </w:r>
      <w:r w:rsidRPr="00A74446">
        <w:rPr>
          <w:rFonts w:hAnsi="標楷體"/>
        </w:rPr>
        <w:t>,368</w:t>
      </w:r>
      <w:r w:rsidRPr="00A74446">
        <w:rPr>
          <w:rFonts w:hAnsi="標楷體" w:hint="eastAsia"/>
        </w:rPr>
        <w:t>萬元，須轉入下年度繼續處理者</w:t>
      </w:r>
      <w:r w:rsidRPr="00A74446">
        <w:rPr>
          <w:rFonts w:hAnsi="標楷體"/>
        </w:rPr>
        <w:t>143</w:t>
      </w:r>
      <w:r w:rsidRPr="00A74446">
        <w:rPr>
          <w:rFonts w:hAnsi="標楷體" w:hint="eastAsia"/>
        </w:rPr>
        <w:t>億7,</w:t>
      </w:r>
      <w:r w:rsidRPr="00A74446">
        <w:rPr>
          <w:rFonts w:hAnsi="標楷體"/>
        </w:rPr>
        <w:t>053</w:t>
      </w:r>
      <w:r w:rsidRPr="00A74446">
        <w:rPr>
          <w:rFonts w:hAnsi="標楷體" w:hint="eastAsia"/>
        </w:rPr>
        <w:t>萬元；歲出轉入數5</w:t>
      </w:r>
      <w:r w:rsidRPr="00A74446">
        <w:rPr>
          <w:rFonts w:hAnsi="標楷體"/>
        </w:rPr>
        <w:t>6</w:t>
      </w:r>
      <w:r w:rsidRPr="00A74446">
        <w:rPr>
          <w:rFonts w:hAnsi="標楷體" w:hint="eastAsia"/>
        </w:rPr>
        <w:t>億4</w:t>
      </w:r>
      <w:r w:rsidRPr="00A74446">
        <w:rPr>
          <w:rFonts w:hAnsi="標楷體"/>
        </w:rPr>
        <w:t>,404</w:t>
      </w:r>
      <w:r w:rsidRPr="00A74446">
        <w:rPr>
          <w:rFonts w:hAnsi="標楷體" w:hint="eastAsia"/>
        </w:rPr>
        <w:t>萬元，減免</w:t>
      </w:r>
      <w:r w:rsidRPr="00A74446">
        <w:rPr>
          <w:rFonts w:hAnsi="標楷體" w:hint="eastAsia"/>
          <w:spacing w:val="-4"/>
        </w:rPr>
        <w:t>（註銷）數7</w:t>
      </w:r>
      <w:r w:rsidRPr="00A74446">
        <w:rPr>
          <w:rFonts w:hAnsi="標楷體" w:hint="eastAsia"/>
        </w:rPr>
        <w:t>億9</w:t>
      </w:r>
      <w:r w:rsidRPr="00A74446">
        <w:rPr>
          <w:rFonts w:hAnsi="標楷體"/>
        </w:rPr>
        <w:t>,572</w:t>
      </w:r>
      <w:r w:rsidRPr="00A74446">
        <w:rPr>
          <w:rFonts w:hAnsi="標楷體" w:hint="eastAsia"/>
        </w:rPr>
        <w:t>萬元，實現數44億3</w:t>
      </w:r>
      <w:r w:rsidRPr="00A74446">
        <w:rPr>
          <w:rFonts w:hAnsi="標楷體"/>
        </w:rPr>
        <w:t>,480</w:t>
      </w:r>
      <w:r w:rsidRPr="00A74446">
        <w:rPr>
          <w:rFonts w:hAnsi="標楷體" w:hint="eastAsia"/>
        </w:rPr>
        <w:t>萬元，須轉入下年度繼續處理者4億1</w:t>
      </w:r>
      <w:r w:rsidRPr="00A74446">
        <w:rPr>
          <w:rFonts w:hAnsi="標楷體"/>
        </w:rPr>
        <w:t>,352</w:t>
      </w:r>
      <w:r w:rsidRPr="00A74446">
        <w:rPr>
          <w:rFonts w:hAnsi="標楷體" w:hint="eastAsia"/>
        </w:rPr>
        <w:t>萬元；</w:t>
      </w:r>
      <w:r w:rsidRPr="000C397C">
        <w:rPr>
          <w:rFonts w:hAnsi="標楷體" w:hint="eastAsia"/>
        </w:rPr>
        <w:t>融資調度之債務舉借轉入數</w:t>
      </w:r>
      <w:r w:rsidR="000C397C" w:rsidRPr="000C397C">
        <w:rPr>
          <w:rFonts w:hAnsi="標楷體"/>
        </w:rPr>
        <w:t>1</w:t>
      </w:r>
      <w:r w:rsidRPr="000C397C">
        <w:rPr>
          <w:rFonts w:hAnsi="標楷體"/>
        </w:rPr>
        <w:t>9</w:t>
      </w:r>
      <w:r w:rsidRPr="000C397C">
        <w:rPr>
          <w:rFonts w:hAnsi="標楷體" w:hint="eastAsia"/>
        </w:rPr>
        <w:t>億</w:t>
      </w:r>
      <w:r w:rsidRPr="000C397C">
        <w:rPr>
          <w:rFonts w:hAnsi="標楷體"/>
        </w:rPr>
        <w:t>3,45</w:t>
      </w:r>
      <w:r w:rsidR="000C397C" w:rsidRPr="000C397C">
        <w:rPr>
          <w:rFonts w:hAnsi="標楷體"/>
        </w:rPr>
        <w:t>9</w:t>
      </w:r>
      <w:r w:rsidRPr="000C397C">
        <w:rPr>
          <w:rFonts w:hAnsi="標楷體" w:hint="eastAsia"/>
        </w:rPr>
        <w:t>萬元</w:t>
      </w:r>
      <w:r w:rsidR="00C36749" w:rsidRPr="000C397C">
        <w:rPr>
          <w:rFonts w:hAnsi="標楷體" w:hint="eastAsia"/>
        </w:rPr>
        <w:t>，減免（註銷）數</w:t>
      </w:r>
      <w:r w:rsidR="00C36749" w:rsidRPr="000C397C">
        <w:rPr>
          <w:rFonts w:hAnsi="標楷體"/>
        </w:rPr>
        <w:t>223</w:t>
      </w:r>
      <w:r w:rsidR="00C36749" w:rsidRPr="000C397C">
        <w:rPr>
          <w:rFonts w:hAnsi="標楷體" w:hint="eastAsia"/>
        </w:rPr>
        <w:t>萬元</w:t>
      </w:r>
      <w:r w:rsidRPr="000C397C">
        <w:rPr>
          <w:rFonts w:hAnsi="標楷體" w:hint="eastAsia"/>
        </w:rPr>
        <w:t>，實現</w:t>
      </w:r>
      <w:r w:rsidR="00C36749" w:rsidRPr="00C36749">
        <w:rPr>
          <w:rFonts w:hAnsi="標楷體" w:hint="eastAsia"/>
        </w:rPr>
        <w:t>數</w:t>
      </w:r>
      <w:r w:rsidR="000C397C" w:rsidRPr="000C397C">
        <w:rPr>
          <w:rFonts w:hAnsi="標楷體"/>
        </w:rPr>
        <w:t>19</w:t>
      </w:r>
      <w:r w:rsidRPr="000C397C">
        <w:rPr>
          <w:rFonts w:hAnsi="標楷體" w:hint="eastAsia"/>
        </w:rPr>
        <w:t>億</w:t>
      </w:r>
      <w:r w:rsidR="000C397C" w:rsidRPr="000C397C">
        <w:rPr>
          <w:rFonts w:hAnsi="標楷體" w:hint="eastAsia"/>
        </w:rPr>
        <w:t>3,</w:t>
      </w:r>
      <w:r w:rsidR="000C397C" w:rsidRPr="000C397C">
        <w:rPr>
          <w:rFonts w:hAnsi="標楷體"/>
        </w:rPr>
        <w:t>236</w:t>
      </w:r>
      <w:r w:rsidR="000C397C" w:rsidRPr="000C397C">
        <w:rPr>
          <w:rFonts w:hAnsi="標楷體" w:hint="eastAsia"/>
        </w:rPr>
        <w:t>萬元</w:t>
      </w:r>
      <w:r w:rsidRPr="000C397C">
        <w:rPr>
          <w:rFonts w:hAnsi="標楷體" w:hint="eastAsia"/>
        </w:rPr>
        <w:t>。</w:t>
      </w:r>
    </w:p>
    <w:p w:rsidR="00A74446" w:rsidRPr="00A74446" w:rsidRDefault="00A74446" w:rsidP="00A74446">
      <w:pPr>
        <w:pStyle w:val="14"/>
        <w:spacing w:line="500" w:lineRule="exact"/>
        <w:ind w:left="812" w:hanging="406"/>
        <w:rPr>
          <w:rFonts w:hAnsi="標楷體"/>
        </w:rPr>
      </w:pPr>
      <w:bookmarkStart w:id="4" w:name="OLE_LINK13"/>
      <w:r w:rsidRPr="00A74446">
        <w:rPr>
          <w:rFonts w:hAnsi="標楷體"/>
        </w:rPr>
        <w:t>18.103</w:t>
      </w:r>
      <w:r w:rsidRPr="00A74446">
        <w:rPr>
          <w:rFonts w:hAnsi="標楷體" w:hint="eastAsia"/>
        </w:rPr>
        <w:t>年度歲入轉入數2億9</w:t>
      </w:r>
      <w:r w:rsidRPr="00A74446">
        <w:rPr>
          <w:rFonts w:hAnsi="標楷體"/>
        </w:rPr>
        <w:t>,052</w:t>
      </w:r>
      <w:r w:rsidRPr="00A74446">
        <w:rPr>
          <w:rFonts w:hAnsi="標楷體" w:hint="eastAsia"/>
        </w:rPr>
        <w:t>萬元，減免</w:t>
      </w:r>
      <w:r w:rsidRPr="00A74446">
        <w:rPr>
          <w:rFonts w:hAnsi="標楷體" w:hint="eastAsia"/>
          <w:spacing w:val="-4"/>
        </w:rPr>
        <w:t>（註銷）數5</w:t>
      </w:r>
      <w:r w:rsidRPr="00A74446">
        <w:rPr>
          <w:rFonts w:hAnsi="標楷體"/>
        </w:rPr>
        <w:t>,843</w:t>
      </w:r>
      <w:r w:rsidRPr="00A74446">
        <w:rPr>
          <w:rFonts w:hAnsi="標楷體" w:hint="eastAsia"/>
        </w:rPr>
        <w:t>萬元，實現數6</w:t>
      </w:r>
      <w:r w:rsidRPr="00A74446">
        <w:rPr>
          <w:rFonts w:hAnsi="標楷體"/>
        </w:rPr>
        <w:t>,718</w:t>
      </w:r>
      <w:r w:rsidRPr="00A74446">
        <w:rPr>
          <w:rFonts w:hAnsi="標楷體" w:hint="eastAsia"/>
        </w:rPr>
        <w:t>萬元，須轉入下年度繼續處理者</w:t>
      </w:r>
      <w:r w:rsidRPr="00A74446">
        <w:rPr>
          <w:rFonts w:hAnsi="標楷體"/>
        </w:rPr>
        <w:t>1</w:t>
      </w:r>
      <w:r w:rsidRPr="00A74446">
        <w:rPr>
          <w:rFonts w:hAnsi="標楷體" w:hint="eastAsia"/>
        </w:rPr>
        <w:t>億6</w:t>
      </w:r>
      <w:r w:rsidRPr="00A74446">
        <w:rPr>
          <w:rFonts w:hAnsi="標楷體"/>
        </w:rPr>
        <w:t>,491</w:t>
      </w:r>
      <w:r w:rsidRPr="00A74446">
        <w:rPr>
          <w:rFonts w:hAnsi="標楷體" w:hint="eastAsia"/>
        </w:rPr>
        <w:t>萬元</w:t>
      </w:r>
      <w:bookmarkEnd w:id="4"/>
      <w:r w:rsidRPr="00A74446">
        <w:rPr>
          <w:rFonts w:hAnsi="標楷體" w:hint="eastAsia"/>
        </w:rPr>
        <w:t>；歲出轉入數71億5</w:t>
      </w:r>
      <w:r w:rsidRPr="00A74446">
        <w:rPr>
          <w:rFonts w:hAnsi="標楷體"/>
        </w:rPr>
        <w:t>,402</w:t>
      </w:r>
      <w:r w:rsidRPr="00A74446">
        <w:rPr>
          <w:rFonts w:hAnsi="標楷體" w:hint="eastAsia"/>
        </w:rPr>
        <w:t>萬元，減免</w:t>
      </w:r>
      <w:r w:rsidRPr="00A74446">
        <w:rPr>
          <w:rFonts w:hAnsi="標楷體" w:hint="eastAsia"/>
          <w:spacing w:val="-4"/>
        </w:rPr>
        <w:t>（註銷）數</w:t>
      </w:r>
      <w:r w:rsidRPr="00A74446">
        <w:rPr>
          <w:rFonts w:hAnsi="標楷體" w:hint="eastAsia"/>
        </w:rPr>
        <w:t>3億5</w:t>
      </w:r>
      <w:r w:rsidRPr="00A74446">
        <w:rPr>
          <w:rFonts w:hAnsi="標楷體"/>
        </w:rPr>
        <w:t>,667</w:t>
      </w:r>
      <w:r w:rsidRPr="00A74446">
        <w:rPr>
          <w:rFonts w:hAnsi="標楷體" w:hint="eastAsia"/>
        </w:rPr>
        <w:t>萬元，實現數30億4</w:t>
      </w:r>
      <w:r w:rsidRPr="00A74446">
        <w:rPr>
          <w:rFonts w:hAnsi="標楷體"/>
        </w:rPr>
        <w:t>,889</w:t>
      </w:r>
      <w:r w:rsidRPr="00A74446">
        <w:rPr>
          <w:rFonts w:hAnsi="標楷體" w:hint="eastAsia"/>
        </w:rPr>
        <w:t>萬元，須轉入下年度繼續處理者37億4</w:t>
      </w:r>
      <w:r w:rsidRPr="00A74446">
        <w:rPr>
          <w:rFonts w:hAnsi="標楷體"/>
        </w:rPr>
        <w:t>,846</w:t>
      </w:r>
      <w:r w:rsidRPr="00A74446">
        <w:rPr>
          <w:rFonts w:hAnsi="標楷體" w:hint="eastAsia"/>
        </w:rPr>
        <w:t>萬元；</w:t>
      </w:r>
      <w:r w:rsidRPr="000C397C">
        <w:rPr>
          <w:rFonts w:hAnsi="標楷體" w:hint="eastAsia"/>
        </w:rPr>
        <w:t>融資調度之債務舉借轉入數2</w:t>
      </w:r>
      <w:r w:rsidRPr="000C397C">
        <w:rPr>
          <w:rFonts w:hAnsi="標楷體"/>
        </w:rPr>
        <w:t>8</w:t>
      </w:r>
      <w:r w:rsidRPr="000C397C">
        <w:rPr>
          <w:rFonts w:hAnsi="標楷體" w:hint="eastAsia"/>
        </w:rPr>
        <w:t>億</w:t>
      </w:r>
      <w:r w:rsidRPr="000C397C">
        <w:rPr>
          <w:rFonts w:hAnsi="標楷體"/>
        </w:rPr>
        <w:t>3,59</w:t>
      </w:r>
      <w:r w:rsidR="000C397C" w:rsidRPr="000C397C">
        <w:rPr>
          <w:rFonts w:hAnsi="標楷體"/>
        </w:rPr>
        <w:t>0</w:t>
      </w:r>
      <w:r w:rsidRPr="000C397C">
        <w:rPr>
          <w:rFonts w:hAnsi="標楷體" w:hint="eastAsia"/>
        </w:rPr>
        <w:t>萬元</w:t>
      </w:r>
      <w:r w:rsidR="00C36749" w:rsidRPr="000C397C">
        <w:rPr>
          <w:rFonts w:hAnsi="標楷體" w:hint="eastAsia"/>
        </w:rPr>
        <w:t>，減免（註銷）數</w:t>
      </w:r>
      <w:r w:rsidR="00C36749" w:rsidRPr="000C397C">
        <w:rPr>
          <w:rFonts w:hAnsi="標楷體"/>
        </w:rPr>
        <w:t>330</w:t>
      </w:r>
      <w:r w:rsidR="00C36749" w:rsidRPr="000C397C">
        <w:rPr>
          <w:rFonts w:hAnsi="標楷體" w:hint="eastAsia"/>
        </w:rPr>
        <w:t>萬元</w:t>
      </w:r>
      <w:r w:rsidRPr="000C397C">
        <w:rPr>
          <w:rFonts w:hAnsi="標楷體" w:hint="eastAsia"/>
        </w:rPr>
        <w:t>，</w:t>
      </w:r>
      <w:r w:rsidR="000C397C" w:rsidRPr="000C397C">
        <w:rPr>
          <w:rFonts w:hAnsi="標楷體" w:hint="eastAsia"/>
        </w:rPr>
        <w:t>實現</w:t>
      </w:r>
      <w:r w:rsidR="00C36749" w:rsidRPr="00C36749">
        <w:rPr>
          <w:rFonts w:hAnsi="標楷體" w:hint="eastAsia"/>
        </w:rPr>
        <w:t>數</w:t>
      </w:r>
      <w:r w:rsidR="000C397C" w:rsidRPr="000C397C">
        <w:rPr>
          <w:rFonts w:hAnsi="標楷體"/>
        </w:rPr>
        <w:t>28</w:t>
      </w:r>
      <w:r w:rsidR="000C397C" w:rsidRPr="000C397C">
        <w:rPr>
          <w:rFonts w:hAnsi="標楷體" w:hint="eastAsia"/>
        </w:rPr>
        <w:t>億3,2</w:t>
      </w:r>
      <w:r w:rsidR="000C397C" w:rsidRPr="000C397C">
        <w:rPr>
          <w:rFonts w:hAnsi="標楷體"/>
        </w:rPr>
        <w:t>60</w:t>
      </w:r>
      <w:r w:rsidR="000C397C" w:rsidRPr="000C397C">
        <w:rPr>
          <w:rFonts w:hAnsi="標楷體" w:hint="eastAsia"/>
        </w:rPr>
        <w:t>萬元</w:t>
      </w:r>
      <w:r w:rsidRPr="000C397C">
        <w:rPr>
          <w:rFonts w:hAnsi="標楷體" w:hint="eastAsia"/>
        </w:rPr>
        <w:t>。</w:t>
      </w:r>
    </w:p>
    <w:p w:rsidR="00A74446" w:rsidRPr="00A74446" w:rsidRDefault="00A74446" w:rsidP="00A74446">
      <w:pPr>
        <w:pStyle w:val="14"/>
        <w:spacing w:line="500" w:lineRule="exact"/>
        <w:ind w:leftChars="176" w:left="811" w:hangingChars="139" w:hanging="389"/>
        <w:rPr>
          <w:rFonts w:hAnsi="標楷體"/>
        </w:rPr>
      </w:pPr>
      <w:r w:rsidRPr="00A74446">
        <w:rPr>
          <w:rFonts w:hAnsi="標楷體"/>
        </w:rPr>
        <w:t>19.</w:t>
      </w:r>
      <w:r w:rsidRPr="00A74446">
        <w:rPr>
          <w:rFonts w:hAnsi="標楷體" w:hint="eastAsia"/>
        </w:rPr>
        <w:t>104年度歲入轉入數26億8,835萬元，減免</w:t>
      </w:r>
      <w:r w:rsidRPr="00A74446">
        <w:rPr>
          <w:rFonts w:hAnsi="標楷體" w:hint="eastAsia"/>
          <w:spacing w:val="-4"/>
        </w:rPr>
        <w:t>（註銷）數4</w:t>
      </w:r>
      <w:r w:rsidRPr="00A74446">
        <w:rPr>
          <w:rFonts w:hAnsi="標楷體" w:hint="eastAsia"/>
        </w:rPr>
        <w:t>,</w:t>
      </w:r>
      <w:r w:rsidRPr="00A74446">
        <w:rPr>
          <w:rFonts w:hAnsi="標楷體"/>
        </w:rPr>
        <w:t>999</w:t>
      </w:r>
      <w:r w:rsidRPr="00A74446">
        <w:rPr>
          <w:rFonts w:hAnsi="標楷體" w:hint="eastAsia"/>
        </w:rPr>
        <w:t>萬元，實現數1億2,</w:t>
      </w:r>
      <w:r w:rsidRPr="00A74446">
        <w:rPr>
          <w:rFonts w:hAnsi="標楷體"/>
        </w:rPr>
        <w:t>220</w:t>
      </w:r>
      <w:r w:rsidRPr="00A74446">
        <w:rPr>
          <w:rFonts w:hAnsi="標楷體" w:hint="eastAsia"/>
        </w:rPr>
        <w:t>萬元，須轉入下年度繼續處理者25億1,</w:t>
      </w:r>
      <w:r w:rsidRPr="00A74446">
        <w:rPr>
          <w:rFonts w:hAnsi="標楷體"/>
        </w:rPr>
        <w:t>616</w:t>
      </w:r>
      <w:r w:rsidRPr="00A74446">
        <w:rPr>
          <w:rFonts w:hAnsi="標楷體" w:hint="eastAsia"/>
        </w:rPr>
        <w:t>萬元；歲出轉入數158億9,679萬元，減免</w:t>
      </w:r>
      <w:r w:rsidRPr="00A74446">
        <w:rPr>
          <w:rFonts w:hAnsi="標楷體" w:hint="eastAsia"/>
          <w:spacing w:val="-4"/>
        </w:rPr>
        <w:t>（註銷）數20</w:t>
      </w:r>
      <w:r w:rsidRPr="00A74446">
        <w:rPr>
          <w:rFonts w:hAnsi="標楷體" w:hint="eastAsia"/>
        </w:rPr>
        <w:t>億6,</w:t>
      </w:r>
      <w:r w:rsidRPr="00A74446">
        <w:rPr>
          <w:rFonts w:hAnsi="標楷體"/>
        </w:rPr>
        <w:t>5</w:t>
      </w:r>
      <w:r w:rsidR="00C36749">
        <w:rPr>
          <w:rFonts w:hAnsi="標楷體"/>
        </w:rPr>
        <w:t>5</w:t>
      </w:r>
      <w:r w:rsidR="00765341">
        <w:rPr>
          <w:rFonts w:hAnsi="標楷體"/>
        </w:rPr>
        <w:t>8</w:t>
      </w:r>
      <w:r w:rsidRPr="00A74446">
        <w:rPr>
          <w:rFonts w:hAnsi="標楷體" w:hint="eastAsia"/>
        </w:rPr>
        <w:t>萬元，實現數80億7,</w:t>
      </w:r>
      <w:r w:rsidRPr="00A74446">
        <w:rPr>
          <w:rFonts w:hAnsi="標楷體"/>
        </w:rPr>
        <w:t>877</w:t>
      </w:r>
      <w:r w:rsidRPr="00A74446">
        <w:rPr>
          <w:rFonts w:hAnsi="標楷體" w:hint="eastAsia"/>
        </w:rPr>
        <w:t>萬元，須轉入下年度繼續處理者57億5,</w:t>
      </w:r>
      <w:r w:rsidRPr="00A74446">
        <w:rPr>
          <w:rFonts w:hAnsi="標楷體"/>
        </w:rPr>
        <w:t>24</w:t>
      </w:r>
      <w:r w:rsidR="00765341">
        <w:rPr>
          <w:rFonts w:hAnsi="標楷體"/>
        </w:rPr>
        <w:t>4</w:t>
      </w:r>
      <w:r w:rsidRPr="00A74446">
        <w:rPr>
          <w:rFonts w:hAnsi="標楷體" w:hint="eastAsia"/>
        </w:rPr>
        <w:t>萬元；</w:t>
      </w:r>
      <w:r w:rsidRPr="000C397C">
        <w:rPr>
          <w:rFonts w:hAnsi="標楷體" w:hint="eastAsia"/>
        </w:rPr>
        <w:t>融資調度之債務舉借轉入數42億2,429萬元</w:t>
      </w:r>
      <w:r w:rsidR="00C36749" w:rsidRPr="000C397C">
        <w:rPr>
          <w:rFonts w:hAnsi="標楷體" w:hint="eastAsia"/>
        </w:rPr>
        <w:t>，減免（註銷）數3</w:t>
      </w:r>
      <w:r w:rsidR="00C36749" w:rsidRPr="000C397C">
        <w:rPr>
          <w:rFonts w:hAnsi="標楷體"/>
        </w:rPr>
        <w:t>86</w:t>
      </w:r>
      <w:r w:rsidR="00C36749" w:rsidRPr="000C397C">
        <w:rPr>
          <w:rFonts w:hAnsi="標楷體" w:hint="eastAsia"/>
        </w:rPr>
        <w:t>萬元</w:t>
      </w:r>
      <w:r w:rsidRPr="000C397C">
        <w:rPr>
          <w:rFonts w:hAnsi="標楷體" w:hint="eastAsia"/>
        </w:rPr>
        <w:t>，</w:t>
      </w:r>
      <w:r w:rsidR="000C397C" w:rsidRPr="000C397C">
        <w:rPr>
          <w:rFonts w:hAnsi="標楷體" w:hint="eastAsia"/>
        </w:rPr>
        <w:t>實現</w:t>
      </w:r>
      <w:r w:rsidR="00C36749" w:rsidRPr="00C36749">
        <w:rPr>
          <w:rFonts w:hAnsi="標楷體" w:hint="eastAsia"/>
        </w:rPr>
        <w:t>數</w:t>
      </w:r>
      <w:r w:rsidR="000C397C" w:rsidRPr="000C397C">
        <w:rPr>
          <w:rFonts w:hAnsi="標楷體"/>
        </w:rPr>
        <w:t>42</w:t>
      </w:r>
      <w:r w:rsidR="000C397C" w:rsidRPr="000C397C">
        <w:rPr>
          <w:rFonts w:hAnsi="標楷體" w:hint="eastAsia"/>
        </w:rPr>
        <w:t>億</w:t>
      </w:r>
      <w:r w:rsidR="000C397C" w:rsidRPr="000C397C">
        <w:rPr>
          <w:rFonts w:hAnsi="標楷體"/>
        </w:rPr>
        <w:t>2</w:t>
      </w:r>
      <w:r w:rsidR="000C397C" w:rsidRPr="000C397C">
        <w:rPr>
          <w:rFonts w:hAnsi="標楷體" w:hint="eastAsia"/>
        </w:rPr>
        <w:t>,</w:t>
      </w:r>
      <w:r w:rsidR="000C397C" w:rsidRPr="000C397C">
        <w:rPr>
          <w:rFonts w:hAnsi="標楷體"/>
        </w:rPr>
        <w:t>043</w:t>
      </w:r>
      <w:r w:rsidR="000C397C" w:rsidRPr="000C397C">
        <w:rPr>
          <w:rFonts w:hAnsi="標楷體" w:hint="eastAsia"/>
        </w:rPr>
        <w:t>萬元</w:t>
      </w:r>
      <w:r w:rsidRPr="000C397C">
        <w:rPr>
          <w:rFonts w:hAnsi="標楷體" w:hint="eastAsia"/>
        </w:rPr>
        <w:t>。</w:t>
      </w:r>
    </w:p>
    <w:p w:rsidR="00A74446" w:rsidRPr="00F70452" w:rsidRDefault="00A74446" w:rsidP="00A74446">
      <w:pPr>
        <w:pStyle w:val="14"/>
        <w:spacing w:line="500" w:lineRule="exact"/>
        <w:ind w:leftChars="176" w:left="811" w:hangingChars="139" w:hanging="389"/>
        <w:rPr>
          <w:rFonts w:hAnsi="標楷體"/>
        </w:rPr>
      </w:pPr>
      <w:r w:rsidRPr="00A74446">
        <w:rPr>
          <w:rFonts w:hAnsi="標楷體"/>
        </w:rPr>
        <w:t>20.</w:t>
      </w:r>
      <w:r w:rsidRPr="00A74446">
        <w:rPr>
          <w:rFonts w:hAnsi="標楷體" w:hint="eastAsia"/>
        </w:rPr>
        <w:t>10</w:t>
      </w:r>
      <w:r w:rsidRPr="00A74446">
        <w:rPr>
          <w:rFonts w:hAnsi="標楷體"/>
        </w:rPr>
        <w:t>5</w:t>
      </w:r>
      <w:r w:rsidRPr="00A74446">
        <w:rPr>
          <w:rFonts w:hAnsi="標楷體" w:hint="eastAsia"/>
        </w:rPr>
        <w:t>年度歲入轉入數2</w:t>
      </w:r>
      <w:r w:rsidRPr="00A74446">
        <w:rPr>
          <w:rFonts w:hAnsi="標楷體"/>
        </w:rPr>
        <w:t>50</w:t>
      </w:r>
      <w:r w:rsidRPr="00A74446">
        <w:rPr>
          <w:rFonts w:hAnsi="標楷體" w:hint="eastAsia"/>
        </w:rPr>
        <w:t>億6,5</w:t>
      </w:r>
      <w:r w:rsidRPr="00A74446">
        <w:rPr>
          <w:rFonts w:hAnsi="標楷體"/>
        </w:rPr>
        <w:t>88</w:t>
      </w:r>
      <w:r w:rsidRPr="00A74446">
        <w:rPr>
          <w:rFonts w:hAnsi="標楷體" w:hint="eastAsia"/>
        </w:rPr>
        <w:t>萬元，減免</w:t>
      </w:r>
      <w:r w:rsidRPr="00A74446">
        <w:rPr>
          <w:rFonts w:hAnsi="標楷體" w:hint="eastAsia"/>
          <w:spacing w:val="-4"/>
        </w:rPr>
        <w:t>（註銷）數7</w:t>
      </w:r>
      <w:r w:rsidRPr="00A74446">
        <w:rPr>
          <w:rFonts w:hAnsi="標楷體" w:hint="eastAsia"/>
        </w:rPr>
        <w:t>,</w:t>
      </w:r>
      <w:r w:rsidRPr="00A74446">
        <w:rPr>
          <w:rFonts w:hAnsi="標楷體"/>
        </w:rPr>
        <w:t>806</w:t>
      </w:r>
      <w:r w:rsidRPr="00A74446">
        <w:rPr>
          <w:rFonts w:hAnsi="標楷體" w:hint="eastAsia"/>
        </w:rPr>
        <w:t>萬元，</w:t>
      </w:r>
      <w:r w:rsidRPr="00A74446">
        <w:rPr>
          <w:rFonts w:hAnsi="標楷體" w:hint="eastAsia"/>
        </w:rPr>
        <w:lastRenderedPageBreak/>
        <w:t>實現數229億5,</w:t>
      </w:r>
      <w:r w:rsidRPr="00A74446">
        <w:rPr>
          <w:rFonts w:hAnsi="標楷體"/>
        </w:rPr>
        <w:t>334</w:t>
      </w:r>
      <w:r w:rsidRPr="00A74446">
        <w:rPr>
          <w:rFonts w:hAnsi="標楷體" w:hint="eastAsia"/>
        </w:rPr>
        <w:t>萬元，須轉入下年度繼續處理者20億3,</w:t>
      </w:r>
      <w:r w:rsidRPr="00A74446">
        <w:rPr>
          <w:rFonts w:hAnsi="標楷體"/>
        </w:rPr>
        <w:t>448</w:t>
      </w:r>
      <w:r w:rsidRPr="00A74446">
        <w:rPr>
          <w:rFonts w:hAnsi="標楷體" w:hint="eastAsia"/>
        </w:rPr>
        <w:t>萬元；歲出轉入數661億1,</w:t>
      </w:r>
      <w:r w:rsidRPr="00A74446">
        <w:rPr>
          <w:rFonts w:hAnsi="標楷體"/>
        </w:rPr>
        <w:t>408</w:t>
      </w:r>
      <w:r w:rsidRPr="00A74446">
        <w:rPr>
          <w:rFonts w:hAnsi="標楷體" w:hint="eastAsia"/>
        </w:rPr>
        <w:t>萬元，減免</w:t>
      </w:r>
      <w:r w:rsidRPr="00A74446">
        <w:rPr>
          <w:rFonts w:hAnsi="標楷體" w:hint="eastAsia"/>
          <w:spacing w:val="-4"/>
        </w:rPr>
        <w:t>（註銷）數51</w:t>
      </w:r>
      <w:r w:rsidRPr="00A74446">
        <w:rPr>
          <w:rFonts w:hAnsi="標楷體" w:hint="eastAsia"/>
        </w:rPr>
        <w:t>億2,</w:t>
      </w:r>
      <w:r w:rsidRPr="00A74446">
        <w:rPr>
          <w:rFonts w:hAnsi="標楷體"/>
        </w:rPr>
        <w:t>254</w:t>
      </w:r>
      <w:r w:rsidRPr="00A74446">
        <w:rPr>
          <w:rFonts w:hAnsi="標楷體" w:hint="eastAsia"/>
        </w:rPr>
        <w:t>萬元，實現數405億1,</w:t>
      </w:r>
      <w:r w:rsidRPr="00A74446">
        <w:rPr>
          <w:rFonts w:hAnsi="標楷體"/>
        </w:rPr>
        <w:t>269</w:t>
      </w:r>
      <w:r w:rsidRPr="00A74446">
        <w:rPr>
          <w:rFonts w:hAnsi="標楷體" w:hint="eastAsia"/>
        </w:rPr>
        <w:t>萬元，須轉入下年度繼續處理者204億7,</w:t>
      </w:r>
      <w:r w:rsidRPr="00A74446">
        <w:rPr>
          <w:rFonts w:hAnsi="標楷體"/>
        </w:rPr>
        <w:t>885</w:t>
      </w:r>
      <w:r w:rsidRPr="00A74446">
        <w:rPr>
          <w:rFonts w:hAnsi="標楷體" w:hint="eastAsia"/>
        </w:rPr>
        <w:t>萬元；</w:t>
      </w:r>
      <w:r w:rsidRPr="00F70452">
        <w:rPr>
          <w:rFonts w:hAnsi="標楷體" w:hint="eastAsia"/>
        </w:rPr>
        <w:t>融資調度之債務舉借轉入數</w:t>
      </w:r>
      <w:r w:rsidR="000C397C" w:rsidRPr="00F70452">
        <w:rPr>
          <w:rFonts w:hAnsi="標楷體"/>
        </w:rPr>
        <w:t>43</w:t>
      </w:r>
      <w:r w:rsidRPr="00F70452">
        <w:rPr>
          <w:rFonts w:hAnsi="標楷體" w:hint="eastAsia"/>
        </w:rPr>
        <w:t>億</w:t>
      </w:r>
      <w:r w:rsidR="000C397C" w:rsidRPr="00F70452">
        <w:rPr>
          <w:rFonts w:hAnsi="標楷體"/>
        </w:rPr>
        <w:t>1</w:t>
      </w:r>
      <w:r w:rsidRPr="00F70452">
        <w:rPr>
          <w:rFonts w:hAnsi="標楷體" w:hint="eastAsia"/>
        </w:rPr>
        <w:t>,</w:t>
      </w:r>
      <w:r w:rsidR="000C397C" w:rsidRPr="00F70452">
        <w:rPr>
          <w:rFonts w:hAnsi="標楷體"/>
        </w:rPr>
        <w:t>542</w:t>
      </w:r>
      <w:r w:rsidRPr="00F70452">
        <w:rPr>
          <w:rFonts w:hAnsi="標楷體" w:hint="eastAsia"/>
        </w:rPr>
        <w:t>萬元，全數轉入下年度繼續處理。</w:t>
      </w:r>
    </w:p>
    <w:p w:rsidR="00A74446" w:rsidRPr="00F70452" w:rsidRDefault="00A74446" w:rsidP="00A74446">
      <w:pPr>
        <w:pStyle w:val="40"/>
        <w:spacing w:line="520" w:lineRule="exact"/>
        <w:ind w:leftChars="344" w:left="826" w:firstLineChars="200" w:firstLine="560"/>
        <w:rPr>
          <w:rFonts w:ascii="標楷體" w:eastAsia="標楷體"/>
          <w:sz w:val="36"/>
        </w:rPr>
      </w:pPr>
      <w:r w:rsidRPr="00A74446">
        <w:rPr>
          <w:rFonts w:ascii="標楷體" w:eastAsia="標楷體" w:hAnsi="標楷體" w:hint="eastAsia"/>
          <w:sz w:val="28"/>
          <w:szCs w:val="28"/>
        </w:rPr>
        <w:t>綜上，</w:t>
      </w:r>
      <w:r w:rsidRPr="00A74446">
        <w:rPr>
          <w:rFonts w:ascii="標楷體" w:eastAsia="標楷體" w:hAnsi="標楷體"/>
          <w:sz w:val="28"/>
          <w:szCs w:val="28"/>
        </w:rPr>
        <w:t>85</w:t>
      </w:r>
      <w:r w:rsidRPr="00A74446">
        <w:rPr>
          <w:rFonts w:ascii="標楷體" w:eastAsia="標楷體" w:hAnsi="標楷體" w:hint="eastAsia"/>
          <w:sz w:val="28"/>
          <w:szCs w:val="28"/>
        </w:rPr>
        <w:t>年度至</w:t>
      </w:r>
      <w:proofErr w:type="gramStart"/>
      <w:r w:rsidRPr="00A74446">
        <w:rPr>
          <w:rFonts w:ascii="標楷體" w:eastAsia="標楷體" w:hAnsi="標楷體"/>
          <w:sz w:val="28"/>
          <w:szCs w:val="28"/>
        </w:rPr>
        <w:t>105</w:t>
      </w:r>
      <w:proofErr w:type="gramEnd"/>
      <w:r w:rsidRPr="00A74446">
        <w:rPr>
          <w:rFonts w:ascii="標楷體" w:eastAsia="標楷體" w:hAnsi="標楷體" w:hint="eastAsia"/>
          <w:sz w:val="28"/>
          <w:szCs w:val="28"/>
        </w:rPr>
        <w:t>年度歲入轉入數</w:t>
      </w:r>
      <w:r w:rsidRPr="00A74446">
        <w:rPr>
          <w:rFonts w:ascii="標楷體" w:eastAsia="標楷體" w:hAnsi="標楷體"/>
          <w:sz w:val="28"/>
          <w:szCs w:val="28"/>
        </w:rPr>
        <w:t>2,586</w:t>
      </w:r>
      <w:r w:rsidRPr="00A74446">
        <w:rPr>
          <w:rFonts w:ascii="標楷體" w:eastAsia="標楷體" w:hAnsi="標楷體" w:hint="eastAsia"/>
          <w:sz w:val="28"/>
          <w:szCs w:val="28"/>
        </w:rPr>
        <w:t>億3</w:t>
      </w:r>
      <w:r w:rsidRPr="00A74446">
        <w:rPr>
          <w:rFonts w:ascii="標楷體" w:eastAsia="標楷體" w:hAnsi="標楷體"/>
          <w:sz w:val="28"/>
          <w:szCs w:val="28"/>
        </w:rPr>
        <w:t>,572</w:t>
      </w:r>
      <w:r w:rsidRPr="00A74446">
        <w:rPr>
          <w:rFonts w:ascii="標楷體" w:eastAsia="標楷體" w:hAnsi="標楷體" w:hint="eastAsia"/>
          <w:sz w:val="28"/>
          <w:szCs w:val="28"/>
        </w:rPr>
        <w:t>萬元，減免（註銷）數</w:t>
      </w:r>
      <w:r w:rsidRPr="00A74446">
        <w:rPr>
          <w:rFonts w:ascii="標楷體" w:eastAsia="標楷體" w:hAnsi="標楷體"/>
          <w:sz w:val="28"/>
          <w:szCs w:val="28"/>
        </w:rPr>
        <w:t>4</w:t>
      </w:r>
      <w:r w:rsidRPr="00A74446">
        <w:rPr>
          <w:rFonts w:ascii="標楷體" w:eastAsia="標楷體" w:hAnsi="標楷體" w:hint="eastAsia"/>
          <w:sz w:val="28"/>
          <w:szCs w:val="28"/>
        </w:rPr>
        <w:t>億8</w:t>
      </w:r>
      <w:r w:rsidRPr="00A74446">
        <w:rPr>
          <w:rFonts w:ascii="標楷體" w:eastAsia="標楷體" w:hAnsi="標楷體"/>
          <w:sz w:val="28"/>
          <w:szCs w:val="28"/>
        </w:rPr>
        <w:t>,548</w:t>
      </w:r>
      <w:r w:rsidRPr="00A74446">
        <w:rPr>
          <w:rFonts w:ascii="標楷體" w:eastAsia="標楷體" w:hAnsi="標楷體" w:hint="eastAsia"/>
          <w:sz w:val="28"/>
          <w:szCs w:val="28"/>
        </w:rPr>
        <w:t>萬元，實現數243億5</w:t>
      </w:r>
      <w:r w:rsidRPr="00A74446">
        <w:rPr>
          <w:rFonts w:ascii="標楷體" w:eastAsia="標楷體" w:hAnsi="標楷體"/>
          <w:sz w:val="28"/>
          <w:szCs w:val="28"/>
        </w:rPr>
        <w:t>,591</w:t>
      </w:r>
      <w:r w:rsidRPr="00A74446">
        <w:rPr>
          <w:rFonts w:ascii="標楷體" w:eastAsia="標楷體" w:hAnsi="標楷體" w:hint="eastAsia"/>
          <w:sz w:val="28"/>
          <w:szCs w:val="28"/>
        </w:rPr>
        <w:t>萬元，須轉入下年度繼續處理者</w:t>
      </w:r>
      <w:r w:rsidRPr="00A74446">
        <w:rPr>
          <w:rFonts w:ascii="標楷體" w:eastAsia="標楷體" w:hAnsi="標楷體"/>
          <w:sz w:val="28"/>
          <w:szCs w:val="28"/>
        </w:rPr>
        <w:t>2,337</w:t>
      </w:r>
      <w:r w:rsidRPr="00A74446">
        <w:rPr>
          <w:rFonts w:ascii="標楷體" w:eastAsia="標楷體" w:hAnsi="標楷體" w:hint="eastAsia"/>
          <w:sz w:val="28"/>
          <w:szCs w:val="28"/>
        </w:rPr>
        <w:t>億9</w:t>
      </w:r>
      <w:r w:rsidRPr="00A74446">
        <w:rPr>
          <w:rFonts w:ascii="標楷體" w:eastAsia="標楷體" w:hAnsi="標楷體"/>
          <w:sz w:val="28"/>
          <w:szCs w:val="28"/>
        </w:rPr>
        <w:t>,433</w:t>
      </w:r>
      <w:r w:rsidRPr="00A74446">
        <w:rPr>
          <w:rFonts w:ascii="標楷體" w:eastAsia="標楷體" w:hAnsi="標楷體" w:hint="eastAsia"/>
          <w:sz w:val="28"/>
          <w:szCs w:val="28"/>
        </w:rPr>
        <w:t>萬元；歲出轉入數979億5,199萬元，</w:t>
      </w:r>
      <w:r w:rsidR="00A4471A" w:rsidRPr="00A4471A">
        <w:rPr>
          <w:rFonts w:ascii="標楷體" w:eastAsia="標楷體" w:hAnsi="標楷體" w:hint="eastAsia"/>
          <w:sz w:val="28"/>
          <w:szCs w:val="28"/>
        </w:rPr>
        <w:t>減免（註銷）數</w:t>
      </w:r>
      <w:r w:rsidRPr="00A74446">
        <w:rPr>
          <w:rFonts w:ascii="標楷體" w:eastAsia="標楷體" w:hAnsi="標楷體" w:hint="eastAsia"/>
          <w:sz w:val="28"/>
          <w:szCs w:val="28"/>
        </w:rPr>
        <w:t>8</w:t>
      </w:r>
      <w:r w:rsidRPr="00A74446">
        <w:rPr>
          <w:rFonts w:ascii="標楷體" w:eastAsia="標楷體" w:hAnsi="標楷體"/>
          <w:sz w:val="28"/>
          <w:szCs w:val="28"/>
        </w:rPr>
        <w:t>4</w:t>
      </w:r>
      <w:r w:rsidRPr="00A74446">
        <w:rPr>
          <w:rFonts w:ascii="標楷體" w:eastAsia="標楷體" w:hAnsi="標楷體" w:hint="eastAsia"/>
          <w:sz w:val="28"/>
          <w:szCs w:val="28"/>
        </w:rPr>
        <w:t>億2</w:t>
      </w:r>
      <w:r w:rsidRPr="00A74446">
        <w:rPr>
          <w:rFonts w:ascii="標楷體" w:eastAsia="標楷體" w:hAnsi="標楷體"/>
          <w:sz w:val="28"/>
          <w:szCs w:val="28"/>
        </w:rPr>
        <w:t>,28</w:t>
      </w:r>
      <w:r w:rsidR="00EF4266">
        <w:rPr>
          <w:rFonts w:ascii="標楷體" w:eastAsia="標楷體" w:hAnsi="標楷體"/>
          <w:sz w:val="28"/>
          <w:szCs w:val="28"/>
        </w:rPr>
        <w:t>5</w:t>
      </w:r>
      <w:r w:rsidRPr="00A74446">
        <w:rPr>
          <w:rFonts w:ascii="標楷體" w:eastAsia="標楷體" w:hAnsi="標楷體" w:hint="eastAsia"/>
          <w:sz w:val="28"/>
          <w:szCs w:val="28"/>
        </w:rPr>
        <w:t>萬元，實現數567億9</w:t>
      </w:r>
      <w:r w:rsidRPr="00A74446">
        <w:rPr>
          <w:rFonts w:ascii="標楷體" w:eastAsia="標楷體" w:hAnsi="標楷體"/>
          <w:sz w:val="28"/>
          <w:szCs w:val="28"/>
        </w:rPr>
        <w:t>,273</w:t>
      </w:r>
      <w:r w:rsidRPr="00A74446">
        <w:rPr>
          <w:rFonts w:ascii="標楷體" w:eastAsia="標楷體" w:hAnsi="標楷體" w:hint="eastAsia"/>
          <w:sz w:val="28"/>
          <w:szCs w:val="28"/>
        </w:rPr>
        <w:t>萬元，須轉入下年度繼續處理者</w:t>
      </w:r>
      <w:r w:rsidRPr="00A74446">
        <w:rPr>
          <w:rFonts w:ascii="標楷體" w:eastAsia="標楷體" w:hAnsi="標楷體"/>
          <w:sz w:val="28"/>
          <w:szCs w:val="28"/>
        </w:rPr>
        <w:t>327</w:t>
      </w:r>
      <w:r w:rsidRPr="00A74446">
        <w:rPr>
          <w:rFonts w:ascii="標楷體" w:eastAsia="標楷體" w:hAnsi="標楷體" w:hint="eastAsia"/>
          <w:sz w:val="28"/>
          <w:szCs w:val="28"/>
        </w:rPr>
        <w:t>億3</w:t>
      </w:r>
      <w:r w:rsidRPr="00A74446">
        <w:rPr>
          <w:rFonts w:ascii="標楷體" w:eastAsia="標楷體" w:hAnsi="標楷體"/>
          <w:sz w:val="28"/>
          <w:szCs w:val="28"/>
        </w:rPr>
        <w:t>,64</w:t>
      </w:r>
      <w:r w:rsidR="00EF4266">
        <w:rPr>
          <w:rFonts w:ascii="標楷體" w:eastAsia="標楷體" w:hAnsi="標楷體"/>
          <w:sz w:val="28"/>
          <w:szCs w:val="28"/>
        </w:rPr>
        <w:t>1</w:t>
      </w:r>
      <w:r w:rsidRPr="00A74446">
        <w:rPr>
          <w:rFonts w:ascii="標楷體" w:eastAsia="標楷體" w:hAnsi="標楷體" w:hint="eastAsia"/>
          <w:sz w:val="28"/>
          <w:szCs w:val="28"/>
        </w:rPr>
        <w:t>萬元；</w:t>
      </w:r>
      <w:r w:rsidRPr="00F70452">
        <w:rPr>
          <w:rFonts w:ascii="標楷體" w:eastAsia="標楷體" w:hAnsi="標楷體" w:hint="eastAsia"/>
          <w:sz w:val="28"/>
          <w:szCs w:val="28"/>
        </w:rPr>
        <w:t>融資調度之債務舉借轉入數</w:t>
      </w:r>
      <w:r w:rsidR="00F70452" w:rsidRPr="00F70452">
        <w:rPr>
          <w:rFonts w:ascii="標楷體" w:eastAsia="標楷體" w:hAnsi="標楷體"/>
          <w:sz w:val="28"/>
          <w:szCs w:val="28"/>
        </w:rPr>
        <w:t>133</w:t>
      </w:r>
      <w:r w:rsidRPr="00F70452">
        <w:rPr>
          <w:rFonts w:ascii="標楷體" w:eastAsia="標楷體" w:hAnsi="標楷體" w:hint="eastAsia"/>
          <w:sz w:val="28"/>
          <w:szCs w:val="28"/>
        </w:rPr>
        <w:t>億</w:t>
      </w:r>
      <w:r w:rsidR="00F70452" w:rsidRPr="00F70452">
        <w:rPr>
          <w:rFonts w:ascii="標楷體" w:eastAsia="標楷體" w:hAnsi="標楷體"/>
          <w:sz w:val="28"/>
          <w:szCs w:val="28"/>
        </w:rPr>
        <w:t>1</w:t>
      </w:r>
      <w:r w:rsidRPr="00F70452">
        <w:rPr>
          <w:rFonts w:ascii="標楷體" w:eastAsia="標楷體" w:hAnsi="標楷體"/>
          <w:sz w:val="28"/>
          <w:szCs w:val="28"/>
        </w:rPr>
        <w:t>,</w:t>
      </w:r>
      <w:r w:rsidR="00F70452" w:rsidRPr="00F70452">
        <w:rPr>
          <w:rFonts w:ascii="標楷體" w:eastAsia="標楷體" w:hAnsi="標楷體"/>
          <w:sz w:val="28"/>
          <w:szCs w:val="28"/>
        </w:rPr>
        <w:t>020</w:t>
      </w:r>
      <w:r w:rsidRPr="00F70452">
        <w:rPr>
          <w:rFonts w:ascii="標楷體" w:eastAsia="標楷體" w:hAnsi="標楷體" w:hint="eastAsia"/>
          <w:sz w:val="28"/>
          <w:szCs w:val="28"/>
        </w:rPr>
        <w:t>萬元</w:t>
      </w:r>
      <w:r w:rsidR="00EF4266" w:rsidRPr="00F70452">
        <w:rPr>
          <w:rFonts w:ascii="標楷體" w:eastAsia="標楷體" w:hAnsi="標楷體" w:hint="eastAsia"/>
          <w:sz w:val="28"/>
          <w:szCs w:val="28"/>
        </w:rPr>
        <w:t>，減免（註銷）數</w:t>
      </w:r>
      <w:r w:rsidR="00EF4266" w:rsidRPr="00F70452">
        <w:rPr>
          <w:rFonts w:ascii="標楷體" w:eastAsia="標楷體" w:hAnsi="標楷體"/>
          <w:sz w:val="28"/>
          <w:szCs w:val="28"/>
        </w:rPr>
        <w:t>939</w:t>
      </w:r>
      <w:r w:rsidR="00EF4266" w:rsidRPr="00F70452">
        <w:rPr>
          <w:rFonts w:ascii="標楷體" w:eastAsia="標楷體" w:hAnsi="標楷體" w:hint="eastAsia"/>
          <w:sz w:val="28"/>
          <w:szCs w:val="28"/>
        </w:rPr>
        <w:t>萬元</w:t>
      </w:r>
      <w:r w:rsidRPr="00F70452">
        <w:rPr>
          <w:rFonts w:ascii="標楷體" w:eastAsia="標楷體" w:hAnsi="標楷體" w:hint="eastAsia"/>
          <w:sz w:val="28"/>
          <w:szCs w:val="28"/>
        </w:rPr>
        <w:t>，實現數</w:t>
      </w:r>
      <w:r w:rsidR="00F70452" w:rsidRPr="00F70452">
        <w:rPr>
          <w:rFonts w:ascii="標楷體" w:eastAsia="標楷體" w:hAnsi="標楷體"/>
          <w:sz w:val="28"/>
          <w:szCs w:val="28"/>
        </w:rPr>
        <w:t>89</w:t>
      </w:r>
      <w:r w:rsidRPr="00F70452">
        <w:rPr>
          <w:rFonts w:ascii="標楷體" w:eastAsia="標楷體" w:hAnsi="標楷體" w:hint="eastAsia"/>
          <w:sz w:val="28"/>
          <w:szCs w:val="28"/>
        </w:rPr>
        <w:t>億</w:t>
      </w:r>
      <w:r w:rsidR="00F70452" w:rsidRPr="00F70452">
        <w:rPr>
          <w:rFonts w:ascii="標楷體" w:eastAsia="標楷體" w:hAnsi="標楷體"/>
          <w:sz w:val="28"/>
          <w:szCs w:val="28"/>
        </w:rPr>
        <w:t>8</w:t>
      </w:r>
      <w:r w:rsidR="00F70452" w:rsidRPr="00F70452">
        <w:rPr>
          <w:rFonts w:ascii="標楷體" w:eastAsia="標楷體" w:hAnsi="標楷體" w:hint="eastAsia"/>
          <w:sz w:val="28"/>
          <w:szCs w:val="28"/>
        </w:rPr>
        <w:t>,</w:t>
      </w:r>
      <w:r w:rsidR="00F70452" w:rsidRPr="00F70452">
        <w:rPr>
          <w:rFonts w:ascii="標楷體" w:eastAsia="標楷體" w:hAnsi="標楷體"/>
          <w:sz w:val="28"/>
          <w:szCs w:val="28"/>
        </w:rPr>
        <w:t>539</w:t>
      </w:r>
      <w:r w:rsidR="00F70452" w:rsidRPr="00F70452">
        <w:rPr>
          <w:rFonts w:ascii="標楷體" w:eastAsia="標楷體" w:hAnsi="標楷體" w:hint="eastAsia"/>
          <w:sz w:val="28"/>
          <w:szCs w:val="28"/>
        </w:rPr>
        <w:t>萬元，</w:t>
      </w:r>
      <w:r w:rsidRPr="00F70452">
        <w:rPr>
          <w:rFonts w:ascii="標楷體" w:eastAsia="標楷體" w:hAnsi="標楷體" w:hint="eastAsia"/>
          <w:sz w:val="28"/>
          <w:szCs w:val="28"/>
        </w:rPr>
        <w:t>須轉入下年度繼續處理者</w:t>
      </w:r>
      <w:r w:rsidR="00F70452" w:rsidRPr="00F70452">
        <w:rPr>
          <w:rFonts w:ascii="標楷體" w:eastAsia="標楷體" w:hAnsi="標楷體" w:hint="eastAsia"/>
          <w:sz w:val="28"/>
          <w:szCs w:val="28"/>
        </w:rPr>
        <w:t>43億1,542</w:t>
      </w:r>
      <w:r w:rsidRPr="00F70452">
        <w:rPr>
          <w:rFonts w:ascii="標楷體" w:eastAsia="標楷體" w:hAnsi="標楷體" w:hint="eastAsia"/>
          <w:sz w:val="28"/>
          <w:szCs w:val="28"/>
        </w:rPr>
        <w:t>萬元。</w:t>
      </w:r>
    </w:p>
    <w:p w:rsidR="005731DE" w:rsidRPr="005731DE" w:rsidRDefault="005731DE" w:rsidP="005731DE">
      <w:pPr>
        <w:spacing w:before="480" w:afterLines="100" w:after="240" w:line="400" w:lineRule="exact"/>
        <w:jc w:val="both"/>
        <w:rPr>
          <w:rFonts w:ascii="標楷體" w:eastAsia="標楷體" w:hAnsi="標楷體"/>
          <w:color w:val="000000"/>
          <w:sz w:val="36"/>
          <w:szCs w:val="36"/>
        </w:rPr>
      </w:pPr>
      <w:r w:rsidRPr="005731DE">
        <w:rPr>
          <w:rFonts w:ascii="標楷體" w:eastAsia="標楷體" w:hAnsi="標楷體" w:hint="eastAsia"/>
          <w:color w:val="000000"/>
          <w:sz w:val="36"/>
          <w:szCs w:val="36"/>
        </w:rPr>
        <w:t>二、國庫收支實況</w:t>
      </w:r>
    </w:p>
    <w:p w:rsidR="005731DE" w:rsidRPr="005731DE" w:rsidRDefault="005731DE" w:rsidP="005731DE">
      <w:pPr>
        <w:spacing w:line="500" w:lineRule="exact"/>
        <w:jc w:val="both"/>
        <w:rPr>
          <w:rFonts w:ascii="標楷體" w:eastAsia="標楷體" w:hAnsi="標楷體"/>
          <w:color w:val="000000"/>
          <w:sz w:val="28"/>
        </w:rPr>
      </w:pPr>
      <w:r w:rsidRPr="005731DE">
        <w:rPr>
          <w:rFonts w:ascii="標楷體" w:eastAsia="標楷體" w:hAnsi="標楷體" w:hint="eastAsia"/>
          <w:color w:val="000000"/>
          <w:sz w:val="28"/>
        </w:rPr>
        <w:t>（一）收入之部</w:t>
      </w:r>
    </w:p>
    <w:p w:rsidR="005731DE" w:rsidRPr="005731DE" w:rsidRDefault="005731DE" w:rsidP="005731DE">
      <w:pPr>
        <w:spacing w:line="520" w:lineRule="exact"/>
        <w:ind w:leftChars="361" w:left="866" w:firstLineChars="200" w:firstLine="560"/>
        <w:jc w:val="both"/>
        <w:rPr>
          <w:rFonts w:ascii="標楷體" w:eastAsia="標楷體" w:hAnsi="標楷體"/>
          <w:color w:val="000000"/>
          <w:sz w:val="28"/>
        </w:rPr>
      </w:pPr>
      <w:r w:rsidRPr="005731DE">
        <w:rPr>
          <w:rFonts w:ascii="標楷體" w:eastAsia="標楷體" w:hAnsi="標楷體" w:hint="eastAsia"/>
          <w:color w:val="000000"/>
          <w:sz w:val="28"/>
        </w:rPr>
        <w:t>本</w:t>
      </w:r>
      <w:r w:rsidRPr="005731DE">
        <w:rPr>
          <w:rFonts w:ascii="標楷體" w:eastAsia="標楷體" w:hAnsi="標楷體" w:hint="eastAsia"/>
          <w:color w:val="000000"/>
          <w:spacing w:val="-2"/>
          <w:sz w:val="28"/>
        </w:rPr>
        <w:t>年度各項</w:t>
      </w:r>
      <w:proofErr w:type="gramStart"/>
      <w:r w:rsidRPr="005731DE">
        <w:rPr>
          <w:rFonts w:ascii="標楷體" w:eastAsia="標楷體" w:hAnsi="標楷體" w:hint="eastAsia"/>
          <w:color w:val="000000"/>
          <w:spacing w:val="-2"/>
          <w:sz w:val="28"/>
        </w:rPr>
        <w:t>收入納庫數</w:t>
      </w:r>
      <w:proofErr w:type="gramEnd"/>
      <w:r w:rsidRPr="005731DE">
        <w:rPr>
          <w:rFonts w:ascii="標楷體" w:eastAsia="標楷體" w:hAnsi="標楷體" w:hint="eastAsia"/>
          <w:color w:val="000000"/>
          <w:spacing w:val="-2"/>
          <w:sz w:val="28"/>
        </w:rPr>
        <w:t>包括：稅課收入</w:t>
      </w:r>
      <w:r w:rsidRPr="005731DE">
        <w:rPr>
          <w:rFonts w:ascii="標楷體" w:eastAsia="標楷體" w:hAnsi="標楷體"/>
          <w:color w:val="000000"/>
          <w:spacing w:val="-2"/>
          <w:sz w:val="28"/>
        </w:rPr>
        <w:t>1</w:t>
      </w:r>
      <w:r w:rsidRPr="005731DE">
        <w:rPr>
          <w:rFonts w:ascii="標楷體" w:eastAsia="標楷體" w:hAnsi="標楷體" w:hint="eastAsia"/>
          <w:color w:val="000000"/>
          <w:spacing w:val="-2"/>
          <w:sz w:val="28"/>
        </w:rPr>
        <w:t>兆</w:t>
      </w:r>
      <w:r w:rsidRPr="005731DE">
        <w:rPr>
          <w:rFonts w:ascii="標楷體" w:eastAsia="標楷體" w:hAnsi="標楷體"/>
          <w:color w:val="000000"/>
          <w:spacing w:val="-2"/>
          <w:sz w:val="28"/>
        </w:rPr>
        <w:t>5,</w:t>
      </w:r>
      <w:r w:rsidR="006569CE">
        <w:rPr>
          <w:rFonts w:ascii="標楷體" w:eastAsia="標楷體" w:hAnsi="標楷體"/>
          <w:color w:val="000000"/>
          <w:spacing w:val="-2"/>
          <w:sz w:val="28"/>
        </w:rPr>
        <w:t>22</w:t>
      </w:r>
      <w:r w:rsidR="00252369">
        <w:rPr>
          <w:rFonts w:ascii="標楷體" w:eastAsia="標楷體" w:hAnsi="標楷體"/>
          <w:color w:val="000000"/>
          <w:spacing w:val="-2"/>
          <w:sz w:val="28"/>
        </w:rPr>
        <w:t>1</w:t>
      </w:r>
      <w:r w:rsidRPr="005731DE">
        <w:rPr>
          <w:rFonts w:ascii="標楷體" w:eastAsia="標楷體" w:hAnsi="標楷體" w:hint="eastAsia"/>
          <w:color w:val="000000"/>
          <w:spacing w:val="-2"/>
          <w:sz w:val="28"/>
        </w:rPr>
        <w:t>億元，罰款及賠償收入</w:t>
      </w:r>
      <w:r w:rsidR="006569CE">
        <w:rPr>
          <w:rFonts w:ascii="標楷體" w:eastAsia="標楷體" w:hAnsi="標楷體"/>
          <w:color w:val="000000"/>
          <w:spacing w:val="-2"/>
          <w:sz w:val="28"/>
        </w:rPr>
        <w:t>31</w:t>
      </w:r>
      <w:r w:rsidR="00252369">
        <w:rPr>
          <w:rFonts w:ascii="標楷體" w:eastAsia="標楷體" w:hAnsi="標楷體"/>
          <w:color w:val="000000"/>
          <w:spacing w:val="-2"/>
          <w:sz w:val="28"/>
        </w:rPr>
        <w:t>4</w:t>
      </w:r>
      <w:r w:rsidRPr="005731DE">
        <w:rPr>
          <w:rFonts w:ascii="標楷體" w:eastAsia="標楷體" w:hAnsi="標楷體" w:hint="eastAsia"/>
          <w:color w:val="000000"/>
          <w:spacing w:val="-2"/>
          <w:sz w:val="28"/>
        </w:rPr>
        <w:t>億元，規費收入</w:t>
      </w:r>
      <w:r w:rsidR="006569CE">
        <w:rPr>
          <w:rFonts w:ascii="標楷體" w:eastAsia="標楷體" w:hAnsi="標楷體"/>
          <w:color w:val="000000"/>
          <w:spacing w:val="-2"/>
          <w:sz w:val="28"/>
        </w:rPr>
        <w:t>886</w:t>
      </w:r>
      <w:r w:rsidRPr="005731DE">
        <w:rPr>
          <w:rFonts w:ascii="標楷體" w:eastAsia="標楷體" w:hAnsi="標楷體" w:hint="eastAsia"/>
          <w:color w:val="000000"/>
          <w:spacing w:val="-2"/>
          <w:sz w:val="28"/>
        </w:rPr>
        <w:t>億元，財產收入</w:t>
      </w:r>
      <w:r w:rsidRPr="005731DE">
        <w:rPr>
          <w:rFonts w:ascii="標楷體" w:eastAsia="標楷體" w:hAnsi="標楷體"/>
          <w:color w:val="000000"/>
          <w:spacing w:val="-2"/>
          <w:sz w:val="28"/>
        </w:rPr>
        <w:t>2</w:t>
      </w:r>
      <w:r w:rsidR="006569CE">
        <w:rPr>
          <w:rFonts w:ascii="標楷體" w:eastAsia="標楷體" w:hAnsi="標楷體"/>
          <w:color w:val="000000"/>
          <w:spacing w:val="-2"/>
          <w:sz w:val="28"/>
        </w:rPr>
        <w:t>05</w:t>
      </w:r>
      <w:r w:rsidRPr="005731DE">
        <w:rPr>
          <w:rFonts w:ascii="標楷體" w:eastAsia="標楷體" w:hAnsi="標楷體" w:hint="eastAsia"/>
          <w:color w:val="000000"/>
          <w:spacing w:val="-2"/>
          <w:sz w:val="28"/>
        </w:rPr>
        <w:t>億元，營業盈餘及事業收入</w:t>
      </w:r>
      <w:r w:rsidRPr="005731DE">
        <w:rPr>
          <w:rFonts w:ascii="標楷體" w:eastAsia="標楷體" w:hAnsi="標楷體"/>
          <w:color w:val="000000"/>
          <w:spacing w:val="-2"/>
          <w:sz w:val="28"/>
        </w:rPr>
        <w:t>2,</w:t>
      </w:r>
      <w:r w:rsidR="006569CE">
        <w:rPr>
          <w:rFonts w:ascii="標楷體" w:eastAsia="標楷體" w:hAnsi="標楷體"/>
          <w:color w:val="000000"/>
          <w:spacing w:val="-2"/>
          <w:sz w:val="28"/>
        </w:rPr>
        <w:t>070</w:t>
      </w:r>
      <w:r w:rsidRPr="005731DE">
        <w:rPr>
          <w:rFonts w:ascii="標楷體" w:eastAsia="標楷體" w:hAnsi="標楷體" w:hint="eastAsia"/>
          <w:color w:val="000000"/>
          <w:spacing w:val="-2"/>
          <w:sz w:val="28"/>
        </w:rPr>
        <w:t>億元，捐獻及贈與收入</w:t>
      </w:r>
      <w:r w:rsidR="006569CE">
        <w:rPr>
          <w:rFonts w:ascii="標楷體" w:eastAsia="標楷體" w:hAnsi="標楷體"/>
          <w:color w:val="000000"/>
          <w:spacing w:val="-2"/>
          <w:sz w:val="28"/>
        </w:rPr>
        <w:t>183</w:t>
      </w:r>
      <w:r w:rsidRPr="005731DE">
        <w:rPr>
          <w:rFonts w:ascii="標楷體" w:eastAsia="標楷體" w:hAnsi="標楷體" w:hint="eastAsia"/>
          <w:color w:val="000000"/>
          <w:spacing w:val="-2"/>
          <w:sz w:val="28"/>
        </w:rPr>
        <w:t>萬元，其他收入</w:t>
      </w:r>
      <w:r w:rsidRPr="005731DE">
        <w:rPr>
          <w:rFonts w:ascii="標楷體" w:eastAsia="標楷體" w:hAnsi="標楷體"/>
          <w:color w:val="000000"/>
          <w:spacing w:val="-2"/>
          <w:sz w:val="28"/>
        </w:rPr>
        <w:t>1</w:t>
      </w:r>
      <w:r w:rsidR="006569CE">
        <w:rPr>
          <w:rFonts w:ascii="標楷體" w:eastAsia="標楷體" w:hAnsi="標楷體"/>
          <w:color w:val="000000"/>
          <w:spacing w:val="-2"/>
          <w:sz w:val="28"/>
        </w:rPr>
        <w:t>36</w:t>
      </w:r>
      <w:r w:rsidRPr="005731DE">
        <w:rPr>
          <w:rFonts w:ascii="標楷體" w:eastAsia="標楷體" w:hAnsi="標楷體" w:hint="eastAsia"/>
          <w:color w:val="000000"/>
          <w:spacing w:val="-2"/>
          <w:sz w:val="28"/>
        </w:rPr>
        <w:t>億元，以前年度收入</w:t>
      </w:r>
      <w:r w:rsidR="00252369">
        <w:rPr>
          <w:rFonts w:ascii="標楷體" w:eastAsia="標楷體" w:hAnsi="標楷體"/>
          <w:color w:val="000000"/>
          <w:spacing w:val="-2"/>
          <w:sz w:val="28"/>
        </w:rPr>
        <w:t>250</w:t>
      </w:r>
      <w:r w:rsidRPr="005731DE">
        <w:rPr>
          <w:rFonts w:ascii="標楷體" w:eastAsia="標楷體" w:hAnsi="標楷體" w:hint="eastAsia"/>
          <w:color w:val="000000"/>
          <w:spacing w:val="-2"/>
          <w:sz w:val="28"/>
        </w:rPr>
        <w:t>億元，收回剔除經費</w:t>
      </w:r>
      <w:r w:rsidRPr="005731DE">
        <w:rPr>
          <w:rFonts w:ascii="標楷體" w:eastAsia="標楷體" w:hAnsi="標楷體"/>
          <w:color w:val="000000"/>
          <w:spacing w:val="-2"/>
          <w:sz w:val="28"/>
        </w:rPr>
        <w:t>1</w:t>
      </w:r>
      <w:r w:rsidRPr="005731DE">
        <w:rPr>
          <w:rFonts w:ascii="標楷體" w:eastAsia="標楷體" w:hAnsi="標楷體" w:hint="eastAsia"/>
          <w:color w:val="000000"/>
          <w:spacing w:val="-2"/>
          <w:sz w:val="28"/>
        </w:rPr>
        <w:t>萬元，收回以前年度支出賸餘</w:t>
      </w:r>
      <w:r w:rsidRPr="005731DE">
        <w:rPr>
          <w:rFonts w:ascii="標楷體" w:eastAsia="標楷體" w:hAnsi="標楷體"/>
          <w:color w:val="000000"/>
          <w:spacing w:val="-2"/>
          <w:sz w:val="28"/>
        </w:rPr>
        <w:t>3</w:t>
      </w:r>
      <w:r w:rsidR="00252369">
        <w:rPr>
          <w:rFonts w:ascii="標楷體" w:eastAsia="標楷體" w:hAnsi="標楷體"/>
          <w:color w:val="000000"/>
          <w:spacing w:val="-2"/>
          <w:sz w:val="28"/>
        </w:rPr>
        <w:t>0</w:t>
      </w:r>
      <w:r w:rsidRPr="005731DE">
        <w:rPr>
          <w:rFonts w:ascii="標楷體" w:eastAsia="標楷體" w:hAnsi="標楷體" w:hint="eastAsia"/>
          <w:color w:val="000000"/>
          <w:spacing w:val="-2"/>
          <w:sz w:val="28"/>
        </w:rPr>
        <w:t>億元，國軍老舊眷村改建特別決算以前年度收入</w:t>
      </w:r>
      <w:r w:rsidR="00252369">
        <w:rPr>
          <w:rFonts w:ascii="標楷體" w:eastAsia="標楷體" w:hAnsi="標楷體"/>
          <w:color w:val="000000"/>
          <w:spacing w:val="-2"/>
          <w:sz w:val="28"/>
        </w:rPr>
        <w:t>92</w:t>
      </w:r>
      <w:r w:rsidRPr="005731DE">
        <w:rPr>
          <w:rFonts w:ascii="標楷體" w:eastAsia="標楷體" w:hAnsi="標楷體" w:hint="eastAsia"/>
          <w:color w:val="000000"/>
          <w:spacing w:val="-2"/>
          <w:sz w:val="28"/>
        </w:rPr>
        <w:t>億元</w:t>
      </w:r>
      <w:r w:rsidR="00252369">
        <w:rPr>
          <w:rFonts w:ascii="標楷體" w:eastAsia="標楷體" w:hAnsi="標楷體" w:hint="eastAsia"/>
          <w:color w:val="000000"/>
          <w:spacing w:val="-2"/>
          <w:sz w:val="28"/>
        </w:rPr>
        <w:t>，</w:t>
      </w:r>
      <w:r w:rsidR="00252369">
        <w:rPr>
          <w:rFonts w:ascii="標楷體" w:eastAsia="標楷體" w:hAnsi="標楷體"/>
          <w:color w:val="000000"/>
          <w:spacing w:val="-2"/>
          <w:sz w:val="28"/>
        </w:rPr>
        <w:t>流</w:t>
      </w:r>
      <w:r w:rsidR="00252369">
        <w:rPr>
          <w:rFonts w:ascii="標楷體" w:eastAsia="標楷體" w:hAnsi="標楷體" w:hint="eastAsia"/>
          <w:color w:val="000000"/>
          <w:spacing w:val="-2"/>
          <w:sz w:val="28"/>
        </w:rPr>
        <w:t>域</w:t>
      </w:r>
      <w:r w:rsidR="00252369">
        <w:rPr>
          <w:rFonts w:ascii="標楷體" w:eastAsia="標楷體" w:hAnsi="標楷體"/>
          <w:color w:val="000000"/>
          <w:spacing w:val="-2"/>
          <w:sz w:val="28"/>
        </w:rPr>
        <w:t>綜合</w:t>
      </w:r>
      <w:r w:rsidR="00252369">
        <w:rPr>
          <w:rFonts w:ascii="標楷體" w:eastAsia="標楷體" w:hAnsi="標楷體" w:hint="eastAsia"/>
          <w:color w:val="000000"/>
          <w:spacing w:val="-2"/>
          <w:sz w:val="28"/>
        </w:rPr>
        <w:t>治</w:t>
      </w:r>
      <w:r w:rsidR="00252369">
        <w:rPr>
          <w:rFonts w:ascii="標楷體" w:eastAsia="標楷體" w:hAnsi="標楷體"/>
          <w:color w:val="000000"/>
          <w:spacing w:val="-2"/>
          <w:sz w:val="28"/>
        </w:rPr>
        <w:t>理計畫第</w:t>
      </w:r>
      <w:r w:rsidR="00252369">
        <w:rPr>
          <w:rFonts w:ascii="標楷體" w:eastAsia="標楷體" w:hAnsi="標楷體" w:hint="eastAsia"/>
          <w:color w:val="000000"/>
          <w:spacing w:val="-2"/>
          <w:sz w:val="28"/>
        </w:rPr>
        <w:t>2期特</w:t>
      </w:r>
      <w:r w:rsidR="00252369">
        <w:rPr>
          <w:rFonts w:ascii="標楷體" w:eastAsia="標楷體" w:hAnsi="標楷體"/>
          <w:color w:val="000000"/>
          <w:spacing w:val="-2"/>
          <w:sz w:val="28"/>
        </w:rPr>
        <w:t>別決算</w:t>
      </w:r>
      <w:r w:rsidR="00252369">
        <w:rPr>
          <w:rFonts w:ascii="標楷體" w:eastAsia="標楷體" w:hAnsi="標楷體" w:hint="eastAsia"/>
          <w:color w:val="000000"/>
          <w:spacing w:val="-2"/>
          <w:sz w:val="28"/>
        </w:rPr>
        <w:t>收</w:t>
      </w:r>
      <w:r w:rsidR="00252369">
        <w:rPr>
          <w:rFonts w:ascii="標楷體" w:eastAsia="標楷體" w:hAnsi="標楷體"/>
          <w:color w:val="000000"/>
          <w:spacing w:val="-2"/>
          <w:sz w:val="28"/>
        </w:rPr>
        <w:t>入</w:t>
      </w:r>
      <w:r w:rsidR="00252369">
        <w:rPr>
          <w:rFonts w:ascii="標楷體" w:eastAsia="標楷體" w:hAnsi="標楷體" w:hint="eastAsia"/>
          <w:color w:val="000000"/>
          <w:spacing w:val="-2"/>
          <w:sz w:val="28"/>
        </w:rPr>
        <w:t>200億</w:t>
      </w:r>
      <w:r w:rsidR="00252369">
        <w:rPr>
          <w:rFonts w:ascii="標楷體" w:eastAsia="標楷體" w:hAnsi="標楷體"/>
          <w:color w:val="000000"/>
          <w:spacing w:val="-2"/>
          <w:sz w:val="28"/>
        </w:rPr>
        <w:t>元</w:t>
      </w:r>
      <w:r w:rsidRPr="005731DE">
        <w:rPr>
          <w:rFonts w:ascii="標楷體" w:eastAsia="標楷體" w:hAnsi="標楷體" w:hint="eastAsia"/>
          <w:color w:val="000000"/>
          <w:spacing w:val="-2"/>
          <w:sz w:val="28"/>
        </w:rPr>
        <w:t>，債務舉借收入</w:t>
      </w:r>
      <w:r w:rsidR="00252369">
        <w:rPr>
          <w:rFonts w:ascii="標楷體" w:eastAsia="標楷體" w:hAnsi="標楷體"/>
          <w:color w:val="000000"/>
          <w:spacing w:val="-2"/>
          <w:sz w:val="28"/>
        </w:rPr>
        <w:t>980</w:t>
      </w:r>
      <w:r w:rsidRPr="005731DE">
        <w:rPr>
          <w:rFonts w:ascii="標楷體" w:eastAsia="標楷體" w:hAnsi="標楷體" w:hint="eastAsia"/>
          <w:color w:val="000000"/>
          <w:spacing w:val="-2"/>
          <w:sz w:val="28"/>
        </w:rPr>
        <w:t>億元，合共</w:t>
      </w:r>
      <w:r w:rsidRPr="005731DE">
        <w:rPr>
          <w:rFonts w:ascii="標楷體" w:eastAsia="標楷體" w:hAnsi="標楷體"/>
          <w:color w:val="000000"/>
          <w:spacing w:val="-2"/>
          <w:sz w:val="28"/>
        </w:rPr>
        <w:t>2</w:t>
      </w:r>
      <w:r w:rsidRPr="005731DE">
        <w:rPr>
          <w:rFonts w:ascii="標楷體" w:eastAsia="標楷體" w:hAnsi="標楷體" w:hint="eastAsia"/>
          <w:color w:val="000000"/>
          <w:spacing w:val="-2"/>
          <w:sz w:val="28"/>
        </w:rPr>
        <w:t>兆</w:t>
      </w:r>
      <w:r w:rsidR="00252369">
        <w:rPr>
          <w:rFonts w:ascii="標楷體" w:eastAsia="標楷體" w:hAnsi="標楷體"/>
          <w:color w:val="000000"/>
          <w:spacing w:val="-2"/>
          <w:sz w:val="28"/>
        </w:rPr>
        <w:t>384</w:t>
      </w:r>
      <w:r w:rsidRPr="005731DE">
        <w:rPr>
          <w:rFonts w:ascii="標楷體" w:eastAsia="標楷體" w:hAnsi="標楷體" w:hint="eastAsia"/>
          <w:color w:val="000000"/>
          <w:spacing w:val="-2"/>
          <w:sz w:val="28"/>
        </w:rPr>
        <w:t>億元。</w:t>
      </w:r>
    </w:p>
    <w:p w:rsidR="005731DE" w:rsidRPr="005731DE" w:rsidRDefault="005731DE" w:rsidP="005731DE">
      <w:pPr>
        <w:spacing w:line="500" w:lineRule="exact"/>
        <w:jc w:val="both"/>
        <w:rPr>
          <w:rFonts w:ascii="標楷體" w:eastAsia="標楷體" w:hAnsi="標楷體"/>
          <w:color w:val="000000"/>
          <w:sz w:val="36"/>
        </w:rPr>
      </w:pPr>
      <w:r w:rsidRPr="005731DE">
        <w:rPr>
          <w:rFonts w:ascii="標楷體" w:eastAsia="標楷體" w:hAnsi="標楷體" w:hint="eastAsia"/>
          <w:color w:val="000000"/>
          <w:sz w:val="28"/>
        </w:rPr>
        <w:t>（二）支出之部</w:t>
      </w:r>
    </w:p>
    <w:p w:rsidR="005731DE" w:rsidRPr="005731DE" w:rsidRDefault="005731DE" w:rsidP="005731DE">
      <w:pPr>
        <w:spacing w:line="540" w:lineRule="exact"/>
        <w:ind w:leftChars="367" w:left="881" w:firstLineChars="200" w:firstLine="560"/>
        <w:jc w:val="both"/>
        <w:rPr>
          <w:rFonts w:ascii="標楷體" w:eastAsia="標楷體" w:hAnsi="標楷體"/>
          <w:color w:val="000000"/>
          <w:sz w:val="28"/>
        </w:rPr>
      </w:pPr>
      <w:r w:rsidRPr="005731DE">
        <w:rPr>
          <w:rFonts w:ascii="標楷體" w:eastAsia="標楷體" w:hAnsi="標楷體" w:hint="eastAsia"/>
          <w:color w:val="000000"/>
          <w:sz w:val="28"/>
        </w:rPr>
        <w:t>本年度各項支出撥付數包括：各機關（含補助</w:t>
      </w:r>
      <w:r w:rsidR="00F716F9" w:rsidRPr="005731DE">
        <w:rPr>
          <w:rFonts w:ascii="標楷體" w:eastAsia="標楷體" w:hAnsi="標楷體" w:hint="eastAsia"/>
          <w:color w:val="000000"/>
          <w:sz w:val="28"/>
        </w:rPr>
        <w:t>市</w:t>
      </w:r>
      <w:r w:rsidRPr="005731DE">
        <w:rPr>
          <w:rFonts w:ascii="標楷體" w:eastAsia="標楷體" w:hAnsi="標楷體" w:hint="eastAsia"/>
          <w:color w:val="000000"/>
          <w:sz w:val="28"/>
        </w:rPr>
        <w:t>縣）經費支出</w:t>
      </w:r>
      <w:r w:rsidRPr="005731DE">
        <w:rPr>
          <w:rFonts w:ascii="標楷體" w:eastAsia="標楷體" w:hAnsi="標楷體"/>
          <w:color w:val="000000"/>
          <w:sz w:val="28"/>
        </w:rPr>
        <w:t>1</w:t>
      </w:r>
      <w:r w:rsidRPr="005731DE">
        <w:rPr>
          <w:rFonts w:ascii="標楷體" w:eastAsia="標楷體" w:hAnsi="標楷體" w:hint="eastAsia"/>
          <w:color w:val="000000"/>
          <w:sz w:val="28"/>
        </w:rPr>
        <w:t>兆</w:t>
      </w:r>
      <w:r w:rsidRPr="005731DE">
        <w:rPr>
          <w:rFonts w:ascii="標楷體" w:eastAsia="標楷體" w:hAnsi="標楷體"/>
          <w:color w:val="000000"/>
          <w:sz w:val="28"/>
        </w:rPr>
        <w:t>8,</w:t>
      </w:r>
      <w:r w:rsidR="00252369">
        <w:rPr>
          <w:rFonts w:ascii="標楷體" w:eastAsia="標楷體" w:hAnsi="標楷體"/>
          <w:color w:val="000000"/>
          <w:sz w:val="28"/>
        </w:rPr>
        <w:t>885</w:t>
      </w:r>
      <w:r w:rsidRPr="005731DE">
        <w:rPr>
          <w:rFonts w:ascii="標楷體" w:eastAsia="標楷體" w:hAnsi="標楷體" w:hint="eastAsia"/>
          <w:color w:val="000000"/>
          <w:sz w:val="28"/>
        </w:rPr>
        <w:t>億元，以前年度支出3</w:t>
      </w:r>
      <w:r w:rsidR="00252369">
        <w:rPr>
          <w:rFonts w:ascii="標楷體" w:eastAsia="標楷體" w:hAnsi="標楷體"/>
          <w:color w:val="000000"/>
          <w:sz w:val="28"/>
        </w:rPr>
        <w:t>15</w:t>
      </w:r>
      <w:r w:rsidRPr="005731DE">
        <w:rPr>
          <w:rFonts w:ascii="標楷體" w:eastAsia="標楷體" w:hAnsi="標楷體" w:hint="eastAsia"/>
          <w:color w:val="000000"/>
          <w:sz w:val="28"/>
        </w:rPr>
        <w:t>億元，退還以前年度歲入</w:t>
      </w:r>
      <w:r w:rsidR="00252369">
        <w:rPr>
          <w:rFonts w:ascii="標楷體" w:eastAsia="標楷體" w:hAnsi="標楷體"/>
          <w:color w:val="000000"/>
          <w:sz w:val="28"/>
        </w:rPr>
        <w:t>39</w:t>
      </w:r>
      <w:r w:rsidRPr="005731DE">
        <w:rPr>
          <w:rFonts w:ascii="標楷體" w:eastAsia="標楷體" w:hAnsi="標楷體" w:hint="eastAsia"/>
          <w:color w:val="000000"/>
          <w:sz w:val="28"/>
        </w:rPr>
        <w:t>億元，國軍老舊眷村改建特別決算以前年度支出</w:t>
      </w:r>
      <w:r w:rsidR="00252369">
        <w:rPr>
          <w:rFonts w:ascii="標楷體" w:eastAsia="標楷體" w:hAnsi="標楷體"/>
          <w:color w:val="000000"/>
          <w:sz w:val="28"/>
        </w:rPr>
        <w:t>88</w:t>
      </w:r>
      <w:r w:rsidRPr="005731DE">
        <w:rPr>
          <w:rFonts w:ascii="標楷體" w:eastAsia="標楷體" w:hAnsi="標楷體" w:hint="eastAsia"/>
          <w:color w:val="000000"/>
          <w:sz w:val="28"/>
        </w:rPr>
        <w:t>億元，石門水庫及其集水區整治計畫第</w:t>
      </w:r>
      <w:r w:rsidRPr="005731DE">
        <w:rPr>
          <w:rFonts w:ascii="標楷體" w:eastAsia="標楷體" w:hAnsi="標楷體"/>
          <w:color w:val="000000"/>
          <w:sz w:val="28"/>
        </w:rPr>
        <w:t>2</w:t>
      </w:r>
      <w:r w:rsidRPr="005731DE">
        <w:rPr>
          <w:rFonts w:ascii="標楷體" w:eastAsia="標楷體" w:hAnsi="標楷體" w:hint="eastAsia"/>
          <w:color w:val="000000"/>
          <w:sz w:val="28"/>
        </w:rPr>
        <w:t>期特別決算以前年度支出</w:t>
      </w:r>
      <w:r w:rsidR="00803538">
        <w:rPr>
          <w:rFonts w:ascii="標楷體" w:eastAsia="標楷體" w:hAnsi="標楷體"/>
          <w:color w:val="000000"/>
          <w:sz w:val="28"/>
        </w:rPr>
        <w:t>5</w:t>
      </w:r>
      <w:r w:rsidRPr="005731DE">
        <w:rPr>
          <w:rFonts w:ascii="標楷體" w:eastAsia="標楷體" w:hAnsi="標楷體" w:hint="eastAsia"/>
          <w:color w:val="000000"/>
          <w:sz w:val="28"/>
        </w:rPr>
        <w:t>億元，振興經濟擴大公共</w:t>
      </w:r>
      <w:r w:rsidRPr="005731DE">
        <w:rPr>
          <w:rFonts w:ascii="標楷體" w:eastAsia="標楷體" w:hAnsi="標楷體" w:hint="eastAsia"/>
          <w:color w:val="000000"/>
          <w:sz w:val="28"/>
        </w:rPr>
        <w:lastRenderedPageBreak/>
        <w:t>建設特別決算（</w:t>
      </w:r>
      <w:proofErr w:type="gramStart"/>
      <w:r w:rsidRPr="005731DE">
        <w:rPr>
          <w:rFonts w:ascii="標楷體" w:eastAsia="標楷體" w:hAnsi="標楷體"/>
          <w:color w:val="000000"/>
          <w:sz w:val="28"/>
        </w:rPr>
        <w:t>100</w:t>
      </w:r>
      <w:proofErr w:type="gramEnd"/>
      <w:r w:rsidRPr="005731DE">
        <w:rPr>
          <w:rFonts w:ascii="標楷體" w:eastAsia="標楷體" w:hAnsi="標楷體" w:hint="eastAsia"/>
          <w:color w:val="000000"/>
          <w:sz w:val="28"/>
        </w:rPr>
        <w:t>年度）以前年度支出</w:t>
      </w:r>
      <w:r w:rsidR="00803538">
        <w:rPr>
          <w:rFonts w:ascii="標楷體" w:eastAsia="標楷體" w:hAnsi="標楷體"/>
          <w:color w:val="000000"/>
          <w:sz w:val="28"/>
        </w:rPr>
        <w:t>27</w:t>
      </w:r>
      <w:r w:rsidR="00252369">
        <w:rPr>
          <w:rFonts w:ascii="標楷體" w:eastAsia="標楷體" w:hAnsi="標楷體" w:hint="eastAsia"/>
          <w:color w:val="000000"/>
          <w:sz w:val="28"/>
        </w:rPr>
        <w:t>億元</w:t>
      </w:r>
      <w:r w:rsidRPr="005731DE">
        <w:rPr>
          <w:rFonts w:ascii="標楷體" w:eastAsia="標楷體" w:hAnsi="標楷體" w:hint="eastAsia"/>
          <w:color w:val="000000"/>
          <w:sz w:val="28"/>
        </w:rPr>
        <w:t>，流域綜合治理計畫第</w:t>
      </w:r>
      <w:r w:rsidRPr="005731DE">
        <w:rPr>
          <w:rFonts w:ascii="標楷體" w:eastAsia="標楷體" w:hAnsi="標楷體"/>
          <w:color w:val="000000"/>
          <w:sz w:val="28"/>
        </w:rPr>
        <w:t>1</w:t>
      </w:r>
      <w:r w:rsidRPr="005731DE">
        <w:rPr>
          <w:rFonts w:ascii="標楷體" w:eastAsia="標楷體" w:hAnsi="標楷體" w:hint="eastAsia"/>
          <w:color w:val="000000"/>
          <w:sz w:val="28"/>
        </w:rPr>
        <w:t>期特別決算以前年度支出</w:t>
      </w:r>
      <w:r w:rsidR="00803538">
        <w:rPr>
          <w:rFonts w:ascii="標楷體" w:eastAsia="標楷體" w:hAnsi="標楷體"/>
          <w:color w:val="000000"/>
          <w:sz w:val="28"/>
        </w:rPr>
        <w:t>1</w:t>
      </w:r>
      <w:r w:rsidRPr="005731DE">
        <w:rPr>
          <w:rFonts w:ascii="標楷體" w:eastAsia="標楷體" w:hAnsi="標楷體" w:hint="eastAsia"/>
          <w:color w:val="000000"/>
          <w:sz w:val="28"/>
        </w:rPr>
        <w:t>億元</w:t>
      </w:r>
      <w:r w:rsidR="00803538" w:rsidRPr="00803538">
        <w:rPr>
          <w:rFonts w:ascii="標楷體" w:eastAsia="標楷體" w:hAnsi="標楷體" w:hint="eastAsia"/>
          <w:color w:val="000000"/>
          <w:sz w:val="28"/>
        </w:rPr>
        <w:t>，流域綜合治理計畫第</w:t>
      </w:r>
      <w:r w:rsidR="00803538">
        <w:rPr>
          <w:rFonts w:ascii="標楷體" w:eastAsia="標楷體" w:hAnsi="標楷體"/>
          <w:color w:val="000000"/>
          <w:sz w:val="28"/>
        </w:rPr>
        <w:t>2</w:t>
      </w:r>
      <w:r w:rsidR="00803538" w:rsidRPr="00803538">
        <w:rPr>
          <w:rFonts w:ascii="標楷體" w:eastAsia="標楷體" w:hAnsi="標楷體" w:hint="eastAsia"/>
          <w:color w:val="000000"/>
          <w:sz w:val="28"/>
        </w:rPr>
        <w:t>期特別決算支出</w:t>
      </w:r>
      <w:r w:rsidR="00803538">
        <w:rPr>
          <w:rFonts w:ascii="標楷體" w:eastAsia="標楷體" w:hAnsi="標楷體"/>
          <w:color w:val="000000"/>
          <w:sz w:val="28"/>
        </w:rPr>
        <w:t>241</w:t>
      </w:r>
      <w:r w:rsidR="00803538" w:rsidRPr="00803538">
        <w:rPr>
          <w:rFonts w:ascii="標楷體" w:eastAsia="標楷體" w:hAnsi="標楷體" w:hint="eastAsia"/>
          <w:color w:val="000000"/>
          <w:sz w:val="28"/>
        </w:rPr>
        <w:t>億元</w:t>
      </w:r>
      <w:r w:rsidRPr="005731DE">
        <w:rPr>
          <w:rFonts w:ascii="標楷體" w:eastAsia="標楷體" w:hAnsi="標楷體" w:hint="eastAsia"/>
          <w:color w:val="000000"/>
          <w:sz w:val="28"/>
        </w:rPr>
        <w:t>，債務償還支出</w:t>
      </w:r>
      <w:r w:rsidRPr="005731DE">
        <w:rPr>
          <w:rFonts w:ascii="標楷體" w:eastAsia="標楷體" w:hAnsi="標楷體"/>
          <w:color w:val="000000"/>
          <w:sz w:val="28"/>
        </w:rPr>
        <w:t>7</w:t>
      </w:r>
      <w:r w:rsidR="00803538">
        <w:rPr>
          <w:rFonts w:ascii="標楷體" w:eastAsia="標楷體" w:hAnsi="標楷體"/>
          <w:color w:val="000000"/>
          <w:sz w:val="28"/>
        </w:rPr>
        <w:t>43</w:t>
      </w:r>
      <w:r w:rsidRPr="005731DE">
        <w:rPr>
          <w:rFonts w:ascii="標楷體" w:eastAsia="標楷體" w:hAnsi="標楷體" w:hint="eastAsia"/>
          <w:color w:val="000000"/>
          <w:sz w:val="28"/>
        </w:rPr>
        <w:t>億元，合共</w:t>
      </w:r>
      <w:r w:rsidRPr="005731DE">
        <w:rPr>
          <w:rFonts w:ascii="標楷體" w:eastAsia="標楷體" w:hAnsi="標楷體"/>
          <w:color w:val="000000"/>
          <w:sz w:val="28"/>
        </w:rPr>
        <w:t>2</w:t>
      </w:r>
      <w:r w:rsidRPr="005731DE">
        <w:rPr>
          <w:rFonts w:ascii="標楷體" w:eastAsia="標楷體" w:hAnsi="標楷體" w:hint="eastAsia"/>
          <w:color w:val="000000"/>
          <w:sz w:val="28"/>
        </w:rPr>
        <w:t>兆</w:t>
      </w:r>
      <w:r w:rsidRPr="005731DE">
        <w:rPr>
          <w:rFonts w:ascii="標楷體" w:eastAsia="標楷體" w:hAnsi="標楷體"/>
          <w:color w:val="000000"/>
          <w:sz w:val="28"/>
        </w:rPr>
        <w:t>34</w:t>
      </w:r>
      <w:r w:rsidR="00803538">
        <w:rPr>
          <w:rFonts w:ascii="標楷體" w:eastAsia="標楷體" w:hAnsi="標楷體"/>
          <w:color w:val="000000"/>
          <w:sz w:val="28"/>
        </w:rPr>
        <w:t>4</w:t>
      </w:r>
      <w:r w:rsidRPr="005731DE">
        <w:rPr>
          <w:rFonts w:ascii="標楷體" w:eastAsia="標楷體" w:hAnsi="標楷體" w:hint="eastAsia"/>
          <w:color w:val="000000"/>
          <w:sz w:val="28"/>
        </w:rPr>
        <w:t>億元。</w:t>
      </w:r>
    </w:p>
    <w:p w:rsidR="005731DE" w:rsidRPr="005731DE" w:rsidRDefault="005731DE" w:rsidP="005731DE">
      <w:pPr>
        <w:spacing w:before="120" w:line="520" w:lineRule="exact"/>
        <w:jc w:val="both"/>
        <w:rPr>
          <w:rFonts w:ascii="標楷體" w:eastAsia="標楷體" w:hAnsi="標楷體"/>
          <w:color w:val="000000"/>
          <w:sz w:val="28"/>
        </w:rPr>
      </w:pPr>
      <w:r w:rsidRPr="005731DE">
        <w:rPr>
          <w:rFonts w:ascii="標楷體" w:eastAsia="標楷體" w:hAnsi="標楷體" w:hint="eastAsia"/>
          <w:color w:val="000000"/>
          <w:sz w:val="28"/>
        </w:rPr>
        <w:t>（三）結存之部</w:t>
      </w:r>
    </w:p>
    <w:p w:rsidR="005731DE" w:rsidRPr="005731DE" w:rsidRDefault="005731DE" w:rsidP="005731DE">
      <w:pPr>
        <w:spacing w:line="520" w:lineRule="exact"/>
        <w:ind w:leftChars="353" w:left="847" w:firstLineChars="200" w:firstLine="544"/>
        <w:jc w:val="both"/>
        <w:rPr>
          <w:rFonts w:ascii="標楷體" w:eastAsia="標楷體" w:hAnsi="標楷體"/>
          <w:color w:val="000000"/>
          <w:spacing w:val="-4"/>
          <w:sz w:val="28"/>
        </w:rPr>
      </w:pPr>
      <w:r w:rsidRPr="005731DE">
        <w:rPr>
          <w:rFonts w:ascii="標楷體" w:eastAsia="標楷體" w:hAnsi="標楷體" w:hint="eastAsia"/>
          <w:color w:val="000000"/>
          <w:spacing w:val="-4"/>
          <w:sz w:val="28"/>
        </w:rPr>
        <w:t>上列收入合計</w:t>
      </w:r>
      <w:r w:rsidRPr="005731DE">
        <w:rPr>
          <w:rFonts w:ascii="標楷體" w:eastAsia="標楷體" w:hAnsi="標楷體"/>
          <w:color w:val="000000"/>
          <w:spacing w:val="-4"/>
          <w:sz w:val="28"/>
        </w:rPr>
        <w:t>2</w:t>
      </w:r>
      <w:r w:rsidRPr="005731DE">
        <w:rPr>
          <w:rFonts w:ascii="標楷體" w:eastAsia="標楷體" w:hAnsi="標楷體" w:hint="eastAsia"/>
          <w:color w:val="000000"/>
          <w:spacing w:val="-4"/>
          <w:sz w:val="28"/>
        </w:rPr>
        <w:t>兆</w:t>
      </w:r>
      <w:r w:rsidR="00803538">
        <w:rPr>
          <w:rFonts w:ascii="標楷體" w:eastAsia="標楷體" w:hAnsi="標楷體"/>
          <w:color w:val="000000"/>
          <w:spacing w:val="-4"/>
          <w:sz w:val="28"/>
        </w:rPr>
        <w:t>384</w:t>
      </w:r>
      <w:r w:rsidRPr="005731DE">
        <w:rPr>
          <w:rFonts w:ascii="標楷體" w:eastAsia="標楷體" w:hAnsi="標楷體" w:hint="eastAsia"/>
          <w:color w:val="000000"/>
          <w:spacing w:val="-4"/>
          <w:sz w:val="28"/>
        </w:rPr>
        <w:t>億元，支出合計</w:t>
      </w:r>
      <w:r w:rsidRPr="005731DE">
        <w:rPr>
          <w:rFonts w:ascii="標楷體" w:eastAsia="標楷體" w:hAnsi="標楷體"/>
          <w:color w:val="000000"/>
          <w:spacing w:val="-4"/>
          <w:sz w:val="28"/>
        </w:rPr>
        <w:t>2</w:t>
      </w:r>
      <w:r w:rsidRPr="005731DE">
        <w:rPr>
          <w:rFonts w:ascii="標楷體" w:eastAsia="標楷體" w:hAnsi="標楷體" w:hint="eastAsia"/>
          <w:color w:val="000000"/>
          <w:spacing w:val="-4"/>
          <w:sz w:val="28"/>
        </w:rPr>
        <w:t>兆</w:t>
      </w:r>
      <w:r w:rsidRPr="005731DE">
        <w:rPr>
          <w:rFonts w:ascii="標楷體" w:eastAsia="標楷體" w:hAnsi="標楷體"/>
          <w:color w:val="000000"/>
          <w:spacing w:val="-4"/>
          <w:sz w:val="28"/>
        </w:rPr>
        <w:t>34</w:t>
      </w:r>
      <w:r w:rsidR="00803538">
        <w:rPr>
          <w:rFonts w:ascii="標楷體" w:eastAsia="標楷體" w:hAnsi="標楷體"/>
          <w:color w:val="000000"/>
          <w:spacing w:val="-4"/>
          <w:sz w:val="28"/>
        </w:rPr>
        <w:t>4</w:t>
      </w:r>
      <w:r w:rsidRPr="005731DE">
        <w:rPr>
          <w:rFonts w:ascii="標楷體" w:eastAsia="標楷體" w:hAnsi="標楷體" w:hint="eastAsia"/>
          <w:color w:val="000000"/>
          <w:spacing w:val="-4"/>
          <w:sz w:val="28"/>
        </w:rPr>
        <w:t>億元，收支</w:t>
      </w:r>
      <w:proofErr w:type="gramStart"/>
      <w:r w:rsidRPr="005731DE">
        <w:rPr>
          <w:rFonts w:ascii="標楷體" w:eastAsia="標楷體" w:hAnsi="標楷體" w:hint="eastAsia"/>
          <w:color w:val="000000"/>
          <w:spacing w:val="-4"/>
          <w:sz w:val="28"/>
        </w:rPr>
        <w:t>互抵計</w:t>
      </w:r>
      <w:r w:rsidR="001958C8">
        <w:rPr>
          <w:rFonts w:ascii="標楷體" w:eastAsia="標楷體" w:hAnsi="標楷體" w:hint="eastAsia"/>
          <w:color w:val="000000"/>
          <w:spacing w:val="-4"/>
          <w:sz w:val="28"/>
        </w:rPr>
        <w:t>賸</w:t>
      </w:r>
      <w:r w:rsidR="001958C8">
        <w:rPr>
          <w:rFonts w:ascii="標楷體" w:eastAsia="標楷體" w:hAnsi="標楷體"/>
          <w:color w:val="000000"/>
          <w:spacing w:val="-4"/>
          <w:sz w:val="28"/>
        </w:rPr>
        <w:t>餘</w:t>
      </w:r>
      <w:proofErr w:type="gramEnd"/>
      <w:r w:rsidR="00803538">
        <w:rPr>
          <w:rFonts w:ascii="標楷體" w:eastAsia="標楷體" w:hAnsi="標楷體"/>
          <w:color w:val="000000"/>
          <w:spacing w:val="-4"/>
          <w:sz w:val="28"/>
        </w:rPr>
        <w:t>40</w:t>
      </w:r>
      <w:r w:rsidRPr="005731DE">
        <w:rPr>
          <w:rFonts w:ascii="標楷體" w:eastAsia="標楷體" w:hAnsi="標楷體" w:hint="eastAsia"/>
          <w:color w:val="000000"/>
          <w:spacing w:val="-4"/>
          <w:sz w:val="28"/>
        </w:rPr>
        <w:t>億元，經加計</w:t>
      </w:r>
      <w:proofErr w:type="gramStart"/>
      <w:r w:rsidRPr="005731DE">
        <w:rPr>
          <w:rFonts w:ascii="標楷體" w:eastAsia="標楷體" w:hAnsi="標楷體"/>
          <w:color w:val="000000"/>
          <w:spacing w:val="-4"/>
          <w:sz w:val="28"/>
        </w:rPr>
        <w:t>10</w:t>
      </w:r>
      <w:r w:rsidR="00803538">
        <w:rPr>
          <w:rFonts w:ascii="標楷體" w:eastAsia="標楷體" w:hAnsi="標楷體"/>
          <w:color w:val="000000"/>
          <w:spacing w:val="-4"/>
          <w:sz w:val="28"/>
        </w:rPr>
        <w:t>5</w:t>
      </w:r>
      <w:proofErr w:type="gramEnd"/>
      <w:r w:rsidRPr="005731DE">
        <w:rPr>
          <w:rFonts w:ascii="標楷體" w:eastAsia="標楷體" w:hAnsi="標楷體" w:hint="eastAsia"/>
          <w:color w:val="000000"/>
          <w:spacing w:val="-4"/>
          <w:sz w:val="28"/>
        </w:rPr>
        <w:t>年度國庫結存</w:t>
      </w:r>
      <w:r w:rsidR="00803538">
        <w:rPr>
          <w:rFonts w:ascii="標楷體" w:eastAsia="標楷體" w:hAnsi="標楷體"/>
          <w:color w:val="000000"/>
          <w:spacing w:val="-4"/>
          <w:sz w:val="28"/>
        </w:rPr>
        <w:t>394</w:t>
      </w:r>
      <w:r w:rsidR="00803538">
        <w:rPr>
          <w:rFonts w:ascii="標楷體" w:eastAsia="標楷體" w:hAnsi="標楷體" w:hint="eastAsia"/>
          <w:color w:val="000000"/>
          <w:spacing w:val="-4"/>
          <w:sz w:val="28"/>
        </w:rPr>
        <w:t>億元、本年度發行國庫券及短期借款淨減</w:t>
      </w:r>
      <w:r w:rsidR="00803538">
        <w:rPr>
          <w:rFonts w:ascii="標楷體" w:eastAsia="標楷體" w:hAnsi="標楷體"/>
          <w:color w:val="000000"/>
          <w:spacing w:val="-4"/>
          <w:sz w:val="28"/>
        </w:rPr>
        <w:t>少</w:t>
      </w:r>
      <w:r w:rsidRPr="005731DE">
        <w:rPr>
          <w:rFonts w:ascii="標楷體" w:eastAsia="標楷體" w:hAnsi="標楷體" w:hint="eastAsia"/>
          <w:color w:val="000000"/>
          <w:spacing w:val="-4"/>
          <w:sz w:val="28"/>
        </w:rPr>
        <w:t>舉借數</w:t>
      </w:r>
      <w:r w:rsidR="00803538">
        <w:rPr>
          <w:rFonts w:ascii="標楷體" w:eastAsia="標楷體" w:hAnsi="標楷體"/>
          <w:color w:val="000000"/>
          <w:spacing w:val="-4"/>
          <w:sz w:val="28"/>
        </w:rPr>
        <w:t>598</w:t>
      </w:r>
      <w:r w:rsidRPr="005731DE">
        <w:rPr>
          <w:rFonts w:ascii="標楷體" w:eastAsia="標楷體" w:hAnsi="標楷體" w:hint="eastAsia"/>
          <w:color w:val="000000"/>
          <w:spacing w:val="-4"/>
          <w:sz w:val="28"/>
        </w:rPr>
        <w:t>億元、特種基金淨增加保管款存放餘額</w:t>
      </w:r>
      <w:r w:rsidR="00803538">
        <w:rPr>
          <w:rFonts w:ascii="標楷體" w:eastAsia="標楷體" w:hAnsi="標楷體"/>
          <w:color w:val="000000"/>
          <w:spacing w:val="-4"/>
          <w:sz w:val="28"/>
        </w:rPr>
        <w:t>243</w:t>
      </w:r>
      <w:r w:rsidRPr="005731DE">
        <w:rPr>
          <w:rFonts w:ascii="標楷體" w:eastAsia="標楷體" w:hAnsi="標楷體" w:hint="eastAsia"/>
          <w:color w:val="000000"/>
          <w:spacing w:val="-4"/>
          <w:sz w:val="28"/>
        </w:rPr>
        <w:t>億元</w:t>
      </w:r>
      <w:r w:rsidR="00803538">
        <w:rPr>
          <w:rFonts w:ascii="標楷體" w:eastAsia="標楷體" w:hAnsi="標楷體" w:hint="eastAsia"/>
          <w:color w:val="000000"/>
          <w:spacing w:val="-4"/>
          <w:sz w:val="28"/>
        </w:rPr>
        <w:t>、</w:t>
      </w:r>
      <w:r w:rsidRPr="005731DE">
        <w:rPr>
          <w:rFonts w:ascii="標楷體" w:eastAsia="標楷體" w:hAnsi="標楷體" w:hint="eastAsia"/>
          <w:color w:val="000000"/>
          <w:spacing w:val="-4"/>
          <w:sz w:val="28"/>
        </w:rPr>
        <w:t>各機關淨增加保管款存放餘額</w:t>
      </w:r>
      <w:r w:rsidR="00803538">
        <w:rPr>
          <w:rFonts w:ascii="標楷體" w:eastAsia="標楷體" w:hAnsi="標楷體"/>
          <w:color w:val="000000"/>
          <w:spacing w:val="-4"/>
          <w:sz w:val="28"/>
        </w:rPr>
        <w:t>27</w:t>
      </w:r>
      <w:r w:rsidRPr="005731DE">
        <w:rPr>
          <w:rFonts w:ascii="標楷體" w:eastAsia="標楷體" w:hAnsi="標楷體" w:hint="eastAsia"/>
          <w:color w:val="000000"/>
          <w:spacing w:val="-4"/>
          <w:sz w:val="28"/>
        </w:rPr>
        <w:t>億元</w:t>
      </w:r>
      <w:r w:rsidR="00803538">
        <w:rPr>
          <w:rFonts w:ascii="標楷體" w:eastAsia="標楷體" w:hAnsi="標楷體" w:hint="eastAsia"/>
          <w:color w:val="000000"/>
          <w:spacing w:val="-4"/>
          <w:sz w:val="28"/>
        </w:rPr>
        <w:t>，</w:t>
      </w:r>
      <w:r w:rsidR="00803538" w:rsidRPr="005731DE">
        <w:rPr>
          <w:rFonts w:ascii="標楷體" w:eastAsia="標楷體" w:hAnsi="標楷體" w:hint="eastAsia"/>
          <w:color w:val="000000"/>
          <w:spacing w:val="-4"/>
          <w:sz w:val="28"/>
        </w:rPr>
        <w:t>以及</w:t>
      </w:r>
      <w:r w:rsidR="00803538">
        <w:rPr>
          <w:rFonts w:ascii="標楷體" w:eastAsia="標楷體" w:hAnsi="標楷體" w:hint="eastAsia"/>
          <w:color w:val="000000"/>
          <w:spacing w:val="-4"/>
          <w:sz w:val="28"/>
        </w:rPr>
        <w:t>本</w:t>
      </w:r>
      <w:r w:rsidR="00803538">
        <w:rPr>
          <w:rFonts w:ascii="標楷體" w:eastAsia="標楷體" w:hAnsi="標楷體"/>
          <w:color w:val="000000"/>
          <w:spacing w:val="-4"/>
          <w:sz w:val="28"/>
        </w:rPr>
        <w:t>年度特別</w:t>
      </w:r>
      <w:r w:rsidR="00803538">
        <w:rPr>
          <w:rFonts w:ascii="標楷體" w:eastAsia="標楷體" w:hAnsi="標楷體" w:hint="eastAsia"/>
          <w:color w:val="000000"/>
          <w:spacing w:val="-4"/>
          <w:sz w:val="28"/>
        </w:rPr>
        <w:t>預</w:t>
      </w:r>
      <w:r w:rsidR="00803538">
        <w:rPr>
          <w:rFonts w:ascii="標楷體" w:eastAsia="標楷體" w:hAnsi="標楷體"/>
          <w:color w:val="000000"/>
          <w:spacing w:val="-4"/>
          <w:sz w:val="28"/>
        </w:rPr>
        <w:t>算待結轉餘</w:t>
      </w:r>
      <w:proofErr w:type="gramStart"/>
      <w:r w:rsidR="00803538">
        <w:rPr>
          <w:rFonts w:ascii="標楷體" w:eastAsia="標楷體" w:hAnsi="標楷體"/>
          <w:color w:val="000000"/>
          <w:spacing w:val="-4"/>
          <w:sz w:val="28"/>
        </w:rPr>
        <w:t>絀</w:t>
      </w:r>
      <w:proofErr w:type="gramEnd"/>
      <w:r w:rsidR="00803538">
        <w:rPr>
          <w:rFonts w:ascii="標楷體" w:eastAsia="標楷體" w:hAnsi="標楷體" w:hint="eastAsia"/>
          <w:color w:val="000000"/>
          <w:spacing w:val="-4"/>
          <w:sz w:val="28"/>
        </w:rPr>
        <w:t>5</w:t>
      </w:r>
      <w:r w:rsidR="00803538">
        <w:rPr>
          <w:rFonts w:ascii="標楷體" w:eastAsia="標楷體" w:hAnsi="標楷體"/>
          <w:color w:val="000000"/>
          <w:spacing w:val="-4"/>
          <w:sz w:val="28"/>
        </w:rPr>
        <w:t>5</w:t>
      </w:r>
      <w:r w:rsidR="00803538">
        <w:rPr>
          <w:rFonts w:ascii="標楷體" w:eastAsia="標楷體" w:hAnsi="標楷體" w:hint="eastAsia"/>
          <w:color w:val="000000"/>
          <w:spacing w:val="-4"/>
          <w:sz w:val="28"/>
        </w:rPr>
        <w:t>億</w:t>
      </w:r>
      <w:r w:rsidR="00803538">
        <w:rPr>
          <w:rFonts w:ascii="標楷體" w:eastAsia="標楷體" w:hAnsi="標楷體"/>
          <w:color w:val="000000"/>
          <w:spacing w:val="-4"/>
          <w:sz w:val="28"/>
        </w:rPr>
        <w:t>元</w:t>
      </w:r>
      <w:r w:rsidR="009534E6">
        <w:rPr>
          <w:rFonts w:ascii="標楷體" w:eastAsia="標楷體" w:hAnsi="標楷體" w:hint="eastAsia"/>
          <w:color w:val="000000"/>
          <w:spacing w:val="-4"/>
          <w:sz w:val="28"/>
        </w:rPr>
        <w:t>後，</w:t>
      </w:r>
      <w:r w:rsidRPr="005731DE">
        <w:rPr>
          <w:rFonts w:ascii="標楷體" w:eastAsia="標楷體" w:hAnsi="標楷體" w:hint="eastAsia"/>
          <w:color w:val="000000"/>
          <w:spacing w:val="-4"/>
          <w:sz w:val="28"/>
        </w:rPr>
        <w:t>本年度國庫結存</w:t>
      </w:r>
      <w:r w:rsidR="009534E6">
        <w:rPr>
          <w:rFonts w:ascii="標楷體" w:eastAsia="標楷體" w:hAnsi="標楷體" w:hint="eastAsia"/>
          <w:color w:val="000000"/>
          <w:spacing w:val="-4"/>
          <w:sz w:val="28"/>
        </w:rPr>
        <w:t>為</w:t>
      </w:r>
      <w:r w:rsidR="00803538">
        <w:rPr>
          <w:rFonts w:ascii="標楷體" w:eastAsia="標楷體" w:hAnsi="標楷體"/>
          <w:color w:val="000000"/>
          <w:spacing w:val="-4"/>
          <w:sz w:val="28"/>
        </w:rPr>
        <w:t>161</w:t>
      </w:r>
      <w:r w:rsidRPr="005731DE">
        <w:rPr>
          <w:rFonts w:ascii="標楷體" w:eastAsia="標楷體" w:hAnsi="標楷體" w:hint="eastAsia"/>
          <w:color w:val="000000"/>
          <w:spacing w:val="-4"/>
          <w:sz w:val="28"/>
        </w:rPr>
        <w:t>億元。至因記帳基礎不同，與歲入歲出差異情形，則</w:t>
      </w:r>
      <w:proofErr w:type="gramStart"/>
      <w:r w:rsidRPr="005731DE">
        <w:rPr>
          <w:rFonts w:ascii="標楷體" w:eastAsia="標楷體" w:hAnsi="標楷體" w:hint="eastAsia"/>
          <w:color w:val="000000"/>
          <w:spacing w:val="-4"/>
          <w:sz w:val="28"/>
        </w:rPr>
        <w:t>另編附</w:t>
      </w:r>
      <w:proofErr w:type="gramEnd"/>
      <w:r w:rsidRPr="005731DE">
        <w:rPr>
          <w:rFonts w:ascii="標楷體" w:eastAsia="標楷體" w:hAnsi="標楷體" w:hint="eastAsia"/>
          <w:color w:val="000000"/>
          <w:spacing w:val="-4"/>
          <w:sz w:val="28"/>
        </w:rPr>
        <w:t>「總決算餘</w:t>
      </w:r>
      <w:proofErr w:type="gramStart"/>
      <w:r w:rsidRPr="005731DE">
        <w:rPr>
          <w:rFonts w:ascii="標楷體" w:eastAsia="標楷體" w:hAnsi="標楷體" w:hint="eastAsia"/>
          <w:color w:val="000000"/>
          <w:spacing w:val="-4"/>
          <w:sz w:val="28"/>
        </w:rPr>
        <w:t>絀</w:t>
      </w:r>
      <w:proofErr w:type="gramEnd"/>
      <w:r w:rsidRPr="005731DE">
        <w:rPr>
          <w:rFonts w:ascii="標楷體" w:eastAsia="標楷體" w:hAnsi="標楷體" w:hint="eastAsia"/>
          <w:color w:val="000000"/>
          <w:spacing w:val="-4"/>
          <w:sz w:val="28"/>
        </w:rPr>
        <w:t>與公庫餘</w:t>
      </w:r>
      <w:proofErr w:type="gramStart"/>
      <w:r w:rsidRPr="005731DE">
        <w:rPr>
          <w:rFonts w:ascii="標楷體" w:eastAsia="標楷體" w:hAnsi="標楷體" w:hint="eastAsia"/>
          <w:color w:val="000000"/>
          <w:spacing w:val="-4"/>
          <w:sz w:val="28"/>
        </w:rPr>
        <w:t>絀</w:t>
      </w:r>
      <w:proofErr w:type="gramEnd"/>
      <w:r w:rsidRPr="005731DE">
        <w:rPr>
          <w:rFonts w:ascii="標楷體" w:eastAsia="標楷體" w:hAnsi="標楷體" w:hint="eastAsia"/>
          <w:color w:val="000000"/>
          <w:spacing w:val="-4"/>
          <w:sz w:val="28"/>
        </w:rPr>
        <w:t>分析表」，以利勾</w:t>
      </w:r>
      <w:proofErr w:type="gramStart"/>
      <w:r w:rsidRPr="005731DE">
        <w:rPr>
          <w:rFonts w:ascii="標楷體" w:eastAsia="標楷體" w:hAnsi="標楷體" w:hint="eastAsia"/>
          <w:color w:val="000000"/>
          <w:spacing w:val="-4"/>
          <w:sz w:val="28"/>
        </w:rPr>
        <w:t>稽</w:t>
      </w:r>
      <w:proofErr w:type="gramEnd"/>
      <w:r w:rsidRPr="005731DE">
        <w:rPr>
          <w:rFonts w:ascii="標楷體" w:eastAsia="標楷體" w:hAnsi="標楷體" w:hint="eastAsia"/>
          <w:color w:val="000000"/>
          <w:spacing w:val="-4"/>
          <w:sz w:val="28"/>
        </w:rPr>
        <w:t>。</w:t>
      </w:r>
    </w:p>
    <w:p w:rsidR="005731DE" w:rsidRPr="005731DE" w:rsidRDefault="005731DE" w:rsidP="005731DE">
      <w:pPr>
        <w:spacing w:line="520" w:lineRule="exact"/>
        <w:ind w:leftChars="353" w:left="847" w:firstLineChars="200" w:firstLine="544"/>
        <w:jc w:val="both"/>
        <w:rPr>
          <w:rFonts w:ascii="標楷體" w:eastAsia="標楷體" w:hAnsi="標楷體"/>
          <w:color w:val="000000"/>
          <w:spacing w:val="-4"/>
          <w:sz w:val="28"/>
        </w:rPr>
      </w:pPr>
    </w:p>
    <w:p w:rsidR="005731DE" w:rsidRPr="005731DE" w:rsidRDefault="005731DE" w:rsidP="005731DE">
      <w:pPr>
        <w:spacing w:before="120" w:afterLines="50" w:after="120" w:line="620" w:lineRule="exact"/>
        <w:jc w:val="both"/>
        <w:rPr>
          <w:rFonts w:ascii="標楷體" w:eastAsia="標楷體" w:hAnsi="標楷體"/>
          <w:color w:val="000000"/>
          <w:sz w:val="40"/>
        </w:rPr>
      </w:pPr>
    </w:p>
    <w:p w:rsidR="005731DE" w:rsidRPr="005731DE" w:rsidRDefault="005731DE" w:rsidP="005731DE">
      <w:pPr>
        <w:spacing w:before="120" w:afterLines="50" w:after="120" w:line="620" w:lineRule="exact"/>
        <w:jc w:val="both"/>
        <w:rPr>
          <w:rFonts w:ascii="標楷體" w:eastAsia="標楷體" w:hAnsi="標楷體"/>
          <w:color w:val="000000"/>
          <w:sz w:val="40"/>
        </w:rPr>
      </w:pPr>
    </w:p>
    <w:p w:rsidR="005731DE" w:rsidRPr="005731DE" w:rsidRDefault="005731DE" w:rsidP="005731DE">
      <w:pPr>
        <w:spacing w:before="120" w:afterLines="50" w:after="120" w:line="620" w:lineRule="exact"/>
        <w:jc w:val="both"/>
        <w:rPr>
          <w:rFonts w:ascii="標楷體" w:eastAsia="標楷體" w:hAnsi="標楷體"/>
          <w:color w:val="000000"/>
          <w:sz w:val="40"/>
        </w:rPr>
      </w:pPr>
    </w:p>
    <w:p w:rsidR="005731DE" w:rsidRPr="005731DE" w:rsidRDefault="005731DE" w:rsidP="005731DE">
      <w:pPr>
        <w:spacing w:before="120" w:afterLines="50" w:after="120" w:line="620" w:lineRule="exact"/>
        <w:jc w:val="both"/>
        <w:rPr>
          <w:rFonts w:ascii="標楷體" w:eastAsia="標楷體" w:hAnsi="標楷體"/>
          <w:color w:val="000000"/>
          <w:sz w:val="40"/>
        </w:rPr>
      </w:pPr>
    </w:p>
    <w:p w:rsidR="005731DE" w:rsidRPr="005731DE" w:rsidRDefault="005731DE" w:rsidP="005731DE">
      <w:pPr>
        <w:spacing w:before="120" w:afterLines="50" w:after="120" w:line="620" w:lineRule="exact"/>
        <w:jc w:val="both"/>
        <w:rPr>
          <w:rFonts w:ascii="標楷體" w:eastAsia="標楷體" w:hAnsi="標楷體"/>
          <w:color w:val="000000"/>
          <w:sz w:val="40"/>
        </w:rPr>
      </w:pPr>
    </w:p>
    <w:p w:rsidR="005731DE" w:rsidRPr="005731DE" w:rsidRDefault="005731DE" w:rsidP="005731DE">
      <w:pPr>
        <w:spacing w:before="120" w:afterLines="50" w:after="120" w:line="620" w:lineRule="exact"/>
        <w:jc w:val="both"/>
        <w:rPr>
          <w:rFonts w:ascii="標楷體" w:eastAsia="標楷體" w:hAnsi="標楷體"/>
          <w:color w:val="000000"/>
          <w:sz w:val="40"/>
        </w:rPr>
      </w:pPr>
    </w:p>
    <w:p w:rsidR="005731DE" w:rsidRPr="005731DE" w:rsidRDefault="005731DE" w:rsidP="005731DE">
      <w:pPr>
        <w:spacing w:before="120" w:afterLines="50" w:after="120" w:line="620" w:lineRule="exact"/>
        <w:jc w:val="both"/>
        <w:rPr>
          <w:rFonts w:ascii="標楷體" w:eastAsia="標楷體" w:hAnsi="標楷體"/>
          <w:color w:val="000000"/>
          <w:sz w:val="40"/>
        </w:rPr>
      </w:pPr>
    </w:p>
    <w:p w:rsidR="005731DE" w:rsidRPr="005731DE" w:rsidRDefault="005731DE" w:rsidP="005731DE">
      <w:pPr>
        <w:spacing w:before="120" w:afterLines="50" w:after="120" w:line="620" w:lineRule="exact"/>
        <w:jc w:val="both"/>
        <w:rPr>
          <w:rFonts w:ascii="標楷體" w:eastAsia="標楷體" w:hAnsi="標楷體"/>
          <w:color w:val="000000"/>
          <w:sz w:val="40"/>
        </w:rPr>
      </w:pPr>
    </w:p>
    <w:p w:rsidR="00C248E7" w:rsidRPr="005731DE" w:rsidRDefault="00C248E7" w:rsidP="005731DE">
      <w:pPr>
        <w:spacing w:before="120" w:afterLines="50" w:after="120" w:line="620" w:lineRule="exact"/>
        <w:jc w:val="both"/>
        <w:rPr>
          <w:rFonts w:ascii="標楷體" w:eastAsia="標楷體" w:hAnsi="標楷體"/>
          <w:color w:val="000000"/>
          <w:sz w:val="40"/>
        </w:rPr>
      </w:pPr>
    </w:p>
    <w:p w:rsidR="005731DE" w:rsidRPr="005731DE" w:rsidRDefault="005731DE" w:rsidP="005731DE">
      <w:pPr>
        <w:spacing w:before="600" w:after="240" w:line="600" w:lineRule="exact"/>
        <w:jc w:val="both"/>
        <w:rPr>
          <w:rFonts w:ascii="標楷體" w:eastAsia="標楷體" w:hAnsi="標楷體"/>
          <w:color w:val="000000"/>
          <w:sz w:val="40"/>
        </w:rPr>
      </w:pPr>
      <w:r w:rsidRPr="005731DE">
        <w:rPr>
          <w:rFonts w:ascii="標楷體" w:eastAsia="標楷體" w:hAnsi="標楷體" w:hint="eastAsia"/>
          <w:color w:val="000000"/>
          <w:sz w:val="40"/>
        </w:rPr>
        <w:lastRenderedPageBreak/>
        <w:t>貳、財務狀況之分析</w:t>
      </w:r>
    </w:p>
    <w:p w:rsidR="005731DE" w:rsidRPr="005731DE" w:rsidRDefault="005731DE" w:rsidP="005731DE">
      <w:pPr>
        <w:spacing w:after="240" w:line="500" w:lineRule="exact"/>
        <w:ind w:firstLineChars="200" w:firstLine="560"/>
        <w:jc w:val="both"/>
        <w:rPr>
          <w:rFonts w:ascii="標楷體" w:eastAsia="標楷體" w:hAnsi="標楷體"/>
          <w:color w:val="000000"/>
          <w:sz w:val="28"/>
        </w:rPr>
      </w:pPr>
      <w:r w:rsidRPr="005731DE">
        <w:rPr>
          <w:rFonts w:ascii="標楷體" w:eastAsia="標楷體" w:hAnsi="標楷體" w:hint="eastAsia"/>
          <w:color w:val="000000"/>
          <w:sz w:val="28"/>
        </w:rPr>
        <w:t>截至本年度為止，中央政府公務機關流動資產總額為</w:t>
      </w:r>
      <w:r w:rsidR="00FE0838">
        <w:rPr>
          <w:rFonts w:ascii="標楷體" w:eastAsia="標楷體" w:hAnsi="標楷體"/>
          <w:color w:val="000000"/>
          <w:sz w:val="28"/>
        </w:rPr>
        <w:t>7</w:t>
      </w:r>
      <w:r w:rsidRPr="005731DE">
        <w:rPr>
          <w:rFonts w:ascii="標楷體" w:eastAsia="標楷體" w:hAnsi="標楷體"/>
          <w:color w:val="000000"/>
          <w:sz w:val="28"/>
        </w:rPr>
        <w:t>,</w:t>
      </w:r>
      <w:r w:rsidR="00FE0838">
        <w:rPr>
          <w:rFonts w:ascii="標楷體" w:eastAsia="標楷體" w:hAnsi="標楷體"/>
          <w:color w:val="000000"/>
          <w:sz w:val="28"/>
        </w:rPr>
        <w:t>442</w:t>
      </w:r>
      <w:r w:rsidRPr="005731DE">
        <w:rPr>
          <w:rFonts w:ascii="標楷體" w:eastAsia="標楷體" w:hAnsi="標楷體" w:hint="eastAsia"/>
          <w:color w:val="000000"/>
          <w:sz w:val="28"/>
        </w:rPr>
        <w:t>億元，流動負債總額為</w:t>
      </w:r>
      <w:r w:rsidR="00FE0838">
        <w:rPr>
          <w:rFonts w:ascii="標楷體" w:eastAsia="標楷體" w:hAnsi="標楷體"/>
          <w:color w:val="000000"/>
          <w:sz w:val="28"/>
        </w:rPr>
        <w:t>6</w:t>
      </w:r>
      <w:r w:rsidRPr="005731DE">
        <w:rPr>
          <w:rFonts w:ascii="標楷體" w:eastAsia="標楷體" w:hAnsi="標楷體"/>
          <w:color w:val="000000"/>
          <w:sz w:val="28"/>
        </w:rPr>
        <w:t>,</w:t>
      </w:r>
      <w:r w:rsidR="00FE0838">
        <w:rPr>
          <w:rFonts w:ascii="標楷體" w:eastAsia="標楷體" w:hAnsi="標楷體"/>
          <w:color w:val="000000"/>
          <w:sz w:val="28"/>
        </w:rPr>
        <w:t>751</w:t>
      </w:r>
      <w:r w:rsidRPr="005731DE">
        <w:rPr>
          <w:rFonts w:ascii="標楷體" w:eastAsia="標楷體" w:hAnsi="標楷體" w:hint="eastAsia"/>
          <w:color w:val="000000"/>
          <w:sz w:val="28"/>
        </w:rPr>
        <w:t>億元，資產負債相抵之淨資產為</w:t>
      </w:r>
      <w:r w:rsidR="00FE0838">
        <w:rPr>
          <w:rFonts w:ascii="標楷體" w:eastAsia="標楷體" w:hAnsi="標楷體"/>
          <w:color w:val="000000"/>
          <w:sz w:val="28"/>
        </w:rPr>
        <w:t>691</w:t>
      </w:r>
      <w:r w:rsidRPr="005731DE">
        <w:rPr>
          <w:rFonts w:ascii="標楷體" w:eastAsia="標楷體" w:hAnsi="標楷體" w:hint="eastAsia"/>
          <w:color w:val="000000"/>
          <w:sz w:val="28"/>
        </w:rPr>
        <w:t>億元。茲將資產負債各科目列具簡表如下：</w:t>
      </w:r>
    </w:p>
    <w:p w:rsidR="005731DE" w:rsidRPr="005731DE" w:rsidRDefault="005731DE" w:rsidP="005731DE">
      <w:pPr>
        <w:snapToGrid w:val="0"/>
        <w:spacing w:beforeLines="50" w:before="120" w:line="300" w:lineRule="exact"/>
        <w:jc w:val="center"/>
        <w:rPr>
          <w:rFonts w:ascii="標楷體" w:eastAsia="標楷體" w:hAnsi="標楷體"/>
          <w:color w:val="000000"/>
          <w:sz w:val="26"/>
          <w:szCs w:val="26"/>
        </w:rPr>
      </w:pPr>
      <w:r w:rsidRPr="005731DE">
        <w:rPr>
          <w:rFonts w:ascii="標楷體" w:eastAsia="標楷體" w:hAnsi="標楷體" w:hint="eastAsia"/>
          <w:color w:val="000000"/>
          <w:sz w:val="26"/>
          <w:szCs w:val="26"/>
        </w:rPr>
        <w:t>中央政府總決算</w:t>
      </w:r>
    </w:p>
    <w:p w:rsidR="005731DE" w:rsidRPr="005731DE" w:rsidRDefault="005731DE" w:rsidP="005731DE">
      <w:pPr>
        <w:snapToGrid w:val="0"/>
        <w:spacing w:line="300" w:lineRule="exact"/>
        <w:jc w:val="center"/>
        <w:rPr>
          <w:rFonts w:ascii="標楷體" w:eastAsia="標楷體" w:hAnsi="標楷體"/>
          <w:color w:val="000000"/>
          <w:sz w:val="26"/>
          <w:szCs w:val="26"/>
        </w:rPr>
      </w:pPr>
      <w:r w:rsidRPr="005731DE">
        <w:rPr>
          <w:rFonts w:ascii="標楷體" w:eastAsia="標楷體" w:hAnsi="標楷體" w:hint="eastAsia"/>
          <w:color w:val="000000"/>
          <w:sz w:val="26"/>
          <w:szCs w:val="26"/>
        </w:rPr>
        <w:t>平衡表</w:t>
      </w:r>
    </w:p>
    <w:p w:rsidR="005731DE" w:rsidRPr="005731DE" w:rsidRDefault="005731DE" w:rsidP="005731DE">
      <w:pPr>
        <w:snapToGrid w:val="0"/>
        <w:spacing w:line="300" w:lineRule="exact"/>
        <w:jc w:val="center"/>
        <w:rPr>
          <w:rFonts w:eastAsia="標楷體"/>
          <w:color w:val="000000"/>
          <w:sz w:val="26"/>
          <w:szCs w:val="26"/>
        </w:rPr>
      </w:pPr>
      <w:r w:rsidRPr="005731DE">
        <w:rPr>
          <w:rFonts w:eastAsia="標楷體"/>
          <w:color w:val="000000"/>
          <w:sz w:val="26"/>
          <w:szCs w:val="26"/>
        </w:rPr>
        <w:t>10</w:t>
      </w:r>
      <w:r w:rsidR="00A746A8">
        <w:rPr>
          <w:rFonts w:eastAsia="標楷體"/>
          <w:color w:val="000000"/>
          <w:sz w:val="26"/>
          <w:szCs w:val="26"/>
        </w:rPr>
        <w:t>6</w:t>
      </w:r>
      <w:r w:rsidRPr="005731DE">
        <w:rPr>
          <w:rFonts w:eastAsia="標楷體" w:hAnsi="標楷體" w:hint="eastAsia"/>
          <w:color w:val="000000"/>
          <w:sz w:val="26"/>
          <w:szCs w:val="26"/>
        </w:rPr>
        <w:t>年</w:t>
      </w:r>
      <w:r w:rsidRPr="005731DE">
        <w:rPr>
          <w:rFonts w:eastAsia="標楷體"/>
          <w:color w:val="000000"/>
          <w:sz w:val="26"/>
          <w:szCs w:val="26"/>
        </w:rPr>
        <w:t>12</w:t>
      </w:r>
      <w:r w:rsidRPr="005731DE">
        <w:rPr>
          <w:rFonts w:eastAsia="標楷體" w:hAnsi="標楷體" w:hint="eastAsia"/>
          <w:color w:val="000000"/>
          <w:sz w:val="26"/>
          <w:szCs w:val="26"/>
        </w:rPr>
        <w:t>月</w:t>
      </w:r>
      <w:r w:rsidRPr="005731DE">
        <w:rPr>
          <w:rFonts w:eastAsia="標楷體"/>
          <w:color w:val="000000"/>
          <w:sz w:val="26"/>
          <w:szCs w:val="26"/>
        </w:rPr>
        <w:t>31</w:t>
      </w:r>
      <w:r w:rsidRPr="005731DE">
        <w:rPr>
          <w:rFonts w:eastAsia="標楷體" w:hAnsi="標楷體" w:hint="eastAsia"/>
          <w:color w:val="000000"/>
          <w:sz w:val="26"/>
          <w:szCs w:val="26"/>
        </w:rPr>
        <w:t>日</w:t>
      </w:r>
    </w:p>
    <w:p w:rsidR="005731DE" w:rsidRPr="005731DE" w:rsidRDefault="005731DE" w:rsidP="005731DE">
      <w:pPr>
        <w:spacing w:line="240" w:lineRule="exact"/>
        <w:ind w:firstLine="482"/>
        <w:jc w:val="right"/>
        <w:rPr>
          <w:rFonts w:ascii="標楷體" w:eastAsia="標楷體"/>
          <w:color w:val="000000"/>
          <w:sz w:val="22"/>
          <w:szCs w:val="22"/>
        </w:rPr>
      </w:pPr>
      <w:r w:rsidRPr="005731DE">
        <w:rPr>
          <w:rFonts w:ascii="標楷體" w:eastAsia="標楷體"/>
          <w:color w:val="000000"/>
          <w:sz w:val="22"/>
          <w:szCs w:val="22"/>
        </w:rPr>
        <w:t xml:space="preserve">                                                     </w:t>
      </w:r>
      <w:r w:rsidRPr="005731DE">
        <w:rPr>
          <w:rFonts w:ascii="標楷體" w:eastAsia="標楷體" w:hint="eastAsia"/>
          <w:color w:val="000000"/>
          <w:sz w:val="22"/>
          <w:szCs w:val="22"/>
        </w:rPr>
        <w:t>單位：新臺幣元</w:t>
      </w:r>
    </w:p>
    <w:tbl>
      <w:tblPr>
        <w:tblW w:w="9360" w:type="dxa"/>
        <w:tblInd w:w="2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208"/>
        <w:gridCol w:w="2352"/>
        <w:gridCol w:w="2520"/>
        <w:gridCol w:w="2280"/>
      </w:tblGrid>
      <w:tr w:rsidR="005731DE" w:rsidRPr="005731DE" w:rsidTr="006569CE">
        <w:trPr>
          <w:trHeight w:val="705"/>
        </w:trPr>
        <w:tc>
          <w:tcPr>
            <w:tcW w:w="2208" w:type="dxa"/>
            <w:tcBorders>
              <w:top w:val="single" w:sz="4" w:space="0" w:color="auto"/>
              <w:left w:val="single" w:sz="4" w:space="0" w:color="auto"/>
              <w:bottom w:val="single" w:sz="6" w:space="0" w:color="auto"/>
              <w:right w:val="nil"/>
            </w:tcBorders>
            <w:vAlign w:val="center"/>
          </w:tcPr>
          <w:p w:rsidR="005731DE" w:rsidRPr="005731DE" w:rsidRDefault="005731DE" w:rsidP="005731DE">
            <w:pPr>
              <w:spacing w:line="280" w:lineRule="exact"/>
              <w:ind w:left="57" w:right="57"/>
              <w:jc w:val="distribute"/>
              <w:rPr>
                <w:rFonts w:ascii="標楷體" w:eastAsia="標楷體"/>
                <w:b/>
                <w:color w:val="000000"/>
                <w:sz w:val="26"/>
              </w:rPr>
            </w:pPr>
            <w:r w:rsidRPr="005731DE">
              <w:rPr>
                <w:rFonts w:ascii="標楷體" w:eastAsia="標楷體" w:hint="eastAsia"/>
                <w:b/>
                <w:color w:val="000000"/>
                <w:sz w:val="26"/>
              </w:rPr>
              <w:t>資</w:t>
            </w:r>
            <w:r w:rsidRPr="005731DE">
              <w:rPr>
                <w:rFonts w:ascii="標楷體" w:eastAsia="標楷體"/>
                <w:b/>
                <w:color w:val="000000"/>
                <w:sz w:val="26"/>
              </w:rPr>
              <w:t xml:space="preserve">  </w:t>
            </w:r>
            <w:r w:rsidRPr="005731DE">
              <w:rPr>
                <w:rFonts w:ascii="標楷體" w:eastAsia="標楷體" w:hint="eastAsia"/>
                <w:b/>
                <w:color w:val="000000"/>
                <w:sz w:val="26"/>
              </w:rPr>
              <w:t>產</w:t>
            </w:r>
            <w:r w:rsidRPr="005731DE">
              <w:rPr>
                <w:rFonts w:ascii="標楷體" w:eastAsia="標楷體"/>
                <w:b/>
                <w:color w:val="000000"/>
                <w:sz w:val="26"/>
              </w:rPr>
              <w:t xml:space="preserve">  </w:t>
            </w:r>
            <w:r w:rsidRPr="005731DE">
              <w:rPr>
                <w:rFonts w:ascii="標楷體" w:eastAsia="標楷體" w:hint="eastAsia"/>
                <w:b/>
                <w:color w:val="000000"/>
                <w:sz w:val="26"/>
              </w:rPr>
              <w:t>科</w:t>
            </w:r>
            <w:r w:rsidRPr="005731DE">
              <w:rPr>
                <w:rFonts w:ascii="標楷體" w:eastAsia="標楷體"/>
                <w:b/>
                <w:color w:val="000000"/>
                <w:sz w:val="26"/>
              </w:rPr>
              <w:t xml:space="preserve">  </w:t>
            </w:r>
            <w:r w:rsidRPr="005731DE">
              <w:rPr>
                <w:rFonts w:ascii="標楷體" w:eastAsia="標楷體" w:hint="eastAsia"/>
                <w:b/>
                <w:color w:val="000000"/>
                <w:sz w:val="26"/>
              </w:rPr>
              <w:t>目</w:t>
            </w:r>
          </w:p>
        </w:tc>
        <w:tc>
          <w:tcPr>
            <w:tcW w:w="2352" w:type="dxa"/>
            <w:tcBorders>
              <w:top w:val="single" w:sz="4" w:space="0" w:color="auto"/>
              <w:left w:val="single" w:sz="6" w:space="0" w:color="auto"/>
              <w:bottom w:val="single" w:sz="6" w:space="0" w:color="auto"/>
              <w:right w:val="single" w:sz="6" w:space="0" w:color="auto"/>
            </w:tcBorders>
            <w:vAlign w:val="center"/>
          </w:tcPr>
          <w:p w:rsidR="005731DE" w:rsidRPr="005731DE" w:rsidRDefault="005731DE" w:rsidP="005731DE">
            <w:pPr>
              <w:spacing w:line="280" w:lineRule="exact"/>
              <w:ind w:left="57" w:right="57"/>
              <w:jc w:val="center"/>
              <w:rPr>
                <w:rFonts w:ascii="標楷體" w:eastAsia="標楷體"/>
                <w:b/>
                <w:color w:val="000000"/>
                <w:sz w:val="26"/>
              </w:rPr>
            </w:pPr>
            <w:r w:rsidRPr="005731DE">
              <w:rPr>
                <w:rFonts w:ascii="標楷體" w:eastAsia="標楷體" w:hint="eastAsia"/>
                <w:b/>
                <w:color w:val="000000"/>
                <w:sz w:val="26"/>
              </w:rPr>
              <w:t>金</w:t>
            </w:r>
            <w:r w:rsidRPr="005731DE">
              <w:rPr>
                <w:rFonts w:ascii="標楷體" w:eastAsia="標楷體"/>
                <w:b/>
                <w:color w:val="000000"/>
                <w:sz w:val="26"/>
              </w:rPr>
              <w:t xml:space="preserve">      </w:t>
            </w:r>
            <w:r w:rsidRPr="005731DE">
              <w:rPr>
                <w:rFonts w:ascii="標楷體" w:eastAsia="標楷體" w:hint="eastAsia"/>
                <w:b/>
                <w:color w:val="000000"/>
                <w:sz w:val="26"/>
              </w:rPr>
              <w:t>額</w:t>
            </w:r>
          </w:p>
        </w:tc>
        <w:tc>
          <w:tcPr>
            <w:tcW w:w="2520" w:type="dxa"/>
            <w:tcBorders>
              <w:top w:val="single" w:sz="4" w:space="0" w:color="auto"/>
              <w:left w:val="nil"/>
              <w:bottom w:val="single" w:sz="6" w:space="0" w:color="auto"/>
              <w:right w:val="nil"/>
            </w:tcBorders>
            <w:vAlign w:val="center"/>
          </w:tcPr>
          <w:p w:rsidR="005731DE" w:rsidRPr="005731DE" w:rsidRDefault="005731DE" w:rsidP="005731DE">
            <w:pPr>
              <w:spacing w:line="280" w:lineRule="exact"/>
              <w:ind w:left="57" w:right="57"/>
              <w:jc w:val="distribute"/>
              <w:rPr>
                <w:rFonts w:ascii="標楷體" w:eastAsia="標楷體"/>
                <w:b/>
                <w:color w:val="000000"/>
                <w:sz w:val="26"/>
              </w:rPr>
            </w:pPr>
            <w:r w:rsidRPr="005731DE">
              <w:rPr>
                <w:rFonts w:ascii="標楷體" w:eastAsia="標楷體" w:hint="eastAsia"/>
                <w:b/>
                <w:color w:val="000000"/>
                <w:sz w:val="26"/>
              </w:rPr>
              <w:t>負債及淨資產科目</w:t>
            </w:r>
          </w:p>
        </w:tc>
        <w:tc>
          <w:tcPr>
            <w:tcW w:w="2280" w:type="dxa"/>
            <w:tcBorders>
              <w:top w:val="single" w:sz="4" w:space="0" w:color="auto"/>
              <w:left w:val="single" w:sz="6" w:space="0" w:color="auto"/>
              <w:bottom w:val="single" w:sz="6" w:space="0" w:color="auto"/>
              <w:right w:val="single" w:sz="4" w:space="0" w:color="auto"/>
            </w:tcBorders>
            <w:vAlign w:val="center"/>
          </w:tcPr>
          <w:p w:rsidR="005731DE" w:rsidRPr="005731DE" w:rsidRDefault="005731DE" w:rsidP="005731DE">
            <w:pPr>
              <w:spacing w:line="280" w:lineRule="exact"/>
              <w:ind w:left="57" w:right="57"/>
              <w:jc w:val="center"/>
              <w:rPr>
                <w:rFonts w:ascii="標楷體" w:eastAsia="標楷體"/>
                <w:b/>
                <w:color w:val="000000"/>
                <w:sz w:val="26"/>
              </w:rPr>
            </w:pPr>
            <w:r w:rsidRPr="005731DE">
              <w:rPr>
                <w:rFonts w:ascii="標楷體" w:eastAsia="標楷體" w:hint="eastAsia"/>
                <w:b/>
                <w:color w:val="000000"/>
                <w:sz w:val="26"/>
              </w:rPr>
              <w:t>金</w:t>
            </w:r>
            <w:r w:rsidRPr="005731DE">
              <w:rPr>
                <w:rFonts w:ascii="標楷體" w:eastAsia="標楷體"/>
                <w:b/>
                <w:color w:val="000000"/>
                <w:sz w:val="26"/>
              </w:rPr>
              <w:t xml:space="preserve">      </w:t>
            </w:r>
            <w:r w:rsidRPr="005731DE">
              <w:rPr>
                <w:rFonts w:ascii="標楷體" w:eastAsia="標楷體" w:hint="eastAsia"/>
                <w:b/>
                <w:color w:val="000000"/>
                <w:sz w:val="26"/>
              </w:rPr>
              <w:t>額</w:t>
            </w:r>
          </w:p>
        </w:tc>
      </w:tr>
      <w:tr w:rsidR="007214DB" w:rsidRPr="005731DE" w:rsidTr="003F11D3">
        <w:trPr>
          <w:trHeight w:val="397"/>
        </w:trPr>
        <w:tc>
          <w:tcPr>
            <w:tcW w:w="2208" w:type="dxa"/>
            <w:tcBorders>
              <w:top w:val="nil"/>
              <w:left w:val="single" w:sz="4" w:space="0" w:color="auto"/>
              <w:right w:val="nil"/>
            </w:tcBorders>
            <w:vAlign w:val="center"/>
          </w:tcPr>
          <w:p w:rsidR="007214DB" w:rsidRPr="005731DE" w:rsidRDefault="007214DB" w:rsidP="007214DB">
            <w:pPr>
              <w:spacing w:line="280" w:lineRule="exact"/>
              <w:ind w:left="57" w:right="57"/>
              <w:jc w:val="distribute"/>
              <w:rPr>
                <w:rFonts w:ascii="標楷體" w:eastAsia="標楷體"/>
                <w:b/>
                <w:color w:val="000000"/>
                <w:sz w:val="26"/>
              </w:rPr>
            </w:pPr>
            <w:r w:rsidRPr="005731DE">
              <w:rPr>
                <w:rFonts w:ascii="標楷體" w:eastAsia="標楷體" w:hint="eastAsia"/>
                <w:b/>
                <w:color w:val="000000"/>
                <w:sz w:val="26"/>
              </w:rPr>
              <w:t>流動資產</w:t>
            </w:r>
          </w:p>
        </w:tc>
        <w:tc>
          <w:tcPr>
            <w:tcW w:w="2352" w:type="dxa"/>
            <w:tcBorders>
              <w:top w:val="nil"/>
              <w:left w:val="single" w:sz="4" w:space="0" w:color="auto"/>
              <w:bottom w:val="nil"/>
              <w:right w:val="single" w:sz="4" w:space="0" w:color="auto"/>
            </w:tcBorders>
            <w:shd w:val="clear" w:color="auto" w:fill="auto"/>
            <w:vAlign w:val="center"/>
          </w:tcPr>
          <w:p w:rsidR="007214DB" w:rsidRPr="007214DB" w:rsidRDefault="007214DB" w:rsidP="007214DB">
            <w:pPr>
              <w:widowControl/>
              <w:adjustRightInd/>
              <w:spacing w:line="240" w:lineRule="auto"/>
              <w:jc w:val="right"/>
              <w:textAlignment w:val="auto"/>
              <w:rPr>
                <w:b/>
                <w:bCs/>
                <w:color w:val="000000"/>
                <w:szCs w:val="22"/>
              </w:rPr>
            </w:pPr>
            <w:r w:rsidRPr="007214DB">
              <w:rPr>
                <w:b/>
                <w:bCs/>
                <w:color w:val="000000"/>
                <w:szCs w:val="22"/>
              </w:rPr>
              <w:t>744,168,112,986.89</w:t>
            </w:r>
          </w:p>
        </w:tc>
        <w:tc>
          <w:tcPr>
            <w:tcW w:w="2520" w:type="dxa"/>
            <w:tcBorders>
              <w:top w:val="nil"/>
              <w:left w:val="nil"/>
              <w:right w:val="nil"/>
            </w:tcBorders>
            <w:vAlign w:val="center"/>
          </w:tcPr>
          <w:p w:rsidR="007214DB" w:rsidRPr="005731DE" w:rsidRDefault="007214DB" w:rsidP="007214DB">
            <w:pPr>
              <w:spacing w:line="280" w:lineRule="exact"/>
              <w:ind w:left="57" w:right="57"/>
              <w:jc w:val="distribute"/>
              <w:rPr>
                <w:rFonts w:ascii="標楷體" w:eastAsia="標楷體"/>
                <w:b/>
                <w:color w:val="000000"/>
                <w:sz w:val="26"/>
              </w:rPr>
            </w:pPr>
            <w:r w:rsidRPr="005731DE">
              <w:rPr>
                <w:rFonts w:ascii="標楷體" w:eastAsia="標楷體" w:hint="eastAsia"/>
                <w:b/>
                <w:color w:val="000000"/>
                <w:sz w:val="26"/>
              </w:rPr>
              <w:t>流動負債</w:t>
            </w:r>
          </w:p>
        </w:tc>
        <w:tc>
          <w:tcPr>
            <w:tcW w:w="2280" w:type="dxa"/>
            <w:tcBorders>
              <w:top w:val="nil"/>
              <w:left w:val="single" w:sz="4" w:space="0" w:color="auto"/>
              <w:bottom w:val="nil"/>
              <w:right w:val="single" w:sz="4" w:space="0" w:color="auto"/>
            </w:tcBorders>
            <w:shd w:val="clear" w:color="auto" w:fill="auto"/>
            <w:vAlign w:val="center"/>
          </w:tcPr>
          <w:p w:rsidR="007214DB" w:rsidRPr="00FE0838" w:rsidRDefault="007214DB" w:rsidP="007214DB">
            <w:pPr>
              <w:widowControl/>
              <w:adjustRightInd/>
              <w:spacing w:line="240" w:lineRule="auto"/>
              <w:jc w:val="right"/>
              <w:textAlignment w:val="auto"/>
              <w:rPr>
                <w:b/>
                <w:bCs/>
                <w:color w:val="000000"/>
                <w:szCs w:val="22"/>
              </w:rPr>
            </w:pPr>
            <w:r w:rsidRPr="00FE0838">
              <w:rPr>
                <w:b/>
                <w:bCs/>
                <w:color w:val="000000"/>
                <w:szCs w:val="22"/>
              </w:rPr>
              <w:t>675,088,971,295.40</w:t>
            </w:r>
          </w:p>
        </w:tc>
      </w:tr>
      <w:tr w:rsidR="007214DB" w:rsidRPr="005731DE" w:rsidTr="00A746A8">
        <w:trPr>
          <w:trHeight w:val="397"/>
        </w:trPr>
        <w:tc>
          <w:tcPr>
            <w:tcW w:w="2208" w:type="dxa"/>
            <w:tcBorders>
              <w:top w:val="nil"/>
              <w:left w:val="single" w:sz="4" w:space="0" w:color="auto"/>
              <w:right w:val="nil"/>
            </w:tcBorders>
            <w:vAlign w:val="center"/>
          </w:tcPr>
          <w:p w:rsidR="007214DB" w:rsidRPr="005731DE" w:rsidRDefault="007214DB" w:rsidP="007214DB">
            <w:pPr>
              <w:spacing w:line="280" w:lineRule="exact"/>
              <w:ind w:left="57" w:right="57"/>
              <w:jc w:val="distribute"/>
              <w:rPr>
                <w:rFonts w:ascii="標楷體" w:eastAsia="標楷體"/>
                <w:color w:val="000000"/>
                <w:sz w:val="26"/>
              </w:rPr>
            </w:pPr>
            <w:r w:rsidRPr="005731DE">
              <w:rPr>
                <w:rFonts w:ascii="標楷體" w:eastAsia="標楷體" w:hint="eastAsia"/>
                <w:color w:val="000000"/>
                <w:sz w:val="26"/>
              </w:rPr>
              <w:t>現金</w:t>
            </w:r>
          </w:p>
        </w:tc>
        <w:tc>
          <w:tcPr>
            <w:tcW w:w="2352" w:type="dxa"/>
            <w:tcBorders>
              <w:top w:val="nil"/>
              <w:left w:val="single" w:sz="4" w:space="0" w:color="auto"/>
              <w:bottom w:val="nil"/>
              <w:right w:val="single" w:sz="4" w:space="0" w:color="auto"/>
            </w:tcBorders>
            <w:shd w:val="clear" w:color="auto" w:fill="auto"/>
            <w:vAlign w:val="center"/>
          </w:tcPr>
          <w:p w:rsidR="007214DB" w:rsidRPr="007214DB" w:rsidRDefault="007214DB" w:rsidP="007214DB">
            <w:pPr>
              <w:jc w:val="right"/>
              <w:rPr>
                <w:color w:val="000000"/>
                <w:szCs w:val="24"/>
              </w:rPr>
            </w:pPr>
            <w:r w:rsidRPr="007214DB">
              <w:rPr>
                <w:color w:val="000000"/>
                <w:szCs w:val="24"/>
              </w:rPr>
              <w:t>117,429,354,519.52</w:t>
            </w:r>
          </w:p>
        </w:tc>
        <w:tc>
          <w:tcPr>
            <w:tcW w:w="2520" w:type="dxa"/>
            <w:tcBorders>
              <w:top w:val="nil"/>
              <w:left w:val="nil"/>
              <w:right w:val="nil"/>
            </w:tcBorders>
            <w:vAlign w:val="center"/>
          </w:tcPr>
          <w:p w:rsidR="007214DB" w:rsidRPr="005731DE" w:rsidRDefault="007214DB" w:rsidP="007214DB">
            <w:pPr>
              <w:spacing w:line="280" w:lineRule="exact"/>
              <w:ind w:left="57" w:right="57"/>
              <w:jc w:val="distribute"/>
              <w:rPr>
                <w:rFonts w:ascii="標楷體" w:eastAsia="標楷體"/>
                <w:color w:val="000000"/>
                <w:sz w:val="26"/>
              </w:rPr>
            </w:pPr>
            <w:r w:rsidRPr="005731DE">
              <w:rPr>
                <w:rFonts w:ascii="標楷體" w:eastAsia="標楷體" w:hint="eastAsia"/>
                <w:color w:val="000000"/>
                <w:sz w:val="26"/>
              </w:rPr>
              <w:t>短期債務</w:t>
            </w:r>
          </w:p>
        </w:tc>
        <w:tc>
          <w:tcPr>
            <w:tcW w:w="2280" w:type="dxa"/>
            <w:tcBorders>
              <w:top w:val="nil"/>
              <w:left w:val="single" w:sz="4" w:space="0" w:color="auto"/>
              <w:bottom w:val="nil"/>
              <w:right w:val="single" w:sz="4" w:space="0" w:color="auto"/>
            </w:tcBorders>
            <w:shd w:val="clear" w:color="auto" w:fill="auto"/>
            <w:vAlign w:val="center"/>
          </w:tcPr>
          <w:p w:rsidR="007214DB" w:rsidRPr="00FE0838" w:rsidRDefault="007214DB" w:rsidP="007214DB">
            <w:pPr>
              <w:jc w:val="right"/>
              <w:rPr>
                <w:color w:val="000000"/>
                <w:szCs w:val="24"/>
              </w:rPr>
            </w:pPr>
            <w:r w:rsidRPr="00FE0838">
              <w:rPr>
                <w:color w:val="000000"/>
                <w:szCs w:val="24"/>
              </w:rPr>
              <w:t>82,896,275,000.00</w:t>
            </w:r>
          </w:p>
        </w:tc>
      </w:tr>
      <w:tr w:rsidR="007214DB" w:rsidRPr="005731DE" w:rsidTr="00A746A8">
        <w:trPr>
          <w:trHeight w:val="397"/>
        </w:trPr>
        <w:tc>
          <w:tcPr>
            <w:tcW w:w="2208" w:type="dxa"/>
            <w:tcBorders>
              <w:left w:val="single" w:sz="4" w:space="0" w:color="auto"/>
              <w:right w:val="nil"/>
            </w:tcBorders>
            <w:vAlign w:val="center"/>
          </w:tcPr>
          <w:p w:rsidR="007214DB" w:rsidRPr="005731DE" w:rsidRDefault="007214DB" w:rsidP="007214DB">
            <w:pPr>
              <w:spacing w:line="280" w:lineRule="exact"/>
              <w:ind w:left="57" w:right="57"/>
              <w:jc w:val="distribute"/>
              <w:rPr>
                <w:rFonts w:ascii="標楷體" w:eastAsia="標楷體"/>
                <w:color w:val="000000"/>
                <w:sz w:val="26"/>
              </w:rPr>
            </w:pPr>
            <w:r w:rsidRPr="005731DE">
              <w:rPr>
                <w:rFonts w:ascii="標楷體" w:eastAsia="標楷體" w:hint="eastAsia"/>
                <w:color w:val="000000"/>
                <w:sz w:val="26"/>
              </w:rPr>
              <w:t>應收款項</w:t>
            </w:r>
          </w:p>
        </w:tc>
        <w:tc>
          <w:tcPr>
            <w:tcW w:w="2352" w:type="dxa"/>
            <w:tcBorders>
              <w:top w:val="nil"/>
              <w:left w:val="single" w:sz="4" w:space="0" w:color="auto"/>
              <w:bottom w:val="nil"/>
              <w:right w:val="single" w:sz="4" w:space="0" w:color="auto"/>
            </w:tcBorders>
            <w:shd w:val="clear" w:color="auto" w:fill="auto"/>
            <w:vAlign w:val="center"/>
          </w:tcPr>
          <w:p w:rsidR="007214DB" w:rsidRPr="007214DB" w:rsidRDefault="007214DB" w:rsidP="007214DB">
            <w:pPr>
              <w:jc w:val="right"/>
              <w:rPr>
                <w:color w:val="000000"/>
                <w:szCs w:val="24"/>
              </w:rPr>
            </w:pPr>
            <w:r w:rsidRPr="007214DB">
              <w:rPr>
                <w:color w:val="000000"/>
                <w:szCs w:val="24"/>
              </w:rPr>
              <w:t>384,360,801,150.00</w:t>
            </w:r>
          </w:p>
        </w:tc>
        <w:tc>
          <w:tcPr>
            <w:tcW w:w="2520" w:type="dxa"/>
            <w:tcBorders>
              <w:left w:val="nil"/>
              <w:right w:val="nil"/>
            </w:tcBorders>
            <w:vAlign w:val="center"/>
          </w:tcPr>
          <w:p w:rsidR="007214DB" w:rsidRPr="005731DE" w:rsidRDefault="007214DB" w:rsidP="007214DB">
            <w:pPr>
              <w:spacing w:line="280" w:lineRule="exact"/>
              <w:ind w:left="57" w:right="57"/>
              <w:jc w:val="distribute"/>
              <w:rPr>
                <w:rFonts w:ascii="標楷體" w:eastAsia="標楷體"/>
                <w:color w:val="000000"/>
                <w:sz w:val="26"/>
              </w:rPr>
            </w:pPr>
            <w:r w:rsidRPr="005731DE">
              <w:rPr>
                <w:rFonts w:ascii="標楷體" w:eastAsia="標楷體" w:hint="eastAsia"/>
                <w:color w:val="000000"/>
                <w:sz w:val="26"/>
              </w:rPr>
              <w:t>應付款項</w:t>
            </w:r>
          </w:p>
        </w:tc>
        <w:tc>
          <w:tcPr>
            <w:tcW w:w="2280" w:type="dxa"/>
            <w:tcBorders>
              <w:top w:val="nil"/>
              <w:left w:val="single" w:sz="4" w:space="0" w:color="auto"/>
              <w:bottom w:val="nil"/>
              <w:right w:val="single" w:sz="4" w:space="0" w:color="auto"/>
            </w:tcBorders>
            <w:shd w:val="clear" w:color="auto" w:fill="auto"/>
            <w:vAlign w:val="center"/>
          </w:tcPr>
          <w:p w:rsidR="007214DB" w:rsidRPr="00FE0838" w:rsidRDefault="007214DB" w:rsidP="007214DB">
            <w:pPr>
              <w:jc w:val="right"/>
              <w:rPr>
                <w:color w:val="000000"/>
                <w:szCs w:val="24"/>
              </w:rPr>
            </w:pPr>
            <w:r w:rsidRPr="00FE0838">
              <w:rPr>
                <w:color w:val="000000"/>
                <w:szCs w:val="24"/>
              </w:rPr>
              <w:t>81,192,570,545.00</w:t>
            </w:r>
          </w:p>
        </w:tc>
      </w:tr>
      <w:tr w:rsidR="007214DB" w:rsidRPr="005731DE" w:rsidTr="00A746A8">
        <w:trPr>
          <w:trHeight w:val="397"/>
        </w:trPr>
        <w:tc>
          <w:tcPr>
            <w:tcW w:w="2208" w:type="dxa"/>
            <w:tcBorders>
              <w:left w:val="single" w:sz="4" w:space="0" w:color="auto"/>
              <w:right w:val="nil"/>
            </w:tcBorders>
            <w:vAlign w:val="center"/>
          </w:tcPr>
          <w:p w:rsidR="007214DB" w:rsidRPr="005731DE" w:rsidRDefault="007214DB" w:rsidP="007214DB">
            <w:pPr>
              <w:spacing w:line="280" w:lineRule="exact"/>
              <w:ind w:left="57" w:right="57"/>
              <w:jc w:val="distribute"/>
              <w:rPr>
                <w:rFonts w:ascii="標楷體" w:eastAsia="標楷體"/>
                <w:color w:val="000000"/>
                <w:sz w:val="26"/>
              </w:rPr>
            </w:pPr>
            <w:r w:rsidRPr="005731DE">
              <w:rPr>
                <w:rFonts w:ascii="標楷體" w:eastAsia="標楷體" w:hint="eastAsia"/>
                <w:color w:val="000000"/>
                <w:sz w:val="26"/>
              </w:rPr>
              <w:t>應收其他基金款</w:t>
            </w:r>
          </w:p>
        </w:tc>
        <w:tc>
          <w:tcPr>
            <w:tcW w:w="2352" w:type="dxa"/>
            <w:tcBorders>
              <w:top w:val="nil"/>
              <w:left w:val="single" w:sz="4" w:space="0" w:color="auto"/>
              <w:bottom w:val="nil"/>
              <w:right w:val="single" w:sz="4" w:space="0" w:color="auto"/>
            </w:tcBorders>
            <w:shd w:val="clear" w:color="auto" w:fill="auto"/>
            <w:vAlign w:val="center"/>
          </w:tcPr>
          <w:p w:rsidR="007214DB" w:rsidRPr="007214DB" w:rsidRDefault="007214DB" w:rsidP="007214DB">
            <w:pPr>
              <w:jc w:val="right"/>
              <w:rPr>
                <w:color w:val="000000"/>
                <w:szCs w:val="24"/>
              </w:rPr>
            </w:pPr>
            <w:r w:rsidRPr="007214DB">
              <w:rPr>
                <w:color w:val="000000"/>
                <w:szCs w:val="24"/>
              </w:rPr>
              <w:t>26,603,437,987.16</w:t>
            </w:r>
          </w:p>
        </w:tc>
        <w:tc>
          <w:tcPr>
            <w:tcW w:w="2520" w:type="dxa"/>
            <w:tcBorders>
              <w:left w:val="nil"/>
              <w:right w:val="nil"/>
            </w:tcBorders>
            <w:vAlign w:val="center"/>
          </w:tcPr>
          <w:p w:rsidR="007214DB" w:rsidRPr="005731DE" w:rsidRDefault="007214DB" w:rsidP="007214DB">
            <w:pPr>
              <w:spacing w:line="280" w:lineRule="exact"/>
              <w:ind w:left="57" w:right="57"/>
              <w:jc w:val="distribute"/>
              <w:rPr>
                <w:rFonts w:ascii="標楷體" w:eastAsia="標楷體"/>
                <w:color w:val="000000"/>
                <w:sz w:val="26"/>
              </w:rPr>
            </w:pPr>
            <w:r w:rsidRPr="005731DE">
              <w:rPr>
                <w:rFonts w:ascii="標楷體" w:eastAsia="標楷體" w:hint="eastAsia"/>
                <w:color w:val="000000"/>
                <w:sz w:val="26"/>
              </w:rPr>
              <w:t>應付其他基金款</w:t>
            </w:r>
          </w:p>
        </w:tc>
        <w:tc>
          <w:tcPr>
            <w:tcW w:w="2280" w:type="dxa"/>
            <w:tcBorders>
              <w:top w:val="nil"/>
              <w:left w:val="single" w:sz="4" w:space="0" w:color="auto"/>
              <w:bottom w:val="nil"/>
              <w:right w:val="single" w:sz="4" w:space="0" w:color="auto"/>
            </w:tcBorders>
            <w:shd w:val="clear" w:color="auto" w:fill="auto"/>
            <w:vAlign w:val="center"/>
          </w:tcPr>
          <w:p w:rsidR="007214DB" w:rsidRPr="00FE0838" w:rsidRDefault="007214DB" w:rsidP="007214DB">
            <w:pPr>
              <w:jc w:val="right"/>
              <w:rPr>
                <w:color w:val="000000"/>
                <w:szCs w:val="24"/>
              </w:rPr>
            </w:pPr>
            <w:r w:rsidRPr="00FE0838">
              <w:rPr>
                <w:color w:val="000000"/>
                <w:szCs w:val="24"/>
              </w:rPr>
              <w:t>637,267,116.00</w:t>
            </w:r>
          </w:p>
        </w:tc>
      </w:tr>
      <w:tr w:rsidR="007214DB" w:rsidRPr="005731DE" w:rsidTr="00A746A8">
        <w:trPr>
          <w:trHeight w:val="397"/>
        </w:trPr>
        <w:tc>
          <w:tcPr>
            <w:tcW w:w="2208" w:type="dxa"/>
            <w:tcBorders>
              <w:left w:val="single" w:sz="4" w:space="0" w:color="auto"/>
              <w:right w:val="nil"/>
            </w:tcBorders>
            <w:vAlign w:val="center"/>
          </w:tcPr>
          <w:p w:rsidR="007214DB" w:rsidRPr="005731DE" w:rsidRDefault="007214DB" w:rsidP="007214DB">
            <w:pPr>
              <w:spacing w:line="280" w:lineRule="exact"/>
              <w:ind w:left="57" w:right="57"/>
              <w:jc w:val="distribute"/>
              <w:rPr>
                <w:rFonts w:ascii="標楷體" w:eastAsia="標楷體"/>
                <w:color w:val="000000"/>
                <w:sz w:val="26"/>
              </w:rPr>
            </w:pPr>
            <w:r w:rsidRPr="005731DE">
              <w:rPr>
                <w:rFonts w:ascii="標楷體" w:eastAsia="標楷體" w:hint="eastAsia"/>
                <w:color w:val="000000"/>
                <w:sz w:val="26"/>
              </w:rPr>
              <w:t>應收其他政府款</w:t>
            </w:r>
          </w:p>
        </w:tc>
        <w:tc>
          <w:tcPr>
            <w:tcW w:w="2352" w:type="dxa"/>
            <w:tcBorders>
              <w:top w:val="nil"/>
              <w:left w:val="single" w:sz="4" w:space="0" w:color="auto"/>
              <w:bottom w:val="nil"/>
              <w:right w:val="single" w:sz="4" w:space="0" w:color="auto"/>
            </w:tcBorders>
            <w:shd w:val="clear" w:color="auto" w:fill="auto"/>
            <w:vAlign w:val="center"/>
          </w:tcPr>
          <w:p w:rsidR="007214DB" w:rsidRPr="007214DB" w:rsidRDefault="007214DB" w:rsidP="007214DB">
            <w:pPr>
              <w:jc w:val="right"/>
              <w:rPr>
                <w:color w:val="000000"/>
                <w:szCs w:val="24"/>
              </w:rPr>
            </w:pPr>
            <w:r w:rsidRPr="007214DB">
              <w:rPr>
                <w:color w:val="000000"/>
                <w:szCs w:val="24"/>
              </w:rPr>
              <w:t>1,600,369,084.00</w:t>
            </w:r>
          </w:p>
        </w:tc>
        <w:tc>
          <w:tcPr>
            <w:tcW w:w="2520" w:type="dxa"/>
            <w:tcBorders>
              <w:left w:val="nil"/>
              <w:right w:val="nil"/>
            </w:tcBorders>
            <w:vAlign w:val="center"/>
          </w:tcPr>
          <w:p w:rsidR="007214DB" w:rsidRPr="005731DE" w:rsidRDefault="007214DB" w:rsidP="007214DB">
            <w:pPr>
              <w:spacing w:line="280" w:lineRule="exact"/>
              <w:ind w:left="57" w:right="57"/>
              <w:jc w:val="distribute"/>
              <w:rPr>
                <w:rFonts w:ascii="標楷體" w:eastAsia="標楷體"/>
                <w:color w:val="000000"/>
                <w:sz w:val="26"/>
              </w:rPr>
            </w:pPr>
            <w:r w:rsidRPr="005731DE">
              <w:rPr>
                <w:rFonts w:ascii="標楷體" w:eastAsia="標楷體" w:hint="eastAsia"/>
                <w:color w:val="000000"/>
                <w:sz w:val="26"/>
              </w:rPr>
              <w:t>應付其他政府款</w:t>
            </w:r>
          </w:p>
        </w:tc>
        <w:tc>
          <w:tcPr>
            <w:tcW w:w="2280" w:type="dxa"/>
            <w:tcBorders>
              <w:top w:val="nil"/>
              <w:left w:val="single" w:sz="4" w:space="0" w:color="auto"/>
              <w:bottom w:val="nil"/>
              <w:right w:val="single" w:sz="4" w:space="0" w:color="auto"/>
            </w:tcBorders>
            <w:shd w:val="clear" w:color="auto" w:fill="auto"/>
            <w:vAlign w:val="center"/>
          </w:tcPr>
          <w:p w:rsidR="007214DB" w:rsidRPr="00FE0838" w:rsidRDefault="007214DB" w:rsidP="007214DB">
            <w:pPr>
              <w:jc w:val="right"/>
              <w:rPr>
                <w:color w:val="000000"/>
                <w:szCs w:val="24"/>
              </w:rPr>
            </w:pPr>
            <w:r w:rsidRPr="00FE0838">
              <w:rPr>
                <w:color w:val="000000"/>
                <w:szCs w:val="24"/>
              </w:rPr>
              <w:t>9,644,987,527.00</w:t>
            </w:r>
          </w:p>
        </w:tc>
      </w:tr>
      <w:tr w:rsidR="007214DB" w:rsidRPr="005731DE" w:rsidTr="00A746A8">
        <w:trPr>
          <w:trHeight w:val="397"/>
        </w:trPr>
        <w:tc>
          <w:tcPr>
            <w:tcW w:w="2208" w:type="dxa"/>
            <w:tcBorders>
              <w:left w:val="single" w:sz="4" w:space="0" w:color="auto"/>
              <w:right w:val="nil"/>
            </w:tcBorders>
            <w:vAlign w:val="center"/>
          </w:tcPr>
          <w:p w:rsidR="007214DB" w:rsidRPr="005731DE" w:rsidRDefault="007214DB" w:rsidP="007214DB">
            <w:pPr>
              <w:spacing w:line="280" w:lineRule="exact"/>
              <w:ind w:left="57" w:right="57"/>
              <w:jc w:val="distribute"/>
              <w:rPr>
                <w:rFonts w:ascii="標楷體" w:eastAsia="標楷體"/>
                <w:color w:val="000000"/>
                <w:sz w:val="26"/>
              </w:rPr>
            </w:pPr>
            <w:r w:rsidRPr="005731DE">
              <w:rPr>
                <w:rFonts w:ascii="標楷體" w:eastAsia="標楷體" w:hint="eastAsia"/>
                <w:color w:val="000000"/>
                <w:sz w:val="26"/>
              </w:rPr>
              <w:t>存貨</w:t>
            </w:r>
          </w:p>
        </w:tc>
        <w:tc>
          <w:tcPr>
            <w:tcW w:w="2352" w:type="dxa"/>
            <w:tcBorders>
              <w:top w:val="nil"/>
              <w:left w:val="single" w:sz="4" w:space="0" w:color="auto"/>
              <w:bottom w:val="nil"/>
              <w:right w:val="single" w:sz="4" w:space="0" w:color="auto"/>
            </w:tcBorders>
            <w:shd w:val="clear" w:color="auto" w:fill="auto"/>
            <w:vAlign w:val="center"/>
          </w:tcPr>
          <w:p w:rsidR="007214DB" w:rsidRPr="007214DB" w:rsidRDefault="007214DB" w:rsidP="007214DB">
            <w:pPr>
              <w:jc w:val="right"/>
              <w:rPr>
                <w:color w:val="000000"/>
                <w:szCs w:val="24"/>
              </w:rPr>
            </w:pPr>
            <w:r w:rsidRPr="007214DB">
              <w:rPr>
                <w:color w:val="000000"/>
                <w:szCs w:val="24"/>
              </w:rPr>
              <w:t>196,822,669.21</w:t>
            </w:r>
          </w:p>
        </w:tc>
        <w:tc>
          <w:tcPr>
            <w:tcW w:w="2520" w:type="dxa"/>
            <w:tcBorders>
              <w:left w:val="nil"/>
              <w:right w:val="nil"/>
            </w:tcBorders>
            <w:vAlign w:val="center"/>
          </w:tcPr>
          <w:p w:rsidR="007214DB" w:rsidRPr="005731DE" w:rsidRDefault="007214DB" w:rsidP="007214DB">
            <w:pPr>
              <w:spacing w:line="280" w:lineRule="exact"/>
              <w:ind w:left="57" w:right="57"/>
              <w:jc w:val="distribute"/>
              <w:rPr>
                <w:rFonts w:ascii="標楷體" w:eastAsia="標楷體"/>
                <w:color w:val="000000"/>
                <w:sz w:val="26"/>
              </w:rPr>
            </w:pPr>
            <w:r w:rsidRPr="005731DE">
              <w:rPr>
                <w:rFonts w:ascii="標楷體" w:eastAsia="標楷體" w:hint="eastAsia"/>
                <w:color w:val="000000"/>
                <w:sz w:val="26"/>
              </w:rPr>
              <w:t>暫收款</w:t>
            </w:r>
          </w:p>
        </w:tc>
        <w:tc>
          <w:tcPr>
            <w:tcW w:w="2280" w:type="dxa"/>
            <w:tcBorders>
              <w:top w:val="nil"/>
              <w:left w:val="single" w:sz="4" w:space="0" w:color="auto"/>
              <w:bottom w:val="nil"/>
              <w:right w:val="single" w:sz="4" w:space="0" w:color="auto"/>
            </w:tcBorders>
            <w:shd w:val="clear" w:color="auto" w:fill="auto"/>
            <w:vAlign w:val="center"/>
          </w:tcPr>
          <w:p w:rsidR="007214DB" w:rsidRPr="00FE0838" w:rsidRDefault="007214DB" w:rsidP="007214DB">
            <w:pPr>
              <w:jc w:val="right"/>
              <w:rPr>
                <w:color w:val="000000"/>
                <w:szCs w:val="24"/>
              </w:rPr>
            </w:pPr>
            <w:r w:rsidRPr="00FE0838">
              <w:rPr>
                <w:color w:val="000000"/>
                <w:szCs w:val="24"/>
              </w:rPr>
              <w:t>1,058,868,596.00</w:t>
            </w:r>
          </w:p>
        </w:tc>
      </w:tr>
      <w:tr w:rsidR="007214DB" w:rsidRPr="005731DE" w:rsidTr="00A746A8">
        <w:trPr>
          <w:trHeight w:val="397"/>
        </w:trPr>
        <w:tc>
          <w:tcPr>
            <w:tcW w:w="2208" w:type="dxa"/>
            <w:tcBorders>
              <w:left w:val="single" w:sz="4" w:space="0" w:color="auto"/>
              <w:right w:val="nil"/>
            </w:tcBorders>
            <w:vAlign w:val="center"/>
          </w:tcPr>
          <w:p w:rsidR="007214DB" w:rsidRPr="005731DE" w:rsidRDefault="007214DB" w:rsidP="007214DB">
            <w:pPr>
              <w:spacing w:line="280" w:lineRule="exact"/>
              <w:ind w:left="57" w:right="57"/>
              <w:jc w:val="distribute"/>
              <w:rPr>
                <w:rFonts w:ascii="標楷體" w:eastAsia="標楷體"/>
                <w:color w:val="000000"/>
                <w:sz w:val="26"/>
              </w:rPr>
            </w:pPr>
            <w:r w:rsidRPr="005731DE">
              <w:rPr>
                <w:rFonts w:ascii="標楷體" w:eastAsia="標楷體" w:hint="eastAsia"/>
                <w:color w:val="000000"/>
                <w:sz w:val="26"/>
              </w:rPr>
              <w:t>暫付款</w:t>
            </w:r>
          </w:p>
        </w:tc>
        <w:tc>
          <w:tcPr>
            <w:tcW w:w="2352" w:type="dxa"/>
            <w:tcBorders>
              <w:top w:val="nil"/>
              <w:left w:val="single" w:sz="4" w:space="0" w:color="auto"/>
              <w:bottom w:val="nil"/>
              <w:right w:val="single" w:sz="4" w:space="0" w:color="auto"/>
            </w:tcBorders>
            <w:shd w:val="clear" w:color="auto" w:fill="auto"/>
            <w:vAlign w:val="center"/>
          </w:tcPr>
          <w:p w:rsidR="007214DB" w:rsidRPr="007214DB" w:rsidRDefault="007214DB" w:rsidP="007214DB">
            <w:pPr>
              <w:jc w:val="right"/>
              <w:rPr>
                <w:color w:val="000000"/>
                <w:szCs w:val="24"/>
              </w:rPr>
            </w:pPr>
            <w:r w:rsidRPr="007214DB">
              <w:rPr>
                <w:color w:val="000000"/>
                <w:szCs w:val="24"/>
              </w:rPr>
              <w:t>7,582,276,016.00</w:t>
            </w:r>
          </w:p>
        </w:tc>
        <w:tc>
          <w:tcPr>
            <w:tcW w:w="2520" w:type="dxa"/>
            <w:tcBorders>
              <w:left w:val="nil"/>
              <w:right w:val="nil"/>
            </w:tcBorders>
            <w:vAlign w:val="center"/>
          </w:tcPr>
          <w:p w:rsidR="007214DB" w:rsidRPr="005731DE" w:rsidRDefault="007214DB" w:rsidP="007214DB">
            <w:pPr>
              <w:spacing w:line="280" w:lineRule="exact"/>
              <w:ind w:left="57" w:right="57"/>
              <w:jc w:val="distribute"/>
              <w:rPr>
                <w:rFonts w:ascii="標楷體" w:eastAsia="標楷體"/>
                <w:color w:val="000000"/>
                <w:sz w:val="26"/>
              </w:rPr>
            </w:pPr>
            <w:r w:rsidRPr="005731DE">
              <w:rPr>
                <w:rFonts w:ascii="標楷體" w:eastAsia="標楷體" w:hint="eastAsia"/>
                <w:color w:val="000000"/>
                <w:sz w:val="26"/>
              </w:rPr>
              <w:t>預收款</w:t>
            </w:r>
          </w:p>
        </w:tc>
        <w:tc>
          <w:tcPr>
            <w:tcW w:w="2280" w:type="dxa"/>
            <w:tcBorders>
              <w:top w:val="nil"/>
              <w:left w:val="single" w:sz="4" w:space="0" w:color="auto"/>
              <w:bottom w:val="nil"/>
              <w:right w:val="single" w:sz="4" w:space="0" w:color="auto"/>
            </w:tcBorders>
            <w:shd w:val="clear" w:color="auto" w:fill="auto"/>
            <w:vAlign w:val="center"/>
          </w:tcPr>
          <w:p w:rsidR="007214DB" w:rsidRPr="00FE0838" w:rsidRDefault="007214DB" w:rsidP="007214DB">
            <w:pPr>
              <w:jc w:val="right"/>
              <w:rPr>
                <w:color w:val="000000"/>
                <w:szCs w:val="24"/>
              </w:rPr>
            </w:pPr>
            <w:r w:rsidRPr="00FE0838">
              <w:rPr>
                <w:color w:val="000000"/>
                <w:szCs w:val="24"/>
              </w:rPr>
              <w:t>4,835,879,778.00</w:t>
            </w:r>
          </w:p>
        </w:tc>
      </w:tr>
      <w:tr w:rsidR="007214DB" w:rsidRPr="005731DE" w:rsidTr="00A746A8">
        <w:trPr>
          <w:trHeight w:val="397"/>
        </w:trPr>
        <w:tc>
          <w:tcPr>
            <w:tcW w:w="2208" w:type="dxa"/>
            <w:tcBorders>
              <w:left w:val="single" w:sz="4" w:space="0" w:color="auto"/>
              <w:right w:val="nil"/>
            </w:tcBorders>
            <w:vAlign w:val="center"/>
          </w:tcPr>
          <w:p w:rsidR="007214DB" w:rsidRPr="005731DE" w:rsidRDefault="007214DB" w:rsidP="007214DB">
            <w:pPr>
              <w:spacing w:line="280" w:lineRule="exact"/>
              <w:ind w:left="57" w:right="57"/>
              <w:jc w:val="distribute"/>
              <w:rPr>
                <w:rFonts w:ascii="標楷體" w:eastAsia="標楷體"/>
                <w:color w:val="000000"/>
                <w:sz w:val="26"/>
              </w:rPr>
            </w:pPr>
            <w:r w:rsidRPr="005731DE">
              <w:rPr>
                <w:rFonts w:ascii="標楷體" w:eastAsia="標楷體" w:hint="eastAsia"/>
                <w:color w:val="000000"/>
                <w:sz w:val="26"/>
              </w:rPr>
              <w:t>預付款</w:t>
            </w:r>
          </w:p>
        </w:tc>
        <w:tc>
          <w:tcPr>
            <w:tcW w:w="2352" w:type="dxa"/>
            <w:tcBorders>
              <w:top w:val="nil"/>
              <w:left w:val="single" w:sz="4" w:space="0" w:color="auto"/>
              <w:bottom w:val="nil"/>
              <w:right w:val="single" w:sz="4" w:space="0" w:color="auto"/>
            </w:tcBorders>
            <w:shd w:val="clear" w:color="auto" w:fill="auto"/>
            <w:vAlign w:val="center"/>
          </w:tcPr>
          <w:p w:rsidR="007214DB" w:rsidRPr="007214DB" w:rsidRDefault="007214DB" w:rsidP="007214DB">
            <w:pPr>
              <w:jc w:val="right"/>
              <w:rPr>
                <w:color w:val="000000"/>
                <w:szCs w:val="24"/>
              </w:rPr>
            </w:pPr>
            <w:r w:rsidRPr="007214DB">
              <w:rPr>
                <w:color w:val="000000"/>
                <w:szCs w:val="24"/>
              </w:rPr>
              <w:t>18,350,750,812.00</w:t>
            </w:r>
          </w:p>
        </w:tc>
        <w:tc>
          <w:tcPr>
            <w:tcW w:w="2520" w:type="dxa"/>
            <w:tcBorders>
              <w:left w:val="nil"/>
              <w:right w:val="nil"/>
            </w:tcBorders>
            <w:vAlign w:val="center"/>
          </w:tcPr>
          <w:p w:rsidR="007214DB" w:rsidRPr="005731DE" w:rsidRDefault="007214DB" w:rsidP="007214DB">
            <w:pPr>
              <w:spacing w:line="280" w:lineRule="exact"/>
              <w:ind w:left="57" w:right="57"/>
              <w:jc w:val="distribute"/>
              <w:rPr>
                <w:rFonts w:ascii="標楷體" w:eastAsia="標楷體"/>
                <w:color w:val="000000"/>
                <w:sz w:val="26"/>
              </w:rPr>
            </w:pPr>
            <w:r w:rsidRPr="005731DE">
              <w:rPr>
                <w:rFonts w:ascii="標楷體" w:eastAsia="標楷體" w:hint="eastAsia"/>
                <w:color w:val="000000"/>
                <w:sz w:val="26"/>
              </w:rPr>
              <w:t>預收其他基金款</w:t>
            </w:r>
          </w:p>
        </w:tc>
        <w:tc>
          <w:tcPr>
            <w:tcW w:w="2280" w:type="dxa"/>
            <w:tcBorders>
              <w:top w:val="nil"/>
              <w:left w:val="single" w:sz="4" w:space="0" w:color="auto"/>
              <w:bottom w:val="nil"/>
              <w:right w:val="single" w:sz="4" w:space="0" w:color="auto"/>
            </w:tcBorders>
            <w:shd w:val="clear" w:color="auto" w:fill="auto"/>
            <w:vAlign w:val="center"/>
          </w:tcPr>
          <w:p w:rsidR="007214DB" w:rsidRPr="00FE0838" w:rsidRDefault="007214DB" w:rsidP="007214DB">
            <w:pPr>
              <w:jc w:val="right"/>
              <w:rPr>
                <w:color w:val="000000"/>
                <w:szCs w:val="24"/>
              </w:rPr>
            </w:pPr>
            <w:r w:rsidRPr="00FE0838">
              <w:rPr>
                <w:color w:val="000000"/>
                <w:szCs w:val="24"/>
              </w:rPr>
              <w:t>57,252,235.00</w:t>
            </w:r>
          </w:p>
        </w:tc>
      </w:tr>
      <w:tr w:rsidR="007214DB" w:rsidRPr="005731DE" w:rsidTr="00A746A8">
        <w:trPr>
          <w:trHeight w:val="397"/>
        </w:trPr>
        <w:tc>
          <w:tcPr>
            <w:tcW w:w="2208" w:type="dxa"/>
            <w:tcBorders>
              <w:left w:val="single" w:sz="4" w:space="0" w:color="auto"/>
              <w:right w:val="nil"/>
            </w:tcBorders>
            <w:vAlign w:val="center"/>
          </w:tcPr>
          <w:p w:rsidR="007214DB" w:rsidRPr="005731DE" w:rsidRDefault="007214DB" w:rsidP="007214DB">
            <w:pPr>
              <w:spacing w:line="280" w:lineRule="exact"/>
              <w:ind w:left="57" w:right="57"/>
              <w:jc w:val="distribute"/>
              <w:rPr>
                <w:rFonts w:ascii="標楷體" w:eastAsia="標楷體"/>
                <w:color w:val="000000"/>
                <w:sz w:val="26"/>
              </w:rPr>
            </w:pPr>
            <w:r w:rsidRPr="005731DE">
              <w:rPr>
                <w:rFonts w:ascii="標楷體" w:eastAsia="標楷體" w:hint="eastAsia"/>
                <w:color w:val="000000"/>
                <w:sz w:val="26"/>
              </w:rPr>
              <w:t>預付其他基金款</w:t>
            </w:r>
          </w:p>
        </w:tc>
        <w:tc>
          <w:tcPr>
            <w:tcW w:w="2352" w:type="dxa"/>
            <w:tcBorders>
              <w:top w:val="nil"/>
              <w:left w:val="single" w:sz="4" w:space="0" w:color="auto"/>
              <w:bottom w:val="nil"/>
              <w:right w:val="single" w:sz="4" w:space="0" w:color="auto"/>
            </w:tcBorders>
            <w:shd w:val="clear" w:color="auto" w:fill="auto"/>
            <w:vAlign w:val="center"/>
          </w:tcPr>
          <w:p w:rsidR="007214DB" w:rsidRPr="007214DB" w:rsidRDefault="007214DB" w:rsidP="007214DB">
            <w:pPr>
              <w:jc w:val="right"/>
              <w:rPr>
                <w:color w:val="000000"/>
                <w:szCs w:val="24"/>
              </w:rPr>
            </w:pPr>
            <w:r w:rsidRPr="007214DB">
              <w:rPr>
                <w:color w:val="000000"/>
                <w:szCs w:val="24"/>
              </w:rPr>
              <w:t>21,672,982,550.00</w:t>
            </w:r>
          </w:p>
        </w:tc>
        <w:tc>
          <w:tcPr>
            <w:tcW w:w="2520" w:type="dxa"/>
            <w:tcBorders>
              <w:left w:val="nil"/>
              <w:right w:val="nil"/>
            </w:tcBorders>
            <w:vAlign w:val="center"/>
          </w:tcPr>
          <w:p w:rsidR="007214DB" w:rsidRPr="005731DE" w:rsidRDefault="007214DB" w:rsidP="007214DB">
            <w:pPr>
              <w:spacing w:line="280" w:lineRule="exact"/>
              <w:ind w:left="57" w:right="57"/>
              <w:jc w:val="distribute"/>
              <w:rPr>
                <w:rFonts w:ascii="標楷體" w:eastAsia="標楷體"/>
                <w:color w:val="000000"/>
                <w:spacing w:val="-14"/>
                <w:sz w:val="26"/>
              </w:rPr>
            </w:pPr>
            <w:r w:rsidRPr="005731DE">
              <w:rPr>
                <w:rFonts w:ascii="標楷體" w:eastAsia="標楷體" w:hint="eastAsia"/>
                <w:color w:val="000000"/>
                <w:spacing w:val="-14"/>
                <w:sz w:val="26"/>
              </w:rPr>
              <w:t>存入保證金</w:t>
            </w:r>
          </w:p>
        </w:tc>
        <w:tc>
          <w:tcPr>
            <w:tcW w:w="2280" w:type="dxa"/>
            <w:tcBorders>
              <w:top w:val="nil"/>
              <w:left w:val="single" w:sz="4" w:space="0" w:color="auto"/>
              <w:bottom w:val="nil"/>
              <w:right w:val="single" w:sz="4" w:space="0" w:color="auto"/>
            </w:tcBorders>
            <w:shd w:val="clear" w:color="auto" w:fill="auto"/>
            <w:vAlign w:val="center"/>
          </w:tcPr>
          <w:p w:rsidR="007214DB" w:rsidRPr="00FE0838" w:rsidRDefault="007214DB" w:rsidP="007214DB">
            <w:pPr>
              <w:jc w:val="right"/>
              <w:rPr>
                <w:color w:val="000000"/>
                <w:szCs w:val="24"/>
              </w:rPr>
            </w:pPr>
            <w:r w:rsidRPr="00FE0838">
              <w:rPr>
                <w:color w:val="000000"/>
                <w:szCs w:val="24"/>
              </w:rPr>
              <w:t>30,592,069,722.00</w:t>
            </w:r>
          </w:p>
        </w:tc>
      </w:tr>
      <w:tr w:rsidR="007214DB" w:rsidRPr="005731DE" w:rsidTr="00A746A8">
        <w:trPr>
          <w:trHeight w:val="397"/>
        </w:trPr>
        <w:tc>
          <w:tcPr>
            <w:tcW w:w="2208" w:type="dxa"/>
            <w:tcBorders>
              <w:left w:val="single" w:sz="4" w:space="0" w:color="auto"/>
              <w:right w:val="nil"/>
            </w:tcBorders>
            <w:vAlign w:val="center"/>
          </w:tcPr>
          <w:p w:rsidR="007214DB" w:rsidRPr="005731DE" w:rsidRDefault="007214DB" w:rsidP="007214DB">
            <w:pPr>
              <w:spacing w:line="280" w:lineRule="exact"/>
              <w:ind w:left="57" w:right="57"/>
              <w:jc w:val="distribute"/>
              <w:rPr>
                <w:rFonts w:ascii="標楷體" w:eastAsia="標楷體"/>
                <w:color w:val="000000"/>
                <w:sz w:val="26"/>
              </w:rPr>
            </w:pPr>
            <w:r w:rsidRPr="005731DE">
              <w:rPr>
                <w:rFonts w:ascii="標楷體" w:eastAsia="標楷體" w:hint="eastAsia"/>
                <w:color w:val="000000"/>
                <w:sz w:val="26"/>
              </w:rPr>
              <w:t>預付其他政府款</w:t>
            </w:r>
          </w:p>
        </w:tc>
        <w:tc>
          <w:tcPr>
            <w:tcW w:w="2352" w:type="dxa"/>
            <w:tcBorders>
              <w:top w:val="nil"/>
              <w:left w:val="single" w:sz="4" w:space="0" w:color="auto"/>
              <w:bottom w:val="nil"/>
              <w:right w:val="single" w:sz="4" w:space="0" w:color="auto"/>
            </w:tcBorders>
            <w:shd w:val="clear" w:color="auto" w:fill="auto"/>
            <w:vAlign w:val="center"/>
          </w:tcPr>
          <w:p w:rsidR="007214DB" w:rsidRPr="007214DB" w:rsidRDefault="007214DB" w:rsidP="007214DB">
            <w:pPr>
              <w:jc w:val="right"/>
              <w:rPr>
                <w:color w:val="000000"/>
                <w:szCs w:val="24"/>
              </w:rPr>
            </w:pPr>
            <w:r w:rsidRPr="007214DB">
              <w:rPr>
                <w:color w:val="000000"/>
                <w:szCs w:val="24"/>
              </w:rPr>
              <w:t>14,156,464,927.00</w:t>
            </w:r>
          </w:p>
        </w:tc>
        <w:tc>
          <w:tcPr>
            <w:tcW w:w="2520" w:type="dxa"/>
            <w:tcBorders>
              <w:left w:val="nil"/>
              <w:right w:val="nil"/>
            </w:tcBorders>
            <w:vAlign w:val="center"/>
          </w:tcPr>
          <w:p w:rsidR="007214DB" w:rsidRPr="005731DE" w:rsidRDefault="007214DB" w:rsidP="007214DB">
            <w:pPr>
              <w:spacing w:line="280" w:lineRule="exact"/>
              <w:ind w:left="57" w:right="57"/>
              <w:jc w:val="distribute"/>
              <w:rPr>
                <w:rFonts w:ascii="標楷體" w:eastAsia="標楷體"/>
                <w:color w:val="000000"/>
                <w:spacing w:val="-14"/>
                <w:sz w:val="26"/>
              </w:rPr>
            </w:pPr>
            <w:r w:rsidRPr="005731DE">
              <w:rPr>
                <w:rFonts w:ascii="標楷體" w:eastAsia="標楷體" w:hint="eastAsia"/>
                <w:color w:val="000000"/>
                <w:spacing w:val="-14"/>
                <w:sz w:val="26"/>
              </w:rPr>
              <w:t>應付代收款</w:t>
            </w:r>
          </w:p>
        </w:tc>
        <w:tc>
          <w:tcPr>
            <w:tcW w:w="2280" w:type="dxa"/>
            <w:tcBorders>
              <w:top w:val="nil"/>
              <w:left w:val="single" w:sz="4" w:space="0" w:color="auto"/>
              <w:bottom w:val="nil"/>
              <w:right w:val="single" w:sz="4" w:space="0" w:color="auto"/>
            </w:tcBorders>
            <w:shd w:val="clear" w:color="auto" w:fill="auto"/>
            <w:vAlign w:val="center"/>
          </w:tcPr>
          <w:p w:rsidR="007214DB" w:rsidRPr="00FE0838" w:rsidRDefault="007214DB" w:rsidP="007214DB">
            <w:pPr>
              <w:jc w:val="right"/>
              <w:rPr>
                <w:color w:val="000000"/>
                <w:szCs w:val="24"/>
              </w:rPr>
            </w:pPr>
            <w:r w:rsidRPr="00FE0838">
              <w:rPr>
                <w:color w:val="000000"/>
                <w:szCs w:val="24"/>
              </w:rPr>
              <w:t>44,534,941,152.94</w:t>
            </w:r>
          </w:p>
        </w:tc>
      </w:tr>
      <w:tr w:rsidR="007214DB" w:rsidRPr="005731DE" w:rsidTr="00A746A8">
        <w:trPr>
          <w:trHeight w:val="397"/>
        </w:trPr>
        <w:tc>
          <w:tcPr>
            <w:tcW w:w="2208" w:type="dxa"/>
            <w:tcBorders>
              <w:left w:val="single" w:sz="4" w:space="0" w:color="auto"/>
              <w:right w:val="nil"/>
            </w:tcBorders>
            <w:vAlign w:val="center"/>
          </w:tcPr>
          <w:p w:rsidR="007214DB" w:rsidRPr="005731DE" w:rsidRDefault="007214DB" w:rsidP="007214DB">
            <w:pPr>
              <w:spacing w:line="280" w:lineRule="exact"/>
              <w:ind w:left="57" w:right="57"/>
              <w:jc w:val="distribute"/>
              <w:rPr>
                <w:rFonts w:ascii="標楷體" w:eastAsia="標楷體"/>
                <w:color w:val="000000"/>
                <w:sz w:val="26"/>
              </w:rPr>
            </w:pPr>
            <w:proofErr w:type="gramStart"/>
            <w:r w:rsidRPr="005731DE">
              <w:rPr>
                <w:rFonts w:ascii="標楷體" w:eastAsia="標楷體" w:hint="eastAsia"/>
                <w:color w:val="000000"/>
                <w:sz w:val="26"/>
              </w:rPr>
              <w:t>存出保證金</w:t>
            </w:r>
            <w:proofErr w:type="gramEnd"/>
          </w:p>
        </w:tc>
        <w:tc>
          <w:tcPr>
            <w:tcW w:w="2352" w:type="dxa"/>
            <w:tcBorders>
              <w:top w:val="nil"/>
              <w:left w:val="single" w:sz="4" w:space="0" w:color="auto"/>
              <w:bottom w:val="nil"/>
              <w:right w:val="single" w:sz="4" w:space="0" w:color="auto"/>
            </w:tcBorders>
            <w:shd w:val="clear" w:color="auto" w:fill="auto"/>
            <w:vAlign w:val="center"/>
          </w:tcPr>
          <w:p w:rsidR="007214DB" w:rsidRPr="007214DB" w:rsidRDefault="007214DB" w:rsidP="007214DB">
            <w:pPr>
              <w:jc w:val="right"/>
              <w:rPr>
                <w:color w:val="000000"/>
                <w:szCs w:val="24"/>
              </w:rPr>
            </w:pPr>
            <w:r w:rsidRPr="007214DB">
              <w:rPr>
                <w:color w:val="000000"/>
                <w:szCs w:val="24"/>
              </w:rPr>
              <w:t>675,897,790.00</w:t>
            </w:r>
          </w:p>
        </w:tc>
        <w:tc>
          <w:tcPr>
            <w:tcW w:w="2520" w:type="dxa"/>
            <w:tcBorders>
              <w:left w:val="nil"/>
              <w:right w:val="nil"/>
            </w:tcBorders>
            <w:vAlign w:val="center"/>
          </w:tcPr>
          <w:p w:rsidR="007214DB" w:rsidRPr="005731DE" w:rsidRDefault="007214DB" w:rsidP="007214DB">
            <w:pPr>
              <w:spacing w:line="280" w:lineRule="exact"/>
              <w:ind w:left="57" w:right="57"/>
              <w:jc w:val="distribute"/>
              <w:rPr>
                <w:rFonts w:ascii="標楷體" w:eastAsia="標楷體"/>
                <w:color w:val="000000"/>
                <w:spacing w:val="-4"/>
              </w:rPr>
            </w:pPr>
            <w:r w:rsidRPr="005731DE">
              <w:rPr>
                <w:rFonts w:ascii="標楷體" w:eastAsia="標楷體" w:hint="eastAsia"/>
                <w:color w:val="000000"/>
                <w:spacing w:val="-4"/>
              </w:rPr>
              <w:t>應付保管款</w:t>
            </w:r>
          </w:p>
        </w:tc>
        <w:tc>
          <w:tcPr>
            <w:tcW w:w="2280" w:type="dxa"/>
            <w:tcBorders>
              <w:top w:val="nil"/>
              <w:left w:val="single" w:sz="4" w:space="0" w:color="auto"/>
              <w:bottom w:val="nil"/>
              <w:right w:val="single" w:sz="4" w:space="0" w:color="auto"/>
            </w:tcBorders>
            <w:shd w:val="clear" w:color="auto" w:fill="auto"/>
            <w:vAlign w:val="center"/>
          </w:tcPr>
          <w:p w:rsidR="007214DB" w:rsidRPr="00FE0838" w:rsidRDefault="007214DB" w:rsidP="007214DB">
            <w:pPr>
              <w:jc w:val="right"/>
              <w:rPr>
                <w:color w:val="000000"/>
                <w:szCs w:val="24"/>
              </w:rPr>
            </w:pPr>
            <w:r w:rsidRPr="00FE0838">
              <w:rPr>
                <w:color w:val="000000"/>
                <w:szCs w:val="24"/>
              </w:rPr>
              <w:t>335,343,638,773.46</w:t>
            </w:r>
          </w:p>
        </w:tc>
      </w:tr>
      <w:tr w:rsidR="007214DB" w:rsidRPr="005731DE" w:rsidTr="00A746A8">
        <w:trPr>
          <w:trHeight w:val="397"/>
        </w:trPr>
        <w:tc>
          <w:tcPr>
            <w:tcW w:w="2208" w:type="dxa"/>
            <w:tcBorders>
              <w:left w:val="single" w:sz="4" w:space="0" w:color="auto"/>
              <w:right w:val="nil"/>
            </w:tcBorders>
            <w:vAlign w:val="center"/>
          </w:tcPr>
          <w:p w:rsidR="007214DB" w:rsidRPr="005731DE" w:rsidRDefault="007214DB" w:rsidP="007214DB">
            <w:pPr>
              <w:spacing w:line="280" w:lineRule="exact"/>
              <w:ind w:left="57" w:right="57"/>
              <w:jc w:val="distribute"/>
              <w:rPr>
                <w:rFonts w:ascii="標楷體" w:eastAsia="標楷體"/>
                <w:color w:val="000000"/>
                <w:sz w:val="26"/>
              </w:rPr>
            </w:pPr>
            <w:r w:rsidRPr="005731DE">
              <w:rPr>
                <w:rFonts w:ascii="標楷體" w:eastAsia="標楷體" w:hint="eastAsia"/>
                <w:color w:val="000000"/>
                <w:sz w:val="26"/>
              </w:rPr>
              <w:t>其他流動資產</w:t>
            </w:r>
          </w:p>
        </w:tc>
        <w:tc>
          <w:tcPr>
            <w:tcW w:w="2352" w:type="dxa"/>
            <w:tcBorders>
              <w:top w:val="nil"/>
              <w:left w:val="single" w:sz="4" w:space="0" w:color="auto"/>
              <w:bottom w:val="nil"/>
              <w:right w:val="single" w:sz="4" w:space="0" w:color="auto"/>
            </w:tcBorders>
            <w:shd w:val="clear" w:color="auto" w:fill="auto"/>
            <w:vAlign w:val="center"/>
          </w:tcPr>
          <w:p w:rsidR="007214DB" w:rsidRPr="007214DB" w:rsidRDefault="007214DB" w:rsidP="007214DB">
            <w:pPr>
              <w:jc w:val="right"/>
              <w:rPr>
                <w:color w:val="000000"/>
                <w:szCs w:val="24"/>
              </w:rPr>
            </w:pPr>
            <w:r w:rsidRPr="007214DB">
              <w:rPr>
                <w:color w:val="000000"/>
                <w:szCs w:val="24"/>
              </w:rPr>
              <w:t>151,538,955,482.00</w:t>
            </w:r>
          </w:p>
        </w:tc>
        <w:tc>
          <w:tcPr>
            <w:tcW w:w="2520" w:type="dxa"/>
            <w:tcBorders>
              <w:left w:val="nil"/>
              <w:right w:val="nil"/>
            </w:tcBorders>
            <w:vAlign w:val="center"/>
          </w:tcPr>
          <w:p w:rsidR="007214DB" w:rsidRPr="005731DE" w:rsidRDefault="007214DB" w:rsidP="007214DB">
            <w:pPr>
              <w:spacing w:line="280" w:lineRule="exact"/>
              <w:ind w:left="57" w:right="57"/>
              <w:jc w:val="distribute"/>
              <w:rPr>
                <w:rFonts w:ascii="標楷體" w:eastAsia="標楷體"/>
                <w:color w:val="000000"/>
                <w:spacing w:val="-4"/>
              </w:rPr>
            </w:pPr>
            <w:r w:rsidRPr="005731DE">
              <w:rPr>
                <w:rFonts w:ascii="標楷體" w:eastAsia="標楷體" w:hint="eastAsia"/>
                <w:color w:val="000000"/>
                <w:spacing w:val="-4"/>
              </w:rPr>
              <w:t>其他流動負債</w:t>
            </w:r>
          </w:p>
        </w:tc>
        <w:tc>
          <w:tcPr>
            <w:tcW w:w="2280" w:type="dxa"/>
            <w:tcBorders>
              <w:top w:val="nil"/>
              <w:left w:val="single" w:sz="4" w:space="0" w:color="auto"/>
              <w:bottom w:val="nil"/>
              <w:right w:val="single" w:sz="4" w:space="0" w:color="auto"/>
            </w:tcBorders>
            <w:shd w:val="clear" w:color="auto" w:fill="auto"/>
            <w:vAlign w:val="center"/>
          </w:tcPr>
          <w:p w:rsidR="007214DB" w:rsidRPr="00FE0838" w:rsidRDefault="007214DB" w:rsidP="007214DB">
            <w:pPr>
              <w:jc w:val="right"/>
              <w:rPr>
                <w:color w:val="000000"/>
                <w:szCs w:val="24"/>
              </w:rPr>
            </w:pPr>
            <w:r w:rsidRPr="00FE0838">
              <w:rPr>
                <w:color w:val="000000"/>
                <w:szCs w:val="24"/>
              </w:rPr>
              <w:t>84,295,220,850.00</w:t>
            </w:r>
          </w:p>
        </w:tc>
      </w:tr>
      <w:tr w:rsidR="00A746A8" w:rsidRPr="00A746A8" w:rsidTr="00A746A8">
        <w:trPr>
          <w:trHeight w:val="397"/>
        </w:trPr>
        <w:tc>
          <w:tcPr>
            <w:tcW w:w="2208" w:type="dxa"/>
            <w:tcBorders>
              <w:left w:val="single" w:sz="4" w:space="0" w:color="auto"/>
              <w:bottom w:val="nil"/>
              <w:right w:val="nil"/>
            </w:tcBorders>
            <w:vAlign w:val="center"/>
          </w:tcPr>
          <w:p w:rsidR="00A746A8" w:rsidRPr="005731DE" w:rsidRDefault="00A746A8" w:rsidP="00A746A8">
            <w:pPr>
              <w:spacing w:line="280" w:lineRule="exact"/>
              <w:ind w:left="57" w:right="57"/>
              <w:jc w:val="distribute"/>
              <w:rPr>
                <w:rFonts w:ascii="標楷體" w:eastAsia="標楷體"/>
                <w:color w:val="000000"/>
                <w:sz w:val="26"/>
              </w:rPr>
            </w:pPr>
          </w:p>
        </w:tc>
        <w:tc>
          <w:tcPr>
            <w:tcW w:w="2352" w:type="dxa"/>
            <w:tcBorders>
              <w:left w:val="single" w:sz="6" w:space="0" w:color="auto"/>
              <w:bottom w:val="nil"/>
              <w:right w:val="single" w:sz="6" w:space="0" w:color="auto"/>
            </w:tcBorders>
            <w:vAlign w:val="center"/>
          </w:tcPr>
          <w:p w:rsidR="00A746A8" w:rsidRPr="005731DE" w:rsidRDefault="00A746A8" w:rsidP="00A746A8">
            <w:pPr>
              <w:jc w:val="right"/>
              <w:rPr>
                <w:color w:val="000000"/>
                <w:szCs w:val="24"/>
              </w:rPr>
            </w:pPr>
          </w:p>
        </w:tc>
        <w:tc>
          <w:tcPr>
            <w:tcW w:w="2520" w:type="dxa"/>
            <w:tcBorders>
              <w:left w:val="nil"/>
              <w:bottom w:val="nil"/>
              <w:right w:val="nil"/>
            </w:tcBorders>
            <w:vAlign w:val="center"/>
          </w:tcPr>
          <w:p w:rsidR="00A746A8" w:rsidRPr="005731DE" w:rsidRDefault="00A746A8" w:rsidP="00A746A8">
            <w:pPr>
              <w:spacing w:line="280" w:lineRule="exact"/>
              <w:ind w:left="57" w:right="57"/>
              <w:jc w:val="distribute"/>
              <w:rPr>
                <w:rFonts w:ascii="標楷體" w:eastAsia="標楷體"/>
                <w:color w:val="000000"/>
                <w:sz w:val="26"/>
              </w:rPr>
            </w:pPr>
            <w:r w:rsidRPr="005731DE">
              <w:rPr>
                <w:rFonts w:ascii="標楷體" w:eastAsia="標楷體" w:hint="eastAsia"/>
                <w:b/>
                <w:color w:val="000000"/>
                <w:sz w:val="26"/>
              </w:rPr>
              <w:t>淨資產</w:t>
            </w:r>
          </w:p>
        </w:tc>
        <w:tc>
          <w:tcPr>
            <w:tcW w:w="2280" w:type="dxa"/>
            <w:tcBorders>
              <w:top w:val="nil"/>
              <w:left w:val="single" w:sz="4" w:space="0" w:color="auto"/>
              <w:bottom w:val="nil"/>
              <w:right w:val="single" w:sz="4" w:space="0" w:color="auto"/>
            </w:tcBorders>
            <w:shd w:val="clear" w:color="auto" w:fill="auto"/>
            <w:vAlign w:val="center"/>
          </w:tcPr>
          <w:p w:rsidR="00A746A8" w:rsidRPr="00A746A8" w:rsidRDefault="00FE0838" w:rsidP="00A746A8">
            <w:pPr>
              <w:jc w:val="right"/>
              <w:rPr>
                <w:b/>
                <w:bCs/>
                <w:color w:val="000000"/>
                <w:szCs w:val="22"/>
              </w:rPr>
            </w:pPr>
            <w:r w:rsidRPr="00FE0838">
              <w:rPr>
                <w:b/>
                <w:bCs/>
                <w:color w:val="000000"/>
                <w:szCs w:val="22"/>
              </w:rPr>
              <w:t>69,079,141,691.49</w:t>
            </w:r>
          </w:p>
        </w:tc>
      </w:tr>
      <w:tr w:rsidR="005731DE" w:rsidRPr="005731DE" w:rsidTr="00A746A8">
        <w:trPr>
          <w:trHeight w:val="397"/>
        </w:trPr>
        <w:tc>
          <w:tcPr>
            <w:tcW w:w="2208" w:type="dxa"/>
            <w:tcBorders>
              <w:top w:val="nil"/>
              <w:left w:val="single" w:sz="4" w:space="0" w:color="auto"/>
              <w:bottom w:val="single" w:sz="4" w:space="0" w:color="auto"/>
              <w:right w:val="nil"/>
            </w:tcBorders>
            <w:vAlign w:val="center"/>
          </w:tcPr>
          <w:p w:rsidR="005731DE" w:rsidRPr="005731DE" w:rsidRDefault="005731DE" w:rsidP="005731DE">
            <w:pPr>
              <w:spacing w:line="280" w:lineRule="exact"/>
              <w:ind w:left="57" w:right="57"/>
              <w:jc w:val="distribute"/>
              <w:rPr>
                <w:rFonts w:ascii="標楷體" w:eastAsia="標楷體"/>
                <w:b/>
                <w:color w:val="000000"/>
                <w:sz w:val="26"/>
              </w:rPr>
            </w:pPr>
          </w:p>
        </w:tc>
        <w:tc>
          <w:tcPr>
            <w:tcW w:w="2352" w:type="dxa"/>
            <w:tcBorders>
              <w:top w:val="nil"/>
              <w:left w:val="single" w:sz="6" w:space="0" w:color="auto"/>
              <w:bottom w:val="single" w:sz="4" w:space="0" w:color="auto"/>
              <w:right w:val="single" w:sz="6" w:space="0" w:color="auto"/>
            </w:tcBorders>
            <w:vAlign w:val="center"/>
          </w:tcPr>
          <w:p w:rsidR="005731DE" w:rsidRPr="005731DE" w:rsidRDefault="005731DE" w:rsidP="005731DE">
            <w:pPr>
              <w:spacing w:line="280" w:lineRule="exact"/>
              <w:ind w:left="57" w:right="57"/>
              <w:jc w:val="right"/>
              <w:rPr>
                <w:rFonts w:eastAsia="標楷體"/>
                <w:b/>
                <w:color w:val="000000"/>
              </w:rPr>
            </w:pPr>
          </w:p>
        </w:tc>
        <w:tc>
          <w:tcPr>
            <w:tcW w:w="2520" w:type="dxa"/>
            <w:tcBorders>
              <w:top w:val="nil"/>
              <w:left w:val="nil"/>
              <w:bottom w:val="single" w:sz="4" w:space="0" w:color="auto"/>
              <w:right w:val="nil"/>
            </w:tcBorders>
            <w:vAlign w:val="center"/>
          </w:tcPr>
          <w:p w:rsidR="005731DE" w:rsidRPr="005731DE" w:rsidRDefault="005731DE" w:rsidP="005731DE">
            <w:pPr>
              <w:spacing w:line="280" w:lineRule="exact"/>
              <w:ind w:left="57" w:right="57"/>
              <w:jc w:val="distribute"/>
              <w:rPr>
                <w:rFonts w:ascii="標楷體" w:eastAsia="標楷體"/>
                <w:color w:val="000000"/>
                <w:sz w:val="26"/>
              </w:rPr>
            </w:pPr>
            <w:r w:rsidRPr="005731DE">
              <w:rPr>
                <w:rFonts w:ascii="標楷體" w:eastAsia="標楷體" w:hint="eastAsia"/>
                <w:color w:val="000000"/>
                <w:sz w:val="26"/>
              </w:rPr>
              <w:t>資產負債淨額</w:t>
            </w:r>
          </w:p>
        </w:tc>
        <w:tc>
          <w:tcPr>
            <w:tcW w:w="2280" w:type="dxa"/>
            <w:tcBorders>
              <w:top w:val="nil"/>
              <w:left w:val="single" w:sz="6" w:space="0" w:color="auto"/>
              <w:bottom w:val="single" w:sz="4" w:space="0" w:color="auto"/>
              <w:right w:val="single" w:sz="4" w:space="0" w:color="auto"/>
            </w:tcBorders>
            <w:vAlign w:val="center"/>
          </w:tcPr>
          <w:p w:rsidR="005731DE" w:rsidRPr="005731DE" w:rsidRDefault="00FE0838" w:rsidP="005731DE">
            <w:pPr>
              <w:spacing w:line="280" w:lineRule="exact"/>
              <w:jc w:val="right"/>
              <w:rPr>
                <w:color w:val="000000"/>
                <w:szCs w:val="22"/>
              </w:rPr>
            </w:pPr>
            <w:r w:rsidRPr="00FE0838">
              <w:rPr>
                <w:color w:val="000000"/>
                <w:szCs w:val="22"/>
              </w:rPr>
              <w:t>69,079,141,691.49</w:t>
            </w:r>
          </w:p>
        </w:tc>
      </w:tr>
    </w:tbl>
    <w:p w:rsidR="005731DE" w:rsidRPr="005731DE" w:rsidRDefault="005731DE" w:rsidP="005731DE">
      <w:pPr>
        <w:spacing w:line="440" w:lineRule="exact"/>
        <w:ind w:firstLine="482"/>
        <w:jc w:val="both"/>
        <w:rPr>
          <w:rFonts w:ascii="標楷體" w:eastAsia="標楷體" w:hAnsi="標楷體"/>
          <w:color w:val="000000"/>
          <w:sz w:val="28"/>
        </w:rPr>
      </w:pPr>
    </w:p>
    <w:p w:rsidR="005731DE" w:rsidRPr="005731DE" w:rsidRDefault="005731DE" w:rsidP="005731DE">
      <w:pPr>
        <w:spacing w:line="520" w:lineRule="exact"/>
        <w:ind w:firstLineChars="200" w:firstLine="560"/>
        <w:jc w:val="both"/>
        <w:rPr>
          <w:rFonts w:ascii="標楷體" w:eastAsia="標楷體" w:hAnsi="標楷體"/>
          <w:color w:val="000000"/>
          <w:sz w:val="28"/>
        </w:rPr>
      </w:pPr>
      <w:r w:rsidRPr="005731DE">
        <w:rPr>
          <w:rFonts w:ascii="標楷體" w:eastAsia="標楷體" w:hAnsi="標楷體" w:hint="eastAsia"/>
          <w:color w:val="000000"/>
          <w:sz w:val="28"/>
        </w:rPr>
        <w:t>另依</w:t>
      </w:r>
      <w:r w:rsidRPr="005731DE">
        <w:rPr>
          <w:rFonts w:ascii="標楷體" w:eastAsia="標楷體" w:hAnsi="標楷體" w:hint="eastAsia"/>
          <w:color w:val="000000"/>
          <w:spacing w:val="-2"/>
          <w:sz w:val="28"/>
        </w:rPr>
        <w:t>會計法第</w:t>
      </w:r>
      <w:r w:rsidRPr="005731DE">
        <w:rPr>
          <w:rFonts w:ascii="標楷體" w:eastAsia="標楷體" w:hAnsi="標楷體"/>
          <w:color w:val="000000"/>
          <w:spacing w:val="-2"/>
          <w:sz w:val="28"/>
        </w:rPr>
        <w:t>29</w:t>
      </w:r>
      <w:r w:rsidRPr="005731DE">
        <w:rPr>
          <w:rFonts w:ascii="標楷體" w:eastAsia="標楷體" w:hAnsi="標楷體" w:hint="eastAsia"/>
          <w:color w:val="000000"/>
          <w:spacing w:val="-2"/>
          <w:sz w:val="28"/>
        </w:rPr>
        <w:t>條規定，政府之財物及固定負債，除列入歲入之財物及彌補預算虧</w:t>
      </w:r>
      <w:proofErr w:type="gramStart"/>
      <w:r w:rsidRPr="005731DE">
        <w:rPr>
          <w:rFonts w:ascii="標楷體" w:eastAsia="標楷體" w:hAnsi="標楷體" w:hint="eastAsia"/>
          <w:color w:val="000000"/>
          <w:spacing w:val="-2"/>
          <w:sz w:val="28"/>
        </w:rPr>
        <w:t>絀</w:t>
      </w:r>
      <w:proofErr w:type="gramEnd"/>
      <w:r w:rsidRPr="005731DE">
        <w:rPr>
          <w:rFonts w:ascii="標楷體" w:eastAsia="標楷體" w:hAnsi="標楷體" w:hint="eastAsia"/>
          <w:color w:val="000000"/>
          <w:spacing w:val="-2"/>
          <w:sz w:val="28"/>
        </w:rPr>
        <w:t>之固定負債外，應分別列表或編目錄，不得列入平衡表；依上開規定，普通基金（公務機關）之資本資產及長期負債係另編資本資產表及長期負債表表達。</w:t>
      </w:r>
    </w:p>
    <w:p w:rsidR="005731DE" w:rsidRPr="005731DE" w:rsidRDefault="005731DE" w:rsidP="005731DE">
      <w:pPr>
        <w:spacing w:line="520" w:lineRule="exact"/>
        <w:ind w:firstLineChars="200" w:firstLine="560"/>
        <w:jc w:val="both"/>
        <w:rPr>
          <w:rFonts w:ascii="標楷體" w:eastAsia="標楷體" w:hAnsi="標楷體"/>
          <w:color w:val="000000"/>
          <w:sz w:val="28"/>
          <w:szCs w:val="28"/>
        </w:rPr>
      </w:pPr>
      <w:r w:rsidRPr="005731DE">
        <w:rPr>
          <w:rFonts w:ascii="標楷體" w:eastAsia="標楷體" w:hAnsi="標楷體" w:hint="eastAsia"/>
          <w:color w:val="000000"/>
          <w:sz w:val="28"/>
        </w:rPr>
        <w:t>截至本年底中央政府財產總值為</w:t>
      </w:r>
      <w:r w:rsidRPr="005731DE">
        <w:rPr>
          <w:rFonts w:ascii="標楷體" w:eastAsia="標楷體" w:hAnsi="標楷體"/>
          <w:color w:val="000000"/>
          <w:sz w:val="28"/>
        </w:rPr>
        <w:t>9</w:t>
      </w:r>
      <w:r w:rsidRPr="005731DE">
        <w:rPr>
          <w:rFonts w:ascii="標楷體" w:eastAsia="標楷體" w:hAnsi="標楷體" w:hint="eastAsia"/>
          <w:color w:val="000000"/>
          <w:sz w:val="28"/>
        </w:rPr>
        <w:t>兆</w:t>
      </w:r>
      <w:r w:rsidR="00A14B5A">
        <w:rPr>
          <w:rFonts w:ascii="標楷體" w:eastAsia="標楷體" w:hAnsi="標楷體"/>
          <w:color w:val="000000"/>
          <w:sz w:val="28"/>
        </w:rPr>
        <w:t>6</w:t>
      </w:r>
      <w:r w:rsidRPr="005731DE">
        <w:rPr>
          <w:rFonts w:ascii="標楷體" w:eastAsia="標楷體" w:hAnsi="標楷體"/>
          <w:color w:val="000000"/>
          <w:sz w:val="28"/>
        </w:rPr>
        <w:t>,2</w:t>
      </w:r>
      <w:r w:rsidR="00A14B5A">
        <w:rPr>
          <w:rFonts w:ascii="標楷體" w:eastAsia="標楷體" w:hAnsi="標楷體"/>
          <w:color w:val="000000"/>
          <w:sz w:val="28"/>
        </w:rPr>
        <w:t>67</w:t>
      </w:r>
      <w:r w:rsidRPr="005731DE">
        <w:rPr>
          <w:rFonts w:ascii="標楷體" w:eastAsia="標楷體" w:hAnsi="標楷體" w:hint="eastAsia"/>
          <w:color w:val="000000"/>
          <w:sz w:val="28"/>
        </w:rPr>
        <w:t>億元（詳財產目錄），其中土地為</w:t>
      </w:r>
      <w:r w:rsidRPr="005731DE">
        <w:rPr>
          <w:rFonts w:ascii="標楷體" w:eastAsia="標楷體" w:hAnsi="標楷體"/>
          <w:color w:val="000000"/>
          <w:sz w:val="28"/>
        </w:rPr>
        <w:t>5</w:t>
      </w:r>
      <w:r w:rsidRPr="005731DE">
        <w:rPr>
          <w:rFonts w:ascii="標楷體" w:eastAsia="標楷體" w:hAnsi="標楷體" w:hint="eastAsia"/>
          <w:color w:val="000000"/>
          <w:sz w:val="28"/>
        </w:rPr>
        <w:t>兆</w:t>
      </w:r>
      <w:r w:rsidR="00B4747D">
        <w:rPr>
          <w:rFonts w:ascii="標楷體" w:eastAsia="標楷體" w:hAnsi="標楷體"/>
          <w:color w:val="000000"/>
          <w:sz w:val="28"/>
        </w:rPr>
        <w:t>4</w:t>
      </w:r>
      <w:r w:rsidRPr="005731DE">
        <w:rPr>
          <w:rFonts w:ascii="標楷體" w:eastAsia="標楷體" w:hAnsi="標楷體"/>
          <w:color w:val="000000"/>
          <w:sz w:val="28"/>
        </w:rPr>
        <w:t>,</w:t>
      </w:r>
      <w:r w:rsidR="00B4747D">
        <w:rPr>
          <w:rFonts w:ascii="標楷體" w:eastAsia="標楷體" w:hAnsi="標楷體"/>
          <w:color w:val="000000"/>
          <w:sz w:val="28"/>
        </w:rPr>
        <w:t>310</w:t>
      </w:r>
      <w:r w:rsidRPr="005731DE">
        <w:rPr>
          <w:rFonts w:ascii="標楷體" w:eastAsia="標楷體" w:hAnsi="標楷體" w:hint="eastAsia"/>
          <w:color w:val="000000"/>
          <w:sz w:val="28"/>
        </w:rPr>
        <w:t>億元，據財政部按本年公告地價（每</w:t>
      </w:r>
      <w:r w:rsidR="0052446C">
        <w:rPr>
          <w:rFonts w:ascii="標楷體" w:eastAsia="標楷體" w:hAnsi="標楷體"/>
          <w:color w:val="000000"/>
          <w:sz w:val="28"/>
        </w:rPr>
        <w:t>2</w:t>
      </w:r>
      <w:r w:rsidRPr="005731DE">
        <w:rPr>
          <w:rFonts w:ascii="標楷體" w:eastAsia="標楷體" w:hAnsi="標楷體" w:hint="eastAsia"/>
          <w:color w:val="000000"/>
          <w:sz w:val="28"/>
        </w:rPr>
        <w:t>年重新規定地價</w:t>
      </w:r>
      <w:r w:rsidRPr="005731DE">
        <w:rPr>
          <w:rFonts w:ascii="標楷體" w:eastAsia="標楷體" w:hAnsi="標楷體"/>
          <w:color w:val="000000"/>
          <w:sz w:val="28"/>
        </w:rPr>
        <w:t>1</w:t>
      </w:r>
      <w:r w:rsidRPr="005731DE">
        <w:rPr>
          <w:rFonts w:ascii="標楷體" w:eastAsia="標楷體" w:hAnsi="標楷體" w:hint="eastAsia"/>
          <w:color w:val="000000"/>
          <w:sz w:val="28"/>
        </w:rPr>
        <w:t>次）占一般正常交易價格</w:t>
      </w:r>
      <w:r w:rsidRPr="005731DE">
        <w:rPr>
          <w:rFonts w:ascii="標楷體" w:eastAsia="標楷體" w:hAnsi="標楷體"/>
          <w:color w:val="000000"/>
          <w:sz w:val="28"/>
        </w:rPr>
        <w:t>20.5</w:t>
      </w:r>
      <w:r w:rsidRPr="005731DE">
        <w:rPr>
          <w:rFonts w:ascii="標楷體" w:eastAsia="標楷體" w:hAnsi="標楷體" w:hint="eastAsia"/>
          <w:color w:val="000000"/>
          <w:sz w:val="28"/>
        </w:rPr>
        <w:t>％（內政部地政司網站）估算，市值約</w:t>
      </w:r>
      <w:r w:rsidRPr="005731DE">
        <w:rPr>
          <w:rFonts w:ascii="標楷體" w:eastAsia="標楷體" w:hAnsi="標楷體"/>
          <w:color w:val="000000"/>
          <w:sz w:val="28"/>
        </w:rPr>
        <w:t>26</w:t>
      </w:r>
      <w:r w:rsidRPr="005731DE">
        <w:rPr>
          <w:rFonts w:ascii="標楷體" w:eastAsia="標楷體" w:hAnsi="標楷體" w:hint="eastAsia"/>
          <w:color w:val="000000"/>
          <w:sz w:val="28"/>
        </w:rPr>
        <w:t>兆</w:t>
      </w:r>
      <w:r w:rsidR="00C52BED">
        <w:rPr>
          <w:rFonts w:ascii="標楷體" w:eastAsia="標楷體" w:hAnsi="標楷體"/>
          <w:color w:val="000000"/>
          <w:sz w:val="28"/>
        </w:rPr>
        <w:lastRenderedPageBreak/>
        <w:t>4</w:t>
      </w:r>
      <w:r w:rsidRPr="005731DE">
        <w:rPr>
          <w:rFonts w:ascii="標楷體" w:eastAsia="標楷體" w:hAnsi="標楷體"/>
          <w:color w:val="000000"/>
          <w:sz w:val="28"/>
        </w:rPr>
        <w:t>,</w:t>
      </w:r>
      <w:r w:rsidRPr="005731DE">
        <w:rPr>
          <w:rFonts w:ascii="標楷體" w:eastAsia="標楷體" w:hAnsi="標楷體" w:hint="eastAsia"/>
          <w:color w:val="000000"/>
          <w:sz w:val="28"/>
        </w:rPr>
        <w:t>9</w:t>
      </w:r>
      <w:r w:rsidR="00C52BED">
        <w:rPr>
          <w:rFonts w:ascii="標楷體" w:eastAsia="標楷體" w:hAnsi="標楷體"/>
          <w:color w:val="000000"/>
          <w:sz w:val="28"/>
        </w:rPr>
        <w:t>22</w:t>
      </w:r>
      <w:r w:rsidRPr="005731DE">
        <w:rPr>
          <w:rFonts w:ascii="標楷體" w:eastAsia="標楷體" w:hAnsi="標楷體" w:hint="eastAsia"/>
          <w:color w:val="000000"/>
          <w:sz w:val="28"/>
        </w:rPr>
        <w:t>億元。至</w:t>
      </w:r>
      <w:r w:rsidRPr="005731DE">
        <w:rPr>
          <w:rFonts w:ascii="標楷體" w:eastAsia="標楷體" w:hAnsi="標楷體" w:hint="eastAsia"/>
          <w:color w:val="000000"/>
          <w:sz w:val="28"/>
          <w:szCs w:val="28"/>
        </w:rPr>
        <w:t>中央政府截至本年底長期債務</w:t>
      </w:r>
      <w:proofErr w:type="gramStart"/>
      <w:r w:rsidRPr="005731DE">
        <w:rPr>
          <w:rFonts w:ascii="標楷體" w:eastAsia="標楷體" w:hAnsi="標楷體" w:hint="eastAsia"/>
          <w:color w:val="000000"/>
          <w:sz w:val="28"/>
          <w:szCs w:val="28"/>
        </w:rPr>
        <w:t>未償</w:t>
      </w:r>
      <w:proofErr w:type="gramEnd"/>
      <w:r w:rsidRPr="005731DE">
        <w:rPr>
          <w:rFonts w:ascii="標楷體" w:eastAsia="標楷體" w:hAnsi="標楷體" w:hint="eastAsia"/>
          <w:color w:val="000000"/>
          <w:sz w:val="28"/>
          <w:szCs w:val="28"/>
        </w:rPr>
        <w:t>餘額為</w:t>
      </w:r>
      <w:r w:rsidRPr="005731DE">
        <w:rPr>
          <w:rFonts w:ascii="標楷體" w:eastAsia="標楷體" w:hAnsi="標楷體"/>
          <w:color w:val="000000"/>
          <w:sz w:val="28"/>
          <w:szCs w:val="28"/>
        </w:rPr>
        <w:t>5</w:t>
      </w:r>
      <w:r w:rsidRPr="005731DE">
        <w:rPr>
          <w:rFonts w:ascii="標楷體" w:eastAsia="標楷體" w:hAnsi="標楷體" w:hint="eastAsia"/>
          <w:color w:val="000000"/>
          <w:sz w:val="28"/>
          <w:szCs w:val="28"/>
        </w:rPr>
        <w:t>兆</w:t>
      </w:r>
      <w:r w:rsidRPr="005731DE">
        <w:rPr>
          <w:rFonts w:ascii="標楷體" w:eastAsia="標楷體" w:hAnsi="標楷體"/>
          <w:color w:val="000000"/>
          <w:sz w:val="28"/>
          <w:szCs w:val="28"/>
        </w:rPr>
        <w:t>3,</w:t>
      </w:r>
      <w:r w:rsidR="006A3196">
        <w:rPr>
          <w:rFonts w:ascii="標楷體" w:eastAsia="標楷體" w:hAnsi="標楷體"/>
          <w:color w:val="000000"/>
          <w:sz w:val="28"/>
          <w:szCs w:val="28"/>
        </w:rPr>
        <w:t>608</w:t>
      </w:r>
      <w:r w:rsidRPr="005731DE">
        <w:rPr>
          <w:rFonts w:ascii="標楷體" w:eastAsia="標楷體" w:hAnsi="標楷體" w:hint="eastAsia"/>
          <w:color w:val="000000"/>
          <w:sz w:val="28"/>
          <w:szCs w:val="28"/>
        </w:rPr>
        <w:t>億元（詳債款目錄），係依據公共債務法第</w:t>
      </w:r>
      <w:r w:rsidRPr="005731DE">
        <w:rPr>
          <w:rFonts w:ascii="標楷體" w:eastAsia="標楷體" w:hAnsi="標楷體"/>
          <w:color w:val="000000"/>
          <w:sz w:val="28"/>
          <w:szCs w:val="28"/>
        </w:rPr>
        <w:t>4</w:t>
      </w:r>
      <w:r w:rsidRPr="005731DE">
        <w:rPr>
          <w:rFonts w:ascii="標楷體" w:eastAsia="標楷體" w:hAnsi="標楷體" w:hint="eastAsia"/>
          <w:color w:val="000000"/>
          <w:sz w:val="28"/>
          <w:szCs w:val="28"/>
        </w:rPr>
        <w:t>、</w:t>
      </w:r>
      <w:r w:rsidRPr="005731DE">
        <w:rPr>
          <w:rFonts w:ascii="標楷體" w:eastAsia="標楷體" w:hAnsi="標楷體"/>
          <w:color w:val="000000"/>
          <w:sz w:val="28"/>
          <w:szCs w:val="28"/>
        </w:rPr>
        <w:t>5</w:t>
      </w:r>
      <w:r w:rsidRPr="005731DE">
        <w:rPr>
          <w:rFonts w:ascii="標楷體" w:eastAsia="標楷體" w:hAnsi="標楷體" w:hint="eastAsia"/>
          <w:color w:val="000000"/>
          <w:sz w:val="28"/>
          <w:szCs w:val="28"/>
        </w:rPr>
        <w:t>條規定計列，指政府在其總預算、特別預算，以及在營業基金、信託基金以外之特種基金所舉借</w:t>
      </w:r>
      <w:r w:rsidRPr="005731DE">
        <w:rPr>
          <w:rFonts w:ascii="標楷體" w:eastAsia="標楷體" w:hAnsi="標楷體"/>
          <w:color w:val="000000"/>
          <w:sz w:val="28"/>
          <w:szCs w:val="28"/>
        </w:rPr>
        <w:t>1</w:t>
      </w:r>
      <w:r w:rsidRPr="005731DE">
        <w:rPr>
          <w:rFonts w:ascii="標楷體" w:eastAsia="標楷體" w:hAnsi="標楷體" w:hint="eastAsia"/>
          <w:color w:val="000000"/>
          <w:sz w:val="28"/>
          <w:szCs w:val="28"/>
        </w:rPr>
        <w:t>年以上之債務，但不包括具自償性之負債。若參考國際貨幣基金（</w:t>
      </w:r>
      <w:r w:rsidRPr="005731DE">
        <w:rPr>
          <w:rFonts w:ascii="標楷體" w:eastAsia="標楷體" w:hAnsi="標楷體"/>
          <w:color w:val="000000"/>
          <w:sz w:val="28"/>
          <w:szCs w:val="28"/>
        </w:rPr>
        <w:t>IMF</w:t>
      </w:r>
      <w:r w:rsidRPr="005731DE">
        <w:rPr>
          <w:rFonts w:ascii="標楷體" w:eastAsia="標楷體" w:hAnsi="標楷體" w:hint="eastAsia"/>
          <w:color w:val="000000"/>
          <w:sz w:val="28"/>
          <w:szCs w:val="28"/>
        </w:rPr>
        <w:t>）定義，另加計普通基金</w:t>
      </w:r>
      <w:r w:rsidRPr="005731DE">
        <w:rPr>
          <w:rFonts w:ascii="標楷體" w:eastAsia="標楷體" w:hAnsi="標楷體"/>
          <w:color w:val="000000"/>
          <w:sz w:val="28"/>
          <w:szCs w:val="28"/>
        </w:rPr>
        <w:t>1</w:t>
      </w:r>
      <w:r w:rsidRPr="005731DE">
        <w:rPr>
          <w:rFonts w:ascii="標楷體" w:eastAsia="標楷體" w:hAnsi="標楷體" w:hint="eastAsia"/>
          <w:color w:val="000000"/>
          <w:sz w:val="28"/>
          <w:szCs w:val="28"/>
        </w:rPr>
        <w:t>年以下借款</w:t>
      </w:r>
      <w:r w:rsidRPr="005731DE">
        <w:rPr>
          <w:rFonts w:ascii="標楷體" w:eastAsia="標楷體" w:hAnsi="標楷體"/>
          <w:color w:val="000000"/>
          <w:sz w:val="28"/>
          <w:szCs w:val="28"/>
        </w:rPr>
        <w:t>4</w:t>
      </w:r>
      <w:r w:rsidRPr="005731DE">
        <w:rPr>
          <w:rFonts w:ascii="標楷體" w:eastAsia="標楷體" w:hAnsi="標楷體" w:hint="eastAsia"/>
          <w:color w:val="000000"/>
          <w:sz w:val="28"/>
          <w:szCs w:val="28"/>
        </w:rPr>
        <w:t>3</w:t>
      </w:r>
      <w:r w:rsidRPr="005731DE">
        <w:rPr>
          <w:rFonts w:ascii="標楷體" w:eastAsia="標楷體" w:hAnsi="標楷體"/>
          <w:color w:val="000000"/>
          <w:sz w:val="28"/>
          <w:szCs w:val="28"/>
        </w:rPr>
        <w:t>0</w:t>
      </w:r>
      <w:r w:rsidRPr="005731DE">
        <w:rPr>
          <w:rFonts w:ascii="標楷體" w:eastAsia="標楷體" w:hAnsi="標楷體" w:hint="eastAsia"/>
          <w:color w:val="000000"/>
          <w:sz w:val="28"/>
          <w:szCs w:val="28"/>
        </w:rPr>
        <w:t>億元及非營業特種基金舉借債務4,</w:t>
      </w:r>
      <w:r w:rsidR="006A3196">
        <w:rPr>
          <w:rFonts w:ascii="標楷體" w:eastAsia="標楷體" w:hAnsi="標楷體"/>
          <w:color w:val="000000"/>
          <w:sz w:val="28"/>
          <w:szCs w:val="28"/>
        </w:rPr>
        <w:t>644</w:t>
      </w:r>
      <w:r w:rsidRPr="005731DE">
        <w:rPr>
          <w:rFonts w:ascii="標楷體" w:eastAsia="標楷體" w:hAnsi="標楷體" w:hint="eastAsia"/>
          <w:color w:val="000000"/>
          <w:sz w:val="28"/>
          <w:szCs w:val="28"/>
        </w:rPr>
        <w:t>億元，則</w:t>
      </w:r>
      <w:r w:rsidR="00BF2FD1" w:rsidRPr="005731DE">
        <w:rPr>
          <w:rFonts w:ascii="標楷體" w:eastAsia="標楷體" w:hAnsi="標楷體" w:hint="eastAsia"/>
          <w:color w:val="000000"/>
          <w:spacing w:val="-2"/>
          <w:sz w:val="30"/>
          <w:szCs w:val="30"/>
        </w:rPr>
        <w:t>中央政府舉借債務餘額</w:t>
      </w:r>
      <w:r w:rsidRPr="005731DE">
        <w:rPr>
          <w:rFonts w:ascii="標楷體" w:eastAsia="標楷體" w:hAnsi="標楷體" w:hint="eastAsia"/>
          <w:color w:val="000000"/>
          <w:sz w:val="28"/>
          <w:szCs w:val="28"/>
        </w:rPr>
        <w:t>合共</w:t>
      </w:r>
      <w:r w:rsidRPr="005731DE">
        <w:rPr>
          <w:rFonts w:ascii="標楷體" w:eastAsia="標楷體" w:hAnsi="標楷體"/>
          <w:color w:val="000000"/>
          <w:sz w:val="28"/>
          <w:szCs w:val="28"/>
        </w:rPr>
        <w:t>5</w:t>
      </w:r>
      <w:r w:rsidRPr="005731DE">
        <w:rPr>
          <w:rFonts w:ascii="標楷體" w:eastAsia="標楷體" w:hAnsi="標楷體" w:hint="eastAsia"/>
          <w:color w:val="000000"/>
          <w:sz w:val="28"/>
          <w:szCs w:val="28"/>
        </w:rPr>
        <w:t>兆</w:t>
      </w:r>
      <w:r w:rsidR="006A3196">
        <w:rPr>
          <w:rFonts w:ascii="標楷體" w:eastAsia="標楷體" w:hAnsi="標楷體"/>
          <w:color w:val="000000"/>
          <w:sz w:val="28"/>
          <w:szCs w:val="28"/>
        </w:rPr>
        <w:t>8</w:t>
      </w:r>
      <w:r w:rsidRPr="005731DE">
        <w:rPr>
          <w:rFonts w:ascii="標楷體" w:eastAsia="標楷體" w:hAnsi="標楷體"/>
          <w:color w:val="000000"/>
          <w:sz w:val="28"/>
          <w:szCs w:val="28"/>
        </w:rPr>
        <w:t>,</w:t>
      </w:r>
      <w:r w:rsidR="006A3196">
        <w:rPr>
          <w:rFonts w:ascii="標楷體" w:eastAsia="標楷體" w:hAnsi="標楷體"/>
          <w:color w:val="000000"/>
          <w:sz w:val="28"/>
          <w:szCs w:val="28"/>
        </w:rPr>
        <w:t>682</w:t>
      </w:r>
      <w:r w:rsidRPr="005731DE">
        <w:rPr>
          <w:rFonts w:ascii="標楷體" w:eastAsia="標楷體" w:hAnsi="標楷體" w:hint="eastAsia"/>
          <w:color w:val="000000"/>
          <w:sz w:val="28"/>
          <w:szCs w:val="28"/>
        </w:rPr>
        <w:t>億元。</w:t>
      </w:r>
    </w:p>
    <w:p w:rsidR="005731DE" w:rsidRPr="005731DE" w:rsidRDefault="00BF2FD1" w:rsidP="005731DE">
      <w:pPr>
        <w:spacing w:before="120" w:line="500" w:lineRule="exact"/>
        <w:ind w:rightChars="-25" w:right="-60" w:hanging="119"/>
        <w:jc w:val="center"/>
        <w:rPr>
          <w:rFonts w:ascii="標楷體" w:eastAsia="標楷體" w:hAnsi="標楷體"/>
          <w:color w:val="000000"/>
          <w:spacing w:val="-2"/>
          <w:sz w:val="30"/>
          <w:szCs w:val="30"/>
        </w:rPr>
      </w:pPr>
      <w:r>
        <w:rPr>
          <w:rFonts w:ascii="標楷體" w:eastAsia="標楷體" w:hAnsi="標楷體" w:hint="eastAsia"/>
          <w:color w:val="000000"/>
          <w:spacing w:val="-2"/>
          <w:sz w:val="30"/>
          <w:szCs w:val="30"/>
        </w:rPr>
        <w:t xml:space="preserve"> </w:t>
      </w:r>
      <w:r w:rsidR="005731DE" w:rsidRPr="005731DE">
        <w:rPr>
          <w:rFonts w:ascii="標楷體" w:eastAsia="標楷體" w:hAnsi="標楷體" w:hint="eastAsia"/>
          <w:color w:val="000000"/>
          <w:spacing w:val="-2"/>
          <w:sz w:val="30"/>
          <w:szCs w:val="30"/>
        </w:rPr>
        <w:t>中央政府舉借債務餘額情形表</w:t>
      </w:r>
    </w:p>
    <w:p w:rsidR="005731DE" w:rsidRPr="005731DE" w:rsidRDefault="005731DE" w:rsidP="005731DE">
      <w:pPr>
        <w:snapToGrid w:val="0"/>
        <w:spacing w:line="240" w:lineRule="auto"/>
        <w:rPr>
          <w:rFonts w:ascii="標楷體" w:eastAsia="標楷體" w:hAnsi="標楷體"/>
          <w:color w:val="000000"/>
          <w:sz w:val="16"/>
          <w:szCs w:val="16"/>
        </w:rPr>
      </w:pPr>
      <w:r w:rsidRPr="005731DE">
        <w:rPr>
          <w:rFonts w:ascii="標楷體" w:eastAsia="標楷體" w:hAnsi="標楷體"/>
          <w:color w:val="000000"/>
          <w:spacing w:val="-2"/>
          <w:szCs w:val="24"/>
        </w:rPr>
        <w:t xml:space="preserve">                                 10</w:t>
      </w:r>
      <w:r w:rsidR="006A3196">
        <w:rPr>
          <w:rFonts w:ascii="標楷體" w:eastAsia="標楷體" w:hAnsi="標楷體"/>
          <w:color w:val="000000"/>
          <w:spacing w:val="-2"/>
          <w:szCs w:val="24"/>
        </w:rPr>
        <w:t>6</w:t>
      </w:r>
      <w:r w:rsidRPr="005731DE">
        <w:rPr>
          <w:rFonts w:ascii="標楷體" w:eastAsia="標楷體" w:hAnsi="標楷體" w:hint="eastAsia"/>
          <w:color w:val="000000"/>
          <w:spacing w:val="-2"/>
          <w:szCs w:val="24"/>
        </w:rPr>
        <w:t>年</w:t>
      </w:r>
      <w:r w:rsidRPr="005731DE">
        <w:rPr>
          <w:rFonts w:ascii="標楷體" w:eastAsia="標楷體" w:hAnsi="標楷體"/>
          <w:color w:val="000000"/>
          <w:spacing w:val="-2"/>
          <w:szCs w:val="24"/>
        </w:rPr>
        <w:t>12</w:t>
      </w:r>
      <w:r w:rsidRPr="005731DE">
        <w:rPr>
          <w:rFonts w:ascii="標楷體" w:eastAsia="標楷體" w:hAnsi="標楷體" w:hint="eastAsia"/>
          <w:color w:val="000000"/>
          <w:spacing w:val="-2"/>
          <w:szCs w:val="24"/>
        </w:rPr>
        <w:t>月</w:t>
      </w:r>
      <w:r w:rsidRPr="005731DE">
        <w:rPr>
          <w:rFonts w:ascii="標楷體" w:eastAsia="標楷體" w:hAnsi="標楷體"/>
          <w:color w:val="000000"/>
          <w:spacing w:val="-2"/>
          <w:szCs w:val="24"/>
        </w:rPr>
        <w:t>31</w:t>
      </w:r>
      <w:r w:rsidRPr="005731DE">
        <w:rPr>
          <w:rFonts w:ascii="標楷體" w:eastAsia="標楷體" w:hAnsi="標楷體" w:hint="eastAsia"/>
          <w:color w:val="000000"/>
          <w:spacing w:val="-2"/>
          <w:szCs w:val="24"/>
        </w:rPr>
        <w:t>日</w:t>
      </w:r>
      <w:r w:rsidRPr="005731DE">
        <w:rPr>
          <w:rFonts w:ascii="標楷體" w:eastAsia="標楷體" w:hAnsi="標楷體"/>
          <w:color w:val="000000"/>
          <w:spacing w:val="-2"/>
          <w:szCs w:val="24"/>
        </w:rPr>
        <w:t xml:space="preserve">                </w:t>
      </w:r>
      <w:r w:rsidRPr="005731DE">
        <w:rPr>
          <w:rFonts w:ascii="標楷體" w:eastAsia="標楷體" w:hAnsi="標楷體"/>
          <w:color w:val="000000"/>
          <w:spacing w:val="-2"/>
          <w:sz w:val="20"/>
        </w:rPr>
        <w:t xml:space="preserve"> </w:t>
      </w:r>
      <w:r w:rsidRPr="005731DE">
        <w:rPr>
          <w:rFonts w:ascii="標楷體" w:eastAsia="標楷體" w:hAnsi="標楷體" w:hint="eastAsia"/>
          <w:color w:val="000000"/>
          <w:sz w:val="20"/>
        </w:rPr>
        <w:t>單位：新臺幣億元</w:t>
      </w:r>
    </w:p>
    <w:tbl>
      <w:tblPr>
        <w:tblW w:w="912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2"/>
        <w:gridCol w:w="996"/>
        <w:gridCol w:w="768"/>
        <w:gridCol w:w="984"/>
        <w:gridCol w:w="840"/>
        <w:gridCol w:w="948"/>
        <w:gridCol w:w="972"/>
        <w:gridCol w:w="960"/>
      </w:tblGrid>
      <w:tr w:rsidR="005731DE" w:rsidRPr="005731DE" w:rsidTr="006569CE">
        <w:trPr>
          <w:trHeight w:val="388"/>
        </w:trPr>
        <w:tc>
          <w:tcPr>
            <w:tcW w:w="2652" w:type="dxa"/>
            <w:vMerge w:val="restart"/>
            <w:tcBorders>
              <w:top w:val="single" w:sz="12" w:space="0" w:color="auto"/>
              <w:left w:val="single" w:sz="12" w:space="0" w:color="auto"/>
            </w:tcBorders>
            <w:vAlign w:val="center"/>
          </w:tcPr>
          <w:p w:rsidR="005731DE" w:rsidRPr="005731DE" w:rsidRDefault="005731DE" w:rsidP="005731DE">
            <w:pPr>
              <w:spacing w:line="240" w:lineRule="auto"/>
              <w:jc w:val="center"/>
              <w:rPr>
                <w:rFonts w:ascii="標楷體" w:eastAsia="標楷體" w:hAnsi="標楷體"/>
                <w:color w:val="000000"/>
                <w:spacing w:val="-2"/>
                <w:szCs w:val="24"/>
              </w:rPr>
            </w:pPr>
            <w:r w:rsidRPr="005731DE">
              <w:rPr>
                <w:rFonts w:ascii="標楷體" w:eastAsia="標楷體" w:hAnsi="標楷體" w:hint="eastAsia"/>
                <w:color w:val="000000"/>
                <w:spacing w:val="-2"/>
                <w:szCs w:val="24"/>
              </w:rPr>
              <w:t>項</w:t>
            </w:r>
            <w:r w:rsidRPr="005731DE">
              <w:rPr>
                <w:rFonts w:ascii="標楷體" w:eastAsia="標楷體" w:hAnsi="標楷體"/>
                <w:color w:val="000000"/>
                <w:spacing w:val="-2"/>
                <w:szCs w:val="24"/>
              </w:rPr>
              <w:t xml:space="preserve">        </w:t>
            </w:r>
            <w:r w:rsidRPr="005731DE">
              <w:rPr>
                <w:rFonts w:ascii="標楷體" w:eastAsia="標楷體" w:hAnsi="標楷體" w:hint="eastAsia"/>
                <w:color w:val="000000"/>
                <w:spacing w:val="-2"/>
                <w:szCs w:val="24"/>
              </w:rPr>
              <w:t>目</w:t>
            </w:r>
          </w:p>
        </w:tc>
        <w:tc>
          <w:tcPr>
            <w:tcW w:w="996" w:type="dxa"/>
            <w:vMerge w:val="restart"/>
            <w:tcBorders>
              <w:top w:val="single" w:sz="12" w:space="0" w:color="auto"/>
            </w:tcBorders>
            <w:vAlign w:val="center"/>
          </w:tcPr>
          <w:p w:rsidR="005731DE" w:rsidRPr="005731DE" w:rsidRDefault="005731DE" w:rsidP="005731DE">
            <w:pPr>
              <w:spacing w:line="240" w:lineRule="auto"/>
              <w:jc w:val="center"/>
              <w:rPr>
                <w:rFonts w:ascii="標楷體" w:eastAsia="標楷體" w:hAnsi="標楷體"/>
                <w:color w:val="000000"/>
                <w:spacing w:val="-2"/>
                <w:szCs w:val="24"/>
              </w:rPr>
            </w:pPr>
            <w:r w:rsidRPr="005731DE">
              <w:rPr>
                <w:rFonts w:ascii="標楷體" w:eastAsia="標楷體" w:hAnsi="標楷體" w:hint="eastAsia"/>
                <w:color w:val="000000"/>
                <w:spacing w:val="-2"/>
                <w:szCs w:val="24"/>
              </w:rPr>
              <w:t>總</w:t>
            </w:r>
            <w:r w:rsidRPr="005731DE">
              <w:rPr>
                <w:rFonts w:ascii="標楷體" w:eastAsia="標楷體" w:hAnsi="標楷體"/>
                <w:color w:val="000000"/>
                <w:spacing w:val="-2"/>
                <w:szCs w:val="24"/>
              </w:rPr>
              <w:t xml:space="preserve"> </w:t>
            </w:r>
            <w:r w:rsidRPr="005731DE">
              <w:rPr>
                <w:rFonts w:ascii="標楷體" w:eastAsia="標楷體" w:hAnsi="標楷體" w:hint="eastAsia"/>
                <w:color w:val="000000"/>
                <w:spacing w:val="-2"/>
                <w:szCs w:val="24"/>
              </w:rPr>
              <w:t>計</w:t>
            </w:r>
          </w:p>
        </w:tc>
        <w:tc>
          <w:tcPr>
            <w:tcW w:w="2592" w:type="dxa"/>
            <w:gridSpan w:val="3"/>
            <w:tcBorders>
              <w:top w:val="single" w:sz="12" w:space="0" w:color="auto"/>
            </w:tcBorders>
            <w:vAlign w:val="center"/>
          </w:tcPr>
          <w:p w:rsidR="005731DE" w:rsidRPr="005731DE" w:rsidRDefault="005731DE" w:rsidP="005731DE">
            <w:pPr>
              <w:spacing w:line="240" w:lineRule="auto"/>
              <w:jc w:val="center"/>
              <w:rPr>
                <w:rFonts w:ascii="標楷體" w:eastAsia="標楷體" w:hAnsi="標楷體"/>
                <w:color w:val="000000"/>
                <w:spacing w:val="-2"/>
                <w:szCs w:val="24"/>
              </w:rPr>
            </w:pPr>
            <w:r w:rsidRPr="005731DE">
              <w:rPr>
                <w:rFonts w:ascii="標楷體" w:eastAsia="標楷體" w:hAnsi="標楷體" w:hint="eastAsia"/>
                <w:color w:val="000000"/>
                <w:spacing w:val="-2"/>
                <w:szCs w:val="24"/>
              </w:rPr>
              <w:t>普通基金債務餘額</w:t>
            </w:r>
          </w:p>
        </w:tc>
        <w:tc>
          <w:tcPr>
            <w:tcW w:w="2880" w:type="dxa"/>
            <w:gridSpan w:val="3"/>
            <w:tcBorders>
              <w:top w:val="single" w:sz="12" w:space="0" w:color="auto"/>
              <w:right w:val="single" w:sz="12" w:space="0" w:color="auto"/>
            </w:tcBorders>
            <w:vAlign w:val="center"/>
          </w:tcPr>
          <w:p w:rsidR="005731DE" w:rsidRPr="005731DE" w:rsidRDefault="005731DE" w:rsidP="005731DE">
            <w:pPr>
              <w:spacing w:line="240" w:lineRule="auto"/>
              <w:jc w:val="center"/>
              <w:rPr>
                <w:rFonts w:ascii="標楷體" w:eastAsia="標楷體" w:hAnsi="標楷體"/>
                <w:color w:val="000000"/>
                <w:spacing w:val="-2"/>
                <w:szCs w:val="24"/>
              </w:rPr>
            </w:pPr>
            <w:r w:rsidRPr="005731DE">
              <w:rPr>
                <w:rFonts w:ascii="標楷體" w:eastAsia="標楷體" w:hAnsi="標楷體" w:hint="eastAsia"/>
                <w:color w:val="000000"/>
                <w:spacing w:val="-2"/>
                <w:szCs w:val="24"/>
              </w:rPr>
              <w:t>非營業特種基金債務餘額</w:t>
            </w:r>
          </w:p>
        </w:tc>
      </w:tr>
      <w:tr w:rsidR="005731DE" w:rsidRPr="005731DE" w:rsidTr="006569CE">
        <w:trPr>
          <w:trHeight w:val="384"/>
        </w:trPr>
        <w:tc>
          <w:tcPr>
            <w:tcW w:w="2652" w:type="dxa"/>
            <w:vMerge/>
            <w:tcBorders>
              <w:left w:val="single" w:sz="12" w:space="0" w:color="auto"/>
            </w:tcBorders>
          </w:tcPr>
          <w:p w:rsidR="005731DE" w:rsidRPr="005731DE" w:rsidRDefault="005731DE" w:rsidP="005731DE">
            <w:pPr>
              <w:spacing w:line="240" w:lineRule="auto"/>
              <w:jc w:val="center"/>
              <w:rPr>
                <w:rFonts w:ascii="標楷體" w:eastAsia="標楷體" w:hAnsi="標楷體"/>
                <w:color w:val="000000"/>
                <w:spacing w:val="-2"/>
                <w:szCs w:val="24"/>
              </w:rPr>
            </w:pPr>
          </w:p>
        </w:tc>
        <w:tc>
          <w:tcPr>
            <w:tcW w:w="996" w:type="dxa"/>
            <w:vMerge/>
            <w:vAlign w:val="center"/>
          </w:tcPr>
          <w:p w:rsidR="005731DE" w:rsidRPr="005731DE" w:rsidRDefault="005731DE" w:rsidP="005731DE">
            <w:pPr>
              <w:spacing w:line="240" w:lineRule="auto"/>
              <w:jc w:val="center"/>
              <w:rPr>
                <w:rFonts w:ascii="標楷體" w:eastAsia="標楷體" w:hAnsi="標楷體"/>
                <w:color w:val="000000"/>
                <w:spacing w:val="-2"/>
                <w:szCs w:val="24"/>
              </w:rPr>
            </w:pPr>
          </w:p>
        </w:tc>
        <w:tc>
          <w:tcPr>
            <w:tcW w:w="1752" w:type="dxa"/>
            <w:gridSpan w:val="2"/>
            <w:vAlign w:val="center"/>
          </w:tcPr>
          <w:p w:rsidR="005731DE" w:rsidRPr="005731DE" w:rsidRDefault="005731DE" w:rsidP="005731DE">
            <w:pPr>
              <w:spacing w:line="240" w:lineRule="auto"/>
              <w:jc w:val="center"/>
              <w:rPr>
                <w:rFonts w:ascii="標楷體" w:eastAsia="標楷體" w:hAnsi="標楷體"/>
                <w:color w:val="000000"/>
                <w:spacing w:val="-2"/>
                <w:szCs w:val="24"/>
              </w:rPr>
            </w:pPr>
            <w:r w:rsidRPr="005731DE">
              <w:rPr>
                <w:rFonts w:ascii="標楷體" w:eastAsia="標楷體" w:hAnsi="標楷體"/>
                <w:color w:val="000000"/>
                <w:spacing w:val="-2"/>
                <w:szCs w:val="24"/>
              </w:rPr>
              <w:t>1</w:t>
            </w:r>
            <w:r w:rsidRPr="005731DE">
              <w:rPr>
                <w:rFonts w:ascii="標楷體" w:eastAsia="標楷體" w:hAnsi="標楷體" w:hint="eastAsia"/>
                <w:color w:val="000000"/>
                <w:spacing w:val="-2"/>
                <w:szCs w:val="24"/>
              </w:rPr>
              <w:t>年以上</w:t>
            </w:r>
          </w:p>
        </w:tc>
        <w:tc>
          <w:tcPr>
            <w:tcW w:w="840" w:type="dxa"/>
            <w:vMerge w:val="restart"/>
            <w:vAlign w:val="center"/>
          </w:tcPr>
          <w:p w:rsidR="005731DE" w:rsidRPr="005731DE" w:rsidRDefault="005731DE" w:rsidP="005731DE">
            <w:pPr>
              <w:spacing w:line="240" w:lineRule="auto"/>
              <w:jc w:val="center"/>
              <w:rPr>
                <w:rFonts w:ascii="標楷體" w:eastAsia="標楷體" w:hAnsi="標楷體"/>
                <w:color w:val="000000"/>
                <w:spacing w:val="-2"/>
                <w:szCs w:val="24"/>
              </w:rPr>
            </w:pPr>
            <w:r w:rsidRPr="005731DE">
              <w:rPr>
                <w:rFonts w:ascii="標楷體" w:eastAsia="標楷體" w:hAnsi="標楷體" w:hint="eastAsia"/>
                <w:color w:val="000000"/>
                <w:spacing w:val="-2"/>
                <w:szCs w:val="24"/>
              </w:rPr>
              <w:t>未滿</w:t>
            </w:r>
          </w:p>
          <w:p w:rsidR="005731DE" w:rsidRPr="005731DE" w:rsidRDefault="005731DE" w:rsidP="005731DE">
            <w:pPr>
              <w:spacing w:line="240" w:lineRule="auto"/>
              <w:jc w:val="center"/>
              <w:rPr>
                <w:rFonts w:ascii="標楷體" w:eastAsia="標楷體" w:hAnsi="標楷體"/>
                <w:color w:val="000000"/>
                <w:spacing w:val="-2"/>
                <w:szCs w:val="24"/>
              </w:rPr>
            </w:pPr>
            <w:r w:rsidRPr="005731DE">
              <w:rPr>
                <w:rFonts w:ascii="標楷體" w:eastAsia="標楷體" w:hAnsi="標楷體"/>
                <w:color w:val="000000"/>
                <w:spacing w:val="-2"/>
                <w:szCs w:val="24"/>
              </w:rPr>
              <w:t>1</w:t>
            </w:r>
            <w:r w:rsidRPr="005731DE">
              <w:rPr>
                <w:rFonts w:ascii="標楷體" w:eastAsia="標楷體" w:hAnsi="標楷體" w:hint="eastAsia"/>
                <w:color w:val="000000"/>
                <w:spacing w:val="-2"/>
                <w:szCs w:val="24"/>
              </w:rPr>
              <w:t>年</w:t>
            </w:r>
          </w:p>
        </w:tc>
        <w:tc>
          <w:tcPr>
            <w:tcW w:w="1920" w:type="dxa"/>
            <w:gridSpan w:val="2"/>
            <w:vAlign w:val="center"/>
          </w:tcPr>
          <w:p w:rsidR="005731DE" w:rsidRPr="005731DE" w:rsidRDefault="005731DE" w:rsidP="005731DE">
            <w:pPr>
              <w:spacing w:line="240" w:lineRule="auto"/>
              <w:jc w:val="center"/>
              <w:rPr>
                <w:rFonts w:ascii="標楷體" w:eastAsia="標楷體" w:hAnsi="標楷體"/>
                <w:color w:val="000000"/>
                <w:spacing w:val="-2"/>
                <w:szCs w:val="24"/>
              </w:rPr>
            </w:pPr>
            <w:r w:rsidRPr="005731DE">
              <w:rPr>
                <w:rFonts w:ascii="標楷體" w:eastAsia="標楷體" w:hAnsi="標楷體"/>
                <w:color w:val="000000"/>
                <w:spacing w:val="-2"/>
                <w:szCs w:val="24"/>
              </w:rPr>
              <w:t>1</w:t>
            </w:r>
            <w:r w:rsidRPr="005731DE">
              <w:rPr>
                <w:rFonts w:ascii="標楷體" w:eastAsia="標楷體" w:hAnsi="標楷體" w:hint="eastAsia"/>
                <w:color w:val="000000"/>
                <w:spacing w:val="-2"/>
                <w:szCs w:val="24"/>
              </w:rPr>
              <w:t>年以上</w:t>
            </w:r>
          </w:p>
        </w:tc>
        <w:tc>
          <w:tcPr>
            <w:tcW w:w="960" w:type="dxa"/>
            <w:vMerge w:val="restart"/>
            <w:tcBorders>
              <w:right w:val="single" w:sz="12" w:space="0" w:color="auto"/>
            </w:tcBorders>
            <w:vAlign w:val="center"/>
          </w:tcPr>
          <w:p w:rsidR="005731DE" w:rsidRPr="005731DE" w:rsidRDefault="005731DE" w:rsidP="005731DE">
            <w:pPr>
              <w:spacing w:line="240" w:lineRule="auto"/>
              <w:jc w:val="center"/>
              <w:rPr>
                <w:rFonts w:ascii="標楷體" w:eastAsia="標楷體" w:hAnsi="標楷體"/>
                <w:color w:val="000000"/>
                <w:spacing w:val="-2"/>
                <w:szCs w:val="24"/>
              </w:rPr>
            </w:pPr>
            <w:r w:rsidRPr="005731DE">
              <w:rPr>
                <w:rFonts w:ascii="標楷體" w:eastAsia="標楷體" w:hAnsi="標楷體" w:hint="eastAsia"/>
                <w:color w:val="000000"/>
                <w:spacing w:val="-2"/>
                <w:szCs w:val="24"/>
              </w:rPr>
              <w:t>未滿</w:t>
            </w:r>
          </w:p>
          <w:p w:rsidR="005731DE" w:rsidRPr="005731DE" w:rsidRDefault="005731DE" w:rsidP="005731DE">
            <w:pPr>
              <w:spacing w:line="240" w:lineRule="auto"/>
              <w:jc w:val="center"/>
              <w:rPr>
                <w:rFonts w:ascii="標楷體" w:eastAsia="標楷體" w:hAnsi="標楷體"/>
                <w:color w:val="000000"/>
                <w:spacing w:val="-2"/>
                <w:szCs w:val="24"/>
              </w:rPr>
            </w:pPr>
            <w:r w:rsidRPr="005731DE">
              <w:rPr>
                <w:rFonts w:ascii="標楷體" w:eastAsia="標楷體" w:hAnsi="標楷體"/>
                <w:color w:val="000000"/>
                <w:spacing w:val="-2"/>
                <w:szCs w:val="24"/>
              </w:rPr>
              <w:t>1</w:t>
            </w:r>
            <w:r w:rsidRPr="005731DE">
              <w:rPr>
                <w:rFonts w:ascii="標楷體" w:eastAsia="標楷體" w:hAnsi="標楷體" w:hint="eastAsia"/>
                <w:color w:val="000000"/>
                <w:spacing w:val="-2"/>
                <w:szCs w:val="24"/>
              </w:rPr>
              <w:t>年</w:t>
            </w:r>
          </w:p>
        </w:tc>
      </w:tr>
      <w:tr w:rsidR="005731DE" w:rsidRPr="005731DE" w:rsidTr="006569CE">
        <w:trPr>
          <w:trHeight w:val="420"/>
        </w:trPr>
        <w:tc>
          <w:tcPr>
            <w:tcW w:w="2652" w:type="dxa"/>
            <w:vMerge/>
            <w:tcBorders>
              <w:left w:val="single" w:sz="12" w:space="0" w:color="auto"/>
              <w:bottom w:val="single" w:sz="4" w:space="0" w:color="auto"/>
            </w:tcBorders>
          </w:tcPr>
          <w:p w:rsidR="005731DE" w:rsidRPr="005731DE" w:rsidRDefault="005731DE" w:rsidP="005731DE">
            <w:pPr>
              <w:spacing w:line="240" w:lineRule="auto"/>
              <w:jc w:val="center"/>
              <w:rPr>
                <w:rFonts w:ascii="標楷體" w:eastAsia="標楷體" w:hAnsi="標楷體"/>
                <w:color w:val="000000"/>
                <w:spacing w:val="-2"/>
                <w:szCs w:val="24"/>
              </w:rPr>
            </w:pPr>
          </w:p>
        </w:tc>
        <w:tc>
          <w:tcPr>
            <w:tcW w:w="996" w:type="dxa"/>
            <w:vMerge/>
            <w:tcBorders>
              <w:bottom w:val="single" w:sz="4" w:space="0" w:color="auto"/>
            </w:tcBorders>
            <w:vAlign w:val="center"/>
          </w:tcPr>
          <w:p w:rsidR="005731DE" w:rsidRPr="005731DE" w:rsidRDefault="005731DE" w:rsidP="005731DE">
            <w:pPr>
              <w:spacing w:line="240" w:lineRule="auto"/>
              <w:jc w:val="center"/>
              <w:rPr>
                <w:rFonts w:ascii="標楷體" w:eastAsia="標楷體" w:hAnsi="標楷體"/>
                <w:color w:val="000000"/>
                <w:spacing w:val="-2"/>
                <w:szCs w:val="24"/>
              </w:rPr>
            </w:pPr>
          </w:p>
        </w:tc>
        <w:tc>
          <w:tcPr>
            <w:tcW w:w="768" w:type="dxa"/>
            <w:tcBorders>
              <w:bottom w:val="single" w:sz="4" w:space="0" w:color="auto"/>
            </w:tcBorders>
            <w:vAlign w:val="center"/>
          </w:tcPr>
          <w:p w:rsidR="005731DE" w:rsidRPr="005731DE" w:rsidRDefault="005731DE" w:rsidP="005731DE">
            <w:pPr>
              <w:spacing w:line="240" w:lineRule="auto"/>
              <w:jc w:val="center"/>
              <w:rPr>
                <w:rFonts w:ascii="標楷體" w:eastAsia="標楷體" w:hAnsi="標楷體"/>
                <w:color w:val="000000"/>
                <w:spacing w:val="-2"/>
                <w:szCs w:val="24"/>
              </w:rPr>
            </w:pPr>
            <w:r w:rsidRPr="005731DE">
              <w:rPr>
                <w:rFonts w:ascii="標楷體" w:eastAsia="標楷體" w:hAnsi="標楷體" w:hint="eastAsia"/>
                <w:color w:val="000000"/>
                <w:spacing w:val="-2"/>
                <w:szCs w:val="24"/>
              </w:rPr>
              <w:t>自償</w:t>
            </w:r>
          </w:p>
        </w:tc>
        <w:tc>
          <w:tcPr>
            <w:tcW w:w="984" w:type="dxa"/>
            <w:tcBorders>
              <w:bottom w:val="single" w:sz="4" w:space="0" w:color="auto"/>
            </w:tcBorders>
            <w:vAlign w:val="center"/>
          </w:tcPr>
          <w:p w:rsidR="005731DE" w:rsidRPr="005731DE" w:rsidRDefault="005731DE" w:rsidP="005731DE">
            <w:pPr>
              <w:spacing w:line="240" w:lineRule="auto"/>
              <w:jc w:val="center"/>
              <w:rPr>
                <w:rFonts w:ascii="標楷體" w:eastAsia="標楷體" w:hAnsi="標楷體"/>
                <w:color w:val="000000"/>
                <w:spacing w:val="-2"/>
                <w:szCs w:val="24"/>
              </w:rPr>
            </w:pPr>
            <w:r w:rsidRPr="005731DE">
              <w:rPr>
                <w:rFonts w:ascii="標楷體" w:eastAsia="標楷體" w:hAnsi="標楷體" w:hint="eastAsia"/>
                <w:color w:val="000000"/>
                <w:spacing w:val="-2"/>
                <w:szCs w:val="24"/>
              </w:rPr>
              <w:t>非自償</w:t>
            </w:r>
          </w:p>
        </w:tc>
        <w:tc>
          <w:tcPr>
            <w:tcW w:w="840" w:type="dxa"/>
            <w:vMerge/>
            <w:tcBorders>
              <w:bottom w:val="single" w:sz="4" w:space="0" w:color="auto"/>
            </w:tcBorders>
            <w:vAlign w:val="center"/>
          </w:tcPr>
          <w:p w:rsidR="005731DE" w:rsidRPr="005731DE" w:rsidRDefault="005731DE" w:rsidP="005731DE">
            <w:pPr>
              <w:spacing w:line="240" w:lineRule="auto"/>
              <w:jc w:val="center"/>
              <w:rPr>
                <w:rFonts w:ascii="標楷體" w:eastAsia="標楷體" w:hAnsi="標楷體"/>
                <w:color w:val="000000"/>
                <w:spacing w:val="-2"/>
                <w:szCs w:val="24"/>
              </w:rPr>
            </w:pPr>
          </w:p>
        </w:tc>
        <w:tc>
          <w:tcPr>
            <w:tcW w:w="948" w:type="dxa"/>
            <w:tcBorders>
              <w:bottom w:val="single" w:sz="4" w:space="0" w:color="auto"/>
            </w:tcBorders>
            <w:vAlign w:val="center"/>
          </w:tcPr>
          <w:p w:rsidR="005731DE" w:rsidRPr="005731DE" w:rsidRDefault="005731DE" w:rsidP="005731DE">
            <w:pPr>
              <w:spacing w:line="240" w:lineRule="auto"/>
              <w:jc w:val="center"/>
              <w:rPr>
                <w:rFonts w:ascii="標楷體" w:eastAsia="標楷體" w:hAnsi="標楷體"/>
                <w:color w:val="000000"/>
                <w:spacing w:val="-2"/>
                <w:szCs w:val="24"/>
              </w:rPr>
            </w:pPr>
            <w:r w:rsidRPr="005731DE">
              <w:rPr>
                <w:rFonts w:ascii="標楷體" w:eastAsia="標楷體" w:hAnsi="標楷體" w:hint="eastAsia"/>
                <w:color w:val="000000"/>
                <w:spacing w:val="-2"/>
                <w:szCs w:val="24"/>
              </w:rPr>
              <w:t>自償</w:t>
            </w:r>
          </w:p>
        </w:tc>
        <w:tc>
          <w:tcPr>
            <w:tcW w:w="972" w:type="dxa"/>
            <w:tcBorders>
              <w:bottom w:val="single" w:sz="4" w:space="0" w:color="auto"/>
            </w:tcBorders>
            <w:vAlign w:val="center"/>
          </w:tcPr>
          <w:p w:rsidR="005731DE" w:rsidRPr="005731DE" w:rsidRDefault="005731DE" w:rsidP="005731DE">
            <w:pPr>
              <w:spacing w:line="240" w:lineRule="auto"/>
              <w:jc w:val="center"/>
              <w:rPr>
                <w:rFonts w:ascii="標楷體" w:eastAsia="標楷體" w:hAnsi="標楷體"/>
                <w:color w:val="000000"/>
                <w:spacing w:val="-2"/>
                <w:szCs w:val="24"/>
              </w:rPr>
            </w:pPr>
            <w:r w:rsidRPr="005731DE">
              <w:rPr>
                <w:rFonts w:ascii="標楷體" w:eastAsia="標楷體" w:hAnsi="標楷體" w:hint="eastAsia"/>
                <w:color w:val="000000"/>
                <w:spacing w:val="-2"/>
                <w:szCs w:val="24"/>
              </w:rPr>
              <w:t>非自償</w:t>
            </w:r>
          </w:p>
        </w:tc>
        <w:tc>
          <w:tcPr>
            <w:tcW w:w="960" w:type="dxa"/>
            <w:vMerge/>
            <w:tcBorders>
              <w:bottom w:val="single" w:sz="4" w:space="0" w:color="auto"/>
              <w:right w:val="single" w:sz="12" w:space="0" w:color="auto"/>
            </w:tcBorders>
            <w:vAlign w:val="center"/>
          </w:tcPr>
          <w:p w:rsidR="005731DE" w:rsidRPr="005731DE" w:rsidRDefault="005731DE" w:rsidP="005731DE">
            <w:pPr>
              <w:spacing w:line="240" w:lineRule="auto"/>
              <w:jc w:val="center"/>
              <w:rPr>
                <w:rFonts w:ascii="標楷體" w:eastAsia="標楷體" w:hAnsi="標楷體"/>
                <w:color w:val="000000"/>
                <w:spacing w:val="-2"/>
                <w:szCs w:val="24"/>
              </w:rPr>
            </w:pPr>
          </w:p>
        </w:tc>
      </w:tr>
      <w:tr w:rsidR="005731DE" w:rsidRPr="005731DE" w:rsidTr="006569CE">
        <w:trPr>
          <w:trHeight w:val="684"/>
        </w:trPr>
        <w:tc>
          <w:tcPr>
            <w:tcW w:w="2652" w:type="dxa"/>
            <w:tcBorders>
              <w:left w:val="single" w:sz="12" w:space="0" w:color="auto"/>
              <w:bottom w:val="nil"/>
            </w:tcBorders>
          </w:tcPr>
          <w:p w:rsidR="005731DE" w:rsidRPr="005731DE" w:rsidRDefault="005731DE" w:rsidP="005731DE">
            <w:pPr>
              <w:spacing w:before="120" w:line="260" w:lineRule="exact"/>
              <w:ind w:left="462" w:hangingChars="210" w:hanging="462"/>
              <w:jc w:val="both"/>
              <w:rPr>
                <w:rFonts w:ascii="標楷體" w:eastAsia="標楷體" w:hAnsi="標楷體"/>
                <w:color w:val="000000"/>
                <w:spacing w:val="-10"/>
                <w:szCs w:val="24"/>
              </w:rPr>
            </w:pPr>
            <w:r w:rsidRPr="005731DE">
              <w:rPr>
                <w:rFonts w:ascii="標楷體" w:eastAsia="標楷體" w:hAnsi="標楷體" w:hint="eastAsia"/>
                <w:color w:val="000000"/>
                <w:spacing w:val="-10"/>
                <w:szCs w:val="24"/>
              </w:rPr>
              <w:t>一、按公共債務法規定計算之債務餘額</w:t>
            </w:r>
          </w:p>
        </w:tc>
        <w:tc>
          <w:tcPr>
            <w:tcW w:w="996" w:type="dxa"/>
            <w:tcBorders>
              <w:bottom w:val="nil"/>
            </w:tcBorders>
          </w:tcPr>
          <w:p w:rsidR="005731DE" w:rsidRPr="005731DE" w:rsidRDefault="005731DE" w:rsidP="006A3196">
            <w:pPr>
              <w:spacing w:before="120" w:line="280" w:lineRule="exact"/>
              <w:ind w:rightChars="34" w:right="82"/>
              <w:jc w:val="right"/>
              <w:rPr>
                <w:rFonts w:eastAsia="標楷體"/>
                <w:color w:val="000000"/>
                <w:spacing w:val="-2"/>
                <w:szCs w:val="24"/>
              </w:rPr>
            </w:pPr>
            <w:r w:rsidRPr="005731DE">
              <w:rPr>
                <w:rFonts w:eastAsia="標楷體"/>
                <w:color w:val="000000"/>
                <w:spacing w:val="-2"/>
                <w:szCs w:val="24"/>
              </w:rPr>
              <w:t>53,</w:t>
            </w:r>
            <w:r w:rsidR="006A3196">
              <w:rPr>
                <w:rFonts w:eastAsia="標楷體"/>
                <w:color w:val="000000"/>
                <w:spacing w:val="-2"/>
                <w:szCs w:val="24"/>
              </w:rPr>
              <w:t>608</w:t>
            </w:r>
          </w:p>
        </w:tc>
        <w:tc>
          <w:tcPr>
            <w:tcW w:w="768" w:type="dxa"/>
            <w:tcBorders>
              <w:bottom w:val="nil"/>
            </w:tcBorders>
          </w:tcPr>
          <w:p w:rsidR="005731DE" w:rsidRPr="005731DE" w:rsidRDefault="005731DE" w:rsidP="005731DE">
            <w:pPr>
              <w:spacing w:before="120" w:line="280" w:lineRule="exact"/>
              <w:ind w:rightChars="34" w:right="82"/>
              <w:jc w:val="right"/>
              <w:rPr>
                <w:rFonts w:eastAsia="標楷體"/>
                <w:color w:val="000000"/>
                <w:spacing w:val="-2"/>
                <w:szCs w:val="24"/>
              </w:rPr>
            </w:pPr>
            <w:r w:rsidRPr="005731DE">
              <w:rPr>
                <w:rFonts w:eastAsia="標楷體"/>
                <w:color w:val="000000"/>
                <w:spacing w:val="-2"/>
                <w:szCs w:val="24"/>
              </w:rPr>
              <w:t>-</w:t>
            </w:r>
          </w:p>
        </w:tc>
        <w:tc>
          <w:tcPr>
            <w:tcW w:w="984" w:type="dxa"/>
            <w:tcBorders>
              <w:bottom w:val="nil"/>
            </w:tcBorders>
          </w:tcPr>
          <w:p w:rsidR="005731DE" w:rsidRPr="005731DE" w:rsidRDefault="005731DE" w:rsidP="006A3196">
            <w:pPr>
              <w:spacing w:before="120" w:line="280" w:lineRule="exact"/>
              <w:ind w:rightChars="34" w:right="82"/>
              <w:jc w:val="right"/>
              <w:rPr>
                <w:rFonts w:eastAsia="標楷體"/>
                <w:color w:val="000000"/>
                <w:spacing w:val="-2"/>
                <w:szCs w:val="24"/>
              </w:rPr>
            </w:pPr>
            <w:r w:rsidRPr="005731DE">
              <w:rPr>
                <w:rFonts w:eastAsia="標楷體"/>
                <w:color w:val="000000"/>
                <w:spacing w:val="-2"/>
                <w:szCs w:val="24"/>
              </w:rPr>
              <w:t>53,</w:t>
            </w:r>
            <w:r w:rsidR="006A3196">
              <w:rPr>
                <w:rFonts w:eastAsia="標楷體"/>
                <w:color w:val="000000"/>
                <w:spacing w:val="-2"/>
                <w:szCs w:val="24"/>
              </w:rPr>
              <w:t>608</w:t>
            </w:r>
          </w:p>
        </w:tc>
        <w:tc>
          <w:tcPr>
            <w:tcW w:w="840" w:type="dxa"/>
            <w:tcBorders>
              <w:bottom w:val="nil"/>
            </w:tcBorders>
          </w:tcPr>
          <w:p w:rsidR="005731DE" w:rsidRPr="005731DE" w:rsidRDefault="005731DE" w:rsidP="005731DE">
            <w:pPr>
              <w:spacing w:before="120" w:line="280" w:lineRule="exact"/>
              <w:ind w:rightChars="34" w:right="82"/>
              <w:jc w:val="right"/>
              <w:rPr>
                <w:rFonts w:eastAsia="標楷體"/>
                <w:color w:val="000000"/>
                <w:spacing w:val="-2"/>
                <w:szCs w:val="24"/>
              </w:rPr>
            </w:pPr>
            <w:r w:rsidRPr="005731DE">
              <w:rPr>
                <w:rFonts w:eastAsia="標楷體"/>
                <w:color w:val="000000"/>
                <w:spacing w:val="-2"/>
                <w:szCs w:val="24"/>
              </w:rPr>
              <w:t>-</w:t>
            </w:r>
          </w:p>
        </w:tc>
        <w:tc>
          <w:tcPr>
            <w:tcW w:w="948" w:type="dxa"/>
            <w:tcBorders>
              <w:bottom w:val="nil"/>
            </w:tcBorders>
          </w:tcPr>
          <w:p w:rsidR="005731DE" w:rsidRPr="005731DE" w:rsidRDefault="005731DE" w:rsidP="005731DE">
            <w:pPr>
              <w:spacing w:before="120" w:line="280" w:lineRule="exact"/>
              <w:ind w:rightChars="34" w:right="82"/>
              <w:jc w:val="right"/>
              <w:rPr>
                <w:rFonts w:eastAsia="標楷體"/>
                <w:color w:val="000000"/>
                <w:spacing w:val="-2"/>
                <w:szCs w:val="24"/>
              </w:rPr>
            </w:pPr>
            <w:r w:rsidRPr="005731DE">
              <w:rPr>
                <w:rFonts w:eastAsia="標楷體"/>
                <w:color w:val="000000"/>
                <w:spacing w:val="-2"/>
                <w:szCs w:val="24"/>
              </w:rPr>
              <w:t>-</w:t>
            </w:r>
          </w:p>
        </w:tc>
        <w:tc>
          <w:tcPr>
            <w:tcW w:w="972" w:type="dxa"/>
            <w:tcBorders>
              <w:bottom w:val="nil"/>
            </w:tcBorders>
          </w:tcPr>
          <w:p w:rsidR="005731DE" w:rsidRPr="005731DE" w:rsidRDefault="005731DE" w:rsidP="005731DE">
            <w:pPr>
              <w:spacing w:before="120" w:line="280" w:lineRule="exact"/>
              <w:ind w:rightChars="34" w:right="82"/>
              <w:jc w:val="right"/>
              <w:rPr>
                <w:rFonts w:eastAsia="標楷體"/>
                <w:color w:val="000000"/>
                <w:spacing w:val="-2"/>
                <w:szCs w:val="24"/>
              </w:rPr>
            </w:pPr>
            <w:r w:rsidRPr="005731DE">
              <w:rPr>
                <w:rFonts w:eastAsia="標楷體"/>
                <w:color w:val="000000"/>
                <w:spacing w:val="-2"/>
                <w:szCs w:val="24"/>
              </w:rPr>
              <w:t>-</w:t>
            </w:r>
          </w:p>
        </w:tc>
        <w:tc>
          <w:tcPr>
            <w:tcW w:w="960" w:type="dxa"/>
            <w:tcBorders>
              <w:bottom w:val="nil"/>
              <w:right w:val="single" w:sz="12" w:space="0" w:color="auto"/>
            </w:tcBorders>
          </w:tcPr>
          <w:p w:rsidR="005731DE" w:rsidRPr="005731DE" w:rsidRDefault="005731DE" w:rsidP="005731DE">
            <w:pPr>
              <w:spacing w:before="120" w:line="280" w:lineRule="exact"/>
              <w:ind w:rightChars="34" w:right="82"/>
              <w:jc w:val="right"/>
              <w:rPr>
                <w:rFonts w:eastAsia="標楷體"/>
                <w:color w:val="000000"/>
                <w:spacing w:val="-2"/>
                <w:szCs w:val="24"/>
              </w:rPr>
            </w:pPr>
            <w:r w:rsidRPr="005731DE">
              <w:rPr>
                <w:rFonts w:eastAsia="標楷體"/>
                <w:color w:val="000000"/>
                <w:spacing w:val="-2"/>
                <w:szCs w:val="24"/>
              </w:rPr>
              <w:t>-</w:t>
            </w:r>
          </w:p>
        </w:tc>
      </w:tr>
      <w:tr w:rsidR="005731DE" w:rsidRPr="005731DE" w:rsidTr="006569CE">
        <w:trPr>
          <w:trHeight w:val="1325"/>
        </w:trPr>
        <w:tc>
          <w:tcPr>
            <w:tcW w:w="2652" w:type="dxa"/>
            <w:tcBorders>
              <w:top w:val="nil"/>
              <w:left w:val="single" w:sz="12" w:space="0" w:color="auto"/>
              <w:bottom w:val="nil"/>
            </w:tcBorders>
          </w:tcPr>
          <w:p w:rsidR="005731DE" w:rsidRPr="005731DE" w:rsidRDefault="005731DE" w:rsidP="005731DE">
            <w:pPr>
              <w:spacing w:after="120" w:line="260" w:lineRule="exact"/>
              <w:ind w:left="462" w:hangingChars="210" w:hanging="462"/>
              <w:jc w:val="both"/>
              <w:rPr>
                <w:rFonts w:ascii="標楷體" w:eastAsia="標楷體" w:hAnsi="標楷體"/>
                <w:color w:val="000000"/>
                <w:spacing w:val="-10"/>
                <w:szCs w:val="24"/>
              </w:rPr>
            </w:pPr>
            <w:r w:rsidRPr="005731DE">
              <w:rPr>
                <w:rFonts w:ascii="標楷體" w:eastAsia="標楷體" w:hAnsi="標楷體" w:hint="eastAsia"/>
                <w:color w:val="000000"/>
                <w:spacing w:val="-10"/>
                <w:szCs w:val="24"/>
              </w:rPr>
              <w:t>二、</w:t>
            </w:r>
            <w:r w:rsidRPr="005731DE">
              <w:rPr>
                <w:rFonts w:ascii="標楷體" w:eastAsia="標楷體" w:hAnsi="標楷體" w:hint="eastAsia"/>
                <w:color w:val="000000"/>
                <w:spacing w:val="-18"/>
                <w:szCs w:val="24"/>
              </w:rPr>
              <w:t>參考國際貨幣基金定義之債務餘額再加計：</w:t>
            </w:r>
          </w:p>
          <w:p w:rsidR="005731DE" w:rsidRPr="005731DE" w:rsidRDefault="005731DE" w:rsidP="005731DE">
            <w:pPr>
              <w:spacing w:before="60" w:line="260" w:lineRule="exact"/>
              <w:ind w:left="708" w:hangingChars="300" w:hanging="708"/>
              <w:jc w:val="both"/>
              <w:rPr>
                <w:rFonts w:ascii="標楷體" w:eastAsia="標楷體" w:hAnsi="標楷體"/>
                <w:color w:val="000000"/>
                <w:spacing w:val="-2"/>
                <w:szCs w:val="24"/>
              </w:rPr>
            </w:pPr>
            <w:r w:rsidRPr="005731DE">
              <w:rPr>
                <w:rFonts w:ascii="標楷體" w:eastAsia="標楷體" w:hAnsi="標楷體" w:hint="eastAsia"/>
                <w:color w:val="000000"/>
                <w:spacing w:val="-2"/>
                <w:szCs w:val="24"/>
              </w:rPr>
              <w:t>（一）</w:t>
            </w:r>
            <w:r w:rsidRPr="005731DE">
              <w:rPr>
                <w:rFonts w:ascii="標楷體" w:eastAsia="標楷體" w:hAnsi="標楷體"/>
                <w:color w:val="000000"/>
                <w:spacing w:val="-6"/>
                <w:szCs w:val="24"/>
              </w:rPr>
              <w:t>1</w:t>
            </w:r>
            <w:r w:rsidRPr="005731DE">
              <w:rPr>
                <w:rFonts w:ascii="標楷體" w:eastAsia="標楷體" w:hAnsi="標楷體" w:hint="eastAsia"/>
                <w:color w:val="000000"/>
                <w:spacing w:val="-6"/>
                <w:szCs w:val="24"/>
              </w:rPr>
              <w:t>年以下國庫券</w:t>
            </w:r>
            <w:r w:rsidRPr="005731DE">
              <w:rPr>
                <w:rFonts w:ascii="標楷體" w:eastAsia="標楷體" w:hAnsi="標楷體" w:hint="eastAsia"/>
                <w:color w:val="000000"/>
                <w:spacing w:val="-2"/>
                <w:szCs w:val="24"/>
              </w:rPr>
              <w:t>及短期借款</w:t>
            </w:r>
          </w:p>
        </w:tc>
        <w:tc>
          <w:tcPr>
            <w:tcW w:w="996" w:type="dxa"/>
            <w:tcBorders>
              <w:top w:val="nil"/>
              <w:bottom w:val="nil"/>
            </w:tcBorders>
            <w:vAlign w:val="center"/>
          </w:tcPr>
          <w:p w:rsidR="005731DE" w:rsidRPr="005731DE" w:rsidRDefault="005731DE" w:rsidP="005731DE">
            <w:pPr>
              <w:spacing w:line="280" w:lineRule="exact"/>
              <w:ind w:rightChars="34" w:right="82"/>
              <w:jc w:val="right"/>
              <w:rPr>
                <w:rFonts w:eastAsia="標楷體"/>
                <w:color w:val="000000"/>
                <w:spacing w:val="-2"/>
                <w:szCs w:val="24"/>
              </w:rPr>
            </w:pPr>
          </w:p>
          <w:p w:rsidR="005731DE" w:rsidRPr="005731DE" w:rsidRDefault="005731DE" w:rsidP="005731DE">
            <w:pPr>
              <w:spacing w:line="280" w:lineRule="exact"/>
              <w:ind w:rightChars="34" w:right="82"/>
              <w:jc w:val="right"/>
              <w:rPr>
                <w:rFonts w:eastAsia="標楷體"/>
                <w:color w:val="000000"/>
                <w:spacing w:val="-2"/>
                <w:szCs w:val="24"/>
              </w:rPr>
            </w:pPr>
          </w:p>
          <w:p w:rsidR="005731DE" w:rsidRPr="005731DE" w:rsidRDefault="005731DE" w:rsidP="005731DE">
            <w:pPr>
              <w:spacing w:beforeLines="50" w:before="120" w:line="280" w:lineRule="exact"/>
              <w:ind w:rightChars="34" w:right="82"/>
              <w:jc w:val="right"/>
              <w:rPr>
                <w:rFonts w:eastAsia="標楷體"/>
                <w:color w:val="000000"/>
                <w:spacing w:val="-2"/>
                <w:szCs w:val="24"/>
              </w:rPr>
            </w:pPr>
            <w:r w:rsidRPr="005731DE">
              <w:rPr>
                <w:rFonts w:eastAsia="標楷體" w:hint="eastAsia"/>
                <w:color w:val="000000"/>
                <w:spacing w:val="-2"/>
                <w:szCs w:val="24"/>
              </w:rPr>
              <w:t>430</w:t>
            </w:r>
          </w:p>
        </w:tc>
        <w:tc>
          <w:tcPr>
            <w:tcW w:w="768" w:type="dxa"/>
            <w:tcBorders>
              <w:top w:val="nil"/>
              <w:bottom w:val="nil"/>
            </w:tcBorders>
            <w:vAlign w:val="center"/>
          </w:tcPr>
          <w:p w:rsidR="005731DE" w:rsidRPr="005731DE" w:rsidRDefault="005731DE" w:rsidP="005731DE">
            <w:pPr>
              <w:spacing w:line="320" w:lineRule="exact"/>
              <w:ind w:rightChars="34" w:right="82"/>
              <w:jc w:val="right"/>
              <w:rPr>
                <w:rFonts w:eastAsia="標楷體"/>
                <w:color w:val="000000"/>
                <w:spacing w:val="-2"/>
                <w:szCs w:val="24"/>
              </w:rPr>
            </w:pPr>
          </w:p>
          <w:p w:rsidR="005731DE" w:rsidRPr="005731DE" w:rsidRDefault="005731DE" w:rsidP="005731DE">
            <w:pPr>
              <w:spacing w:line="320" w:lineRule="exact"/>
              <w:ind w:rightChars="34" w:right="82"/>
              <w:jc w:val="right"/>
              <w:rPr>
                <w:rFonts w:eastAsia="標楷體"/>
                <w:color w:val="000000"/>
                <w:spacing w:val="-2"/>
                <w:szCs w:val="24"/>
              </w:rPr>
            </w:pPr>
          </w:p>
          <w:p w:rsidR="005731DE" w:rsidRPr="005731DE" w:rsidRDefault="005731DE" w:rsidP="005731DE">
            <w:pPr>
              <w:spacing w:line="320" w:lineRule="exact"/>
              <w:ind w:rightChars="34" w:right="82"/>
              <w:jc w:val="right"/>
              <w:rPr>
                <w:rFonts w:eastAsia="標楷體"/>
                <w:color w:val="000000"/>
                <w:spacing w:val="-2"/>
                <w:szCs w:val="24"/>
              </w:rPr>
            </w:pPr>
            <w:r w:rsidRPr="005731DE">
              <w:rPr>
                <w:rFonts w:eastAsia="標楷體"/>
                <w:color w:val="000000"/>
                <w:spacing w:val="-2"/>
                <w:szCs w:val="24"/>
              </w:rPr>
              <w:t>-</w:t>
            </w:r>
          </w:p>
        </w:tc>
        <w:tc>
          <w:tcPr>
            <w:tcW w:w="984" w:type="dxa"/>
            <w:tcBorders>
              <w:top w:val="nil"/>
              <w:bottom w:val="nil"/>
            </w:tcBorders>
            <w:vAlign w:val="center"/>
          </w:tcPr>
          <w:p w:rsidR="005731DE" w:rsidRPr="005731DE" w:rsidRDefault="005731DE" w:rsidP="005731DE">
            <w:pPr>
              <w:spacing w:line="320" w:lineRule="exact"/>
              <w:ind w:rightChars="34" w:right="82"/>
              <w:jc w:val="right"/>
              <w:rPr>
                <w:rFonts w:eastAsia="標楷體"/>
                <w:color w:val="000000"/>
                <w:spacing w:val="-2"/>
                <w:szCs w:val="24"/>
              </w:rPr>
            </w:pPr>
          </w:p>
          <w:p w:rsidR="005731DE" w:rsidRPr="005731DE" w:rsidRDefault="005731DE" w:rsidP="005731DE">
            <w:pPr>
              <w:spacing w:line="320" w:lineRule="exact"/>
              <w:ind w:rightChars="34" w:right="82"/>
              <w:jc w:val="right"/>
              <w:rPr>
                <w:rFonts w:eastAsia="標楷體"/>
                <w:color w:val="000000"/>
                <w:spacing w:val="-2"/>
                <w:szCs w:val="24"/>
              </w:rPr>
            </w:pPr>
          </w:p>
          <w:p w:rsidR="005731DE" w:rsidRPr="005731DE" w:rsidRDefault="005731DE" w:rsidP="005731DE">
            <w:pPr>
              <w:spacing w:line="320" w:lineRule="exact"/>
              <w:ind w:rightChars="34" w:right="82"/>
              <w:jc w:val="right"/>
              <w:rPr>
                <w:rFonts w:eastAsia="標楷體"/>
                <w:color w:val="000000"/>
                <w:spacing w:val="-2"/>
                <w:szCs w:val="24"/>
              </w:rPr>
            </w:pPr>
            <w:r w:rsidRPr="005731DE">
              <w:rPr>
                <w:rFonts w:eastAsia="標楷體"/>
                <w:color w:val="000000"/>
                <w:spacing w:val="-2"/>
                <w:szCs w:val="24"/>
              </w:rPr>
              <w:t>-</w:t>
            </w:r>
          </w:p>
        </w:tc>
        <w:tc>
          <w:tcPr>
            <w:tcW w:w="840" w:type="dxa"/>
            <w:tcBorders>
              <w:top w:val="nil"/>
              <w:bottom w:val="nil"/>
            </w:tcBorders>
            <w:vAlign w:val="center"/>
          </w:tcPr>
          <w:p w:rsidR="005731DE" w:rsidRPr="005731DE" w:rsidRDefault="005731DE" w:rsidP="005731DE">
            <w:pPr>
              <w:spacing w:line="280" w:lineRule="exact"/>
              <w:ind w:rightChars="34" w:right="82"/>
              <w:jc w:val="right"/>
              <w:rPr>
                <w:rFonts w:eastAsia="標楷體"/>
                <w:color w:val="000000"/>
                <w:spacing w:val="-2"/>
                <w:szCs w:val="24"/>
              </w:rPr>
            </w:pPr>
          </w:p>
          <w:p w:rsidR="005731DE" w:rsidRPr="005731DE" w:rsidRDefault="005731DE" w:rsidP="005731DE">
            <w:pPr>
              <w:spacing w:line="280" w:lineRule="exact"/>
              <w:ind w:rightChars="34" w:right="82"/>
              <w:jc w:val="right"/>
              <w:rPr>
                <w:rFonts w:eastAsia="標楷體"/>
                <w:color w:val="000000"/>
                <w:spacing w:val="-2"/>
                <w:szCs w:val="24"/>
              </w:rPr>
            </w:pPr>
          </w:p>
          <w:p w:rsidR="005731DE" w:rsidRPr="005731DE" w:rsidRDefault="005731DE" w:rsidP="005731DE">
            <w:pPr>
              <w:spacing w:beforeLines="50" w:before="120" w:line="280" w:lineRule="exact"/>
              <w:ind w:rightChars="34" w:right="82"/>
              <w:jc w:val="right"/>
              <w:rPr>
                <w:rFonts w:eastAsia="標楷體"/>
                <w:color w:val="000000"/>
                <w:spacing w:val="-2"/>
                <w:szCs w:val="24"/>
              </w:rPr>
            </w:pPr>
            <w:r w:rsidRPr="005731DE">
              <w:rPr>
                <w:rFonts w:eastAsia="標楷體" w:hint="eastAsia"/>
                <w:color w:val="000000"/>
                <w:spacing w:val="-2"/>
                <w:szCs w:val="24"/>
              </w:rPr>
              <w:t>430</w:t>
            </w:r>
          </w:p>
        </w:tc>
        <w:tc>
          <w:tcPr>
            <w:tcW w:w="948" w:type="dxa"/>
            <w:tcBorders>
              <w:top w:val="nil"/>
              <w:bottom w:val="nil"/>
            </w:tcBorders>
            <w:vAlign w:val="center"/>
          </w:tcPr>
          <w:p w:rsidR="005731DE" w:rsidRPr="005731DE" w:rsidRDefault="005731DE" w:rsidP="005731DE">
            <w:pPr>
              <w:spacing w:line="320" w:lineRule="exact"/>
              <w:ind w:rightChars="34" w:right="82"/>
              <w:jc w:val="right"/>
              <w:rPr>
                <w:rFonts w:eastAsia="標楷體"/>
                <w:color w:val="000000"/>
                <w:spacing w:val="-2"/>
                <w:szCs w:val="24"/>
              </w:rPr>
            </w:pPr>
          </w:p>
          <w:p w:rsidR="005731DE" w:rsidRPr="005731DE" w:rsidRDefault="005731DE" w:rsidP="005731DE">
            <w:pPr>
              <w:spacing w:line="320" w:lineRule="exact"/>
              <w:ind w:rightChars="34" w:right="82"/>
              <w:jc w:val="right"/>
              <w:rPr>
                <w:rFonts w:eastAsia="標楷體"/>
                <w:color w:val="000000"/>
                <w:spacing w:val="-2"/>
                <w:szCs w:val="24"/>
              </w:rPr>
            </w:pPr>
          </w:p>
          <w:p w:rsidR="005731DE" w:rsidRPr="005731DE" w:rsidRDefault="005731DE" w:rsidP="005731DE">
            <w:pPr>
              <w:spacing w:line="320" w:lineRule="exact"/>
              <w:ind w:rightChars="34" w:right="82"/>
              <w:jc w:val="right"/>
              <w:rPr>
                <w:rFonts w:eastAsia="標楷體"/>
                <w:color w:val="000000"/>
                <w:spacing w:val="-2"/>
                <w:szCs w:val="24"/>
              </w:rPr>
            </w:pPr>
            <w:r w:rsidRPr="005731DE">
              <w:rPr>
                <w:rFonts w:eastAsia="標楷體"/>
                <w:color w:val="000000"/>
                <w:spacing w:val="-2"/>
                <w:szCs w:val="24"/>
              </w:rPr>
              <w:t>-</w:t>
            </w:r>
          </w:p>
        </w:tc>
        <w:tc>
          <w:tcPr>
            <w:tcW w:w="972" w:type="dxa"/>
            <w:tcBorders>
              <w:top w:val="nil"/>
              <w:bottom w:val="nil"/>
            </w:tcBorders>
            <w:vAlign w:val="center"/>
          </w:tcPr>
          <w:p w:rsidR="005731DE" w:rsidRPr="005731DE" w:rsidRDefault="005731DE" w:rsidP="005731DE">
            <w:pPr>
              <w:spacing w:line="320" w:lineRule="exact"/>
              <w:ind w:rightChars="34" w:right="82"/>
              <w:jc w:val="right"/>
              <w:rPr>
                <w:rFonts w:eastAsia="標楷體"/>
                <w:color w:val="000000"/>
                <w:spacing w:val="-2"/>
                <w:szCs w:val="24"/>
              </w:rPr>
            </w:pPr>
          </w:p>
          <w:p w:rsidR="005731DE" w:rsidRPr="005731DE" w:rsidRDefault="005731DE" w:rsidP="005731DE">
            <w:pPr>
              <w:spacing w:line="320" w:lineRule="exact"/>
              <w:ind w:rightChars="34" w:right="82"/>
              <w:jc w:val="right"/>
              <w:rPr>
                <w:rFonts w:eastAsia="標楷體"/>
                <w:color w:val="000000"/>
                <w:spacing w:val="-2"/>
                <w:szCs w:val="24"/>
              </w:rPr>
            </w:pPr>
          </w:p>
          <w:p w:rsidR="005731DE" w:rsidRPr="005731DE" w:rsidRDefault="005731DE" w:rsidP="005731DE">
            <w:pPr>
              <w:spacing w:line="320" w:lineRule="exact"/>
              <w:ind w:rightChars="34" w:right="82"/>
              <w:jc w:val="right"/>
              <w:rPr>
                <w:rFonts w:eastAsia="標楷體"/>
                <w:color w:val="000000"/>
                <w:spacing w:val="-2"/>
                <w:szCs w:val="24"/>
              </w:rPr>
            </w:pPr>
            <w:r w:rsidRPr="005731DE">
              <w:rPr>
                <w:rFonts w:eastAsia="標楷體"/>
                <w:color w:val="000000"/>
                <w:spacing w:val="-2"/>
                <w:szCs w:val="24"/>
              </w:rPr>
              <w:t>-</w:t>
            </w:r>
          </w:p>
        </w:tc>
        <w:tc>
          <w:tcPr>
            <w:tcW w:w="960" w:type="dxa"/>
            <w:tcBorders>
              <w:top w:val="nil"/>
              <w:bottom w:val="nil"/>
              <w:right w:val="single" w:sz="12" w:space="0" w:color="auto"/>
            </w:tcBorders>
            <w:vAlign w:val="center"/>
          </w:tcPr>
          <w:p w:rsidR="005731DE" w:rsidRPr="005731DE" w:rsidRDefault="005731DE" w:rsidP="005731DE">
            <w:pPr>
              <w:spacing w:line="320" w:lineRule="exact"/>
              <w:ind w:rightChars="34" w:right="82"/>
              <w:jc w:val="right"/>
              <w:rPr>
                <w:rFonts w:eastAsia="標楷體"/>
                <w:color w:val="000000"/>
                <w:spacing w:val="-2"/>
                <w:szCs w:val="24"/>
              </w:rPr>
            </w:pPr>
          </w:p>
          <w:p w:rsidR="005731DE" w:rsidRPr="005731DE" w:rsidRDefault="005731DE" w:rsidP="005731DE">
            <w:pPr>
              <w:spacing w:line="320" w:lineRule="exact"/>
              <w:ind w:rightChars="34" w:right="82"/>
              <w:jc w:val="right"/>
              <w:rPr>
                <w:rFonts w:eastAsia="標楷體"/>
                <w:color w:val="000000"/>
                <w:spacing w:val="-2"/>
                <w:szCs w:val="24"/>
              </w:rPr>
            </w:pPr>
          </w:p>
          <w:p w:rsidR="005731DE" w:rsidRPr="005731DE" w:rsidRDefault="005731DE" w:rsidP="005731DE">
            <w:pPr>
              <w:spacing w:line="320" w:lineRule="exact"/>
              <w:ind w:rightChars="34" w:right="82"/>
              <w:jc w:val="right"/>
              <w:rPr>
                <w:rFonts w:eastAsia="標楷體"/>
                <w:color w:val="000000"/>
                <w:spacing w:val="-2"/>
                <w:szCs w:val="24"/>
              </w:rPr>
            </w:pPr>
            <w:r w:rsidRPr="005731DE">
              <w:rPr>
                <w:rFonts w:eastAsia="標楷體"/>
                <w:color w:val="000000"/>
                <w:spacing w:val="-2"/>
                <w:szCs w:val="24"/>
              </w:rPr>
              <w:t>-</w:t>
            </w:r>
          </w:p>
        </w:tc>
      </w:tr>
      <w:tr w:rsidR="005731DE" w:rsidRPr="005731DE" w:rsidTr="006569CE">
        <w:trPr>
          <w:trHeight w:val="1126"/>
        </w:trPr>
        <w:tc>
          <w:tcPr>
            <w:tcW w:w="2652" w:type="dxa"/>
            <w:tcBorders>
              <w:top w:val="nil"/>
              <w:left w:val="single" w:sz="12" w:space="0" w:color="auto"/>
              <w:bottom w:val="nil"/>
            </w:tcBorders>
          </w:tcPr>
          <w:p w:rsidR="005731DE" w:rsidRPr="005731DE" w:rsidRDefault="005731DE" w:rsidP="005731DE">
            <w:pPr>
              <w:spacing w:before="120" w:line="260" w:lineRule="exact"/>
              <w:ind w:left="708" w:hangingChars="300" w:hanging="708"/>
              <w:jc w:val="both"/>
              <w:rPr>
                <w:rFonts w:ascii="標楷體" w:eastAsia="標楷體" w:hAnsi="標楷體"/>
                <w:color w:val="000000"/>
                <w:spacing w:val="-2"/>
                <w:szCs w:val="24"/>
              </w:rPr>
            </w:pPr>
            <w:r w:rsidRPr="005731DE">
              <w:rPr>
                <w:rFonts w:ascii="標楷體" w:eastAsia="標楷體" w:hAnsi="標楷體" w:hint="eastAsia"/>
                <w:color w:val="000000"/>
                <w:spacing w:val="-2"/>
                <w:szCs w:val="24"/>
              </w:rPr>
              <w:t>（二）非營業特種基金舉借債務餘額</w:t>
            </w:r>
            <w:r w:rsidRPr="005731DE">
              <w:rPr>
                <w:rFonts w:ascii="標楷體" w:eastAsia="標楷體" w:hAnsi="標楷體"/>
                <w:color w:val="000000"/>
                <w:spacing w:val="-2"/>
                <w:szCs w:val="24"/>
              </w:rPr>
              <w:t>(</w:t>
            </w:r>
            <w:r w:rsidRPr="005731DE">
              <w:rPr>
                <w:rFonts w:ascii="標楷體" w:eastAsia="標楷體" w:hAnsi="標楷體" w:hint="eastAsia"/>
                <w:color w:val="000000"/>
                <w:spacing w:val="-2"/>
                <w:szCs w:val="24"/>
              </w:rPr>
              <w:t>自償，包括長、短期債務</w:t>
            </w:r>
            <w:r w:rsidRPr="005731DE">
              <w:rPr>
                <w:rFonts w:ascii="標楷體" w:eastAsia="標楷體" w:hAnsi="標楷體"/>
                <w:color w:val="000000"/>
                <w:spacing w:val="-2"/>
                <w:szCs w:val="24"/>
              </w:rPr>
              <w:t>)</w:t>
            </w:r>
          </w:p>
        </w:tc>
        <w:tc>
          <w:tcPr>
            <w:tcW w:w="996" w:type="dxa"/>
            <w:tcBorders>
              <w:top w:val="nil"/>
              <w:bottom w:val="nil"/>
            </w:tcBorders>
          </w:tcPr>
          <w:p w:rsidR="005731DE" w:rsidRPr="005731DE" w:rsidRDefault="005731DE" w:rsidP="006A3196">
            <w:pPr>
              <w:spacing w:before="120" w:line="280" w:lineRule="exact"/>
              <w:ind w:left="590" w:rightChars="34" w:right="82" w:hangingChars="250" w:hanging="590"/>
              <w:jc w:val="right"/>
              <w:rPr>
                <w:rFonts w:eastAsia="標楷體"/>
                <w:color w:val="000000"/>
                <w:spacing w:val="-2"/>
                <w:szCs w:val="24"/>
              </w:rPr>
            </w:pPr>
            <w:r w:rsidRPr="005731DE">
              <w:rPr>
                <w:rFonts w:eastAsia="標楷體" w:hint="eastAsia"/>
                <w:color w:val="000000"/>
                <w:spacing w:val="-2"/>
                <w:szCs w:val="24"/>
              </w:rPr>
              <w:t>4,</w:t>
            </w:r>
            <w:r w:rsidR="006A3196">
              <w:rPr>
                <w:rFonts w:eastAsia="標楷體"/>
                <w:color w:val="000000"/>
                <w:spacing w:val="-2"/>
                <w:szCs w:val="24"/>
              </w:rPr>
              <w:t>644</w:t>
            </w:r>
          </w:p>
        </w:tc>
        <w:tc>
          <w:tcPr>
            <w:tcW w:w="768" w:type="dxa"/>
            <w:tcBorders>
              <w:top w:val="nil"/>
              <w:bottom w:val="nil"/>
            </w:tcBorders>
          </w:tcPr>
          <w:p w:rsidR="005731DE" w:rsidRPr="005731DE" w:rsidRDefault="005731DE" w:rsidP="005731DE">
            <w:pPr>
              <w:spacing w:before="120" w:line="280" w:lineRule="exact"/>
              <w:ind w:left="590" w:rightChars="34" w:right="82" w:hangingChars="250" w:hanging="590"/>
              <w:jc w:val="right"/>
              <w:rPr>
                <w:rFonts w:eastAsia="標楷體"/>
                <w:color w:val="000000"/>
                <w:spacing w:val="-2"/>
                <w:szCs w:val="24"/>
              </w:rPr>
            </w:pPr>
            <w:r w:rsidRPr="005731DE">
              <w:rPr>
                <w:rFonts w:eastAsia="標楷體"/>
                <w:color w:val="000000"/>
                <w:spacing w:val="-2"/>
                <w:szCs w:val="24"/>
              </w:rPr>
              <w:t>-</w:t>
            </w:r>
          </w:p>
        </w:tc>
        <w:tc>
          <w:tcPr>
            <w:tcW w:w="984" w:type="dxa"/>
            <w:tcBorders>
              <w:top w:val="nil"/>
              <w:bottom w:val="nil"/>
            </w:tcBorders>
          </w:tcPr>
          <w:p w:rsidR="005731DE" w:rsidRPr="005731DE" w:rsidRDefault="005731DE" w:rsidP="005731DE">
            <w:pPr>
              <w:spacing w:before="120" w:line="280" w:lineRule="exact"/>
              <w:ind w:left="590" w:rightChars="34" w:right="82" w:hangingChars="250" w:hanging="590"/>
              <w:jc w:val="right"/>
              <w:rPr>
                <w:rFonts w:eastAsia="標楷體"/>
                <w:color w:val="000000"/>
                <w:spacing w:val="-2"/>
                <w:szCs w:val="24"/>
              </w:rPr>
            </w:pPr>
            <w:r w:rsidRPr="005731DE">
              <w:rPr>
                <w:rFonts w:eastAsia="標楷體"/>
                <w:color w:val="000000"/>
                <w:spacing w:val="-2"/>
                <w:szCs w:val="24"/>
              </w:rPr>
              <w:t>-</w:t>
            </w:r>
          </w:p>
        </w:tc>
        <w:tc>
          <w:tcPr>
            <w:tcW w:w="840" w:type="dxa"/>
            <w:tcBorders>
              <w:top w:val="nil"/>
              <w:bottom w:val="nil"/>
            </w:tcBorders>
          </w:tcPr>
          <w:p w:rsidR="005731DE" w:rsidRPr="005731DE" w:rsidRDefault="005731DE" w:rsidP="005731DE">
            <w:pPr>
              <w:spacing w:before="120" w:line="280" w:lineRule="exact"/>
              <w:ind w:left="590" w:rightChars="34" w:right="82" w:hangingChars="250" w:hanging="590"/>
              <w:jc w:val="right"/>
              <w:rPr>
                <w:rFonts w:eastAsia="標楷體"/>
                <w:color w:val="000000"/>
                <w:spacing w:val="-2"/>
                <w:szCs w:val="24"/>
              </w:rPr>
            </w:pPr>
            <w:r w:rsidRPr="005731DE">
              <w:rPr>
                <w:rFonts w:eastAsia="標楷體"/>
                <w:color w:val="000000"/>
                <w:spacing w:val="-2"/>
                <w:szCs w:val="24"/>
              </w:rPr>
              <w:t>-</w:t>
            </w:r>
          </w:p>
        </w:tc>
        <w:tc>
          <w:tcPr>
            <w:tcW w:w="948" w:type="dxa"/>
            <w:tcBorders>
              <w:top w:val="nil"/>
              <w:bottom w:val="nil"/>
            </w:tcBorders>
          </w:tcPr>
          <w:p w:rsidR="005731DE" w:rsidRPr="005731DE" w:rsidRDefault="005731DE" w:rsidP="006A3196">
            <w:pPr>
              <w:spacing w:before="120" w:line="280" w:lineRule="exact"/>
              <w:ind w:left="590" w:rightChars="34" w:right="82" w:hangingChars="250" w:hanging="590"/>
              <w:jc w:val="right"/>
              <w:rPr>
                <w:rFonts w:eastAsia="標楷體"/>
                <w:color w:val="000000"/>
                <w:spacing w:val="-2"/>
                <w:szCs w:val="24"/>
              </w:rPr>
            </w:pPr>
            <w:r w:rsidRPr="005731DE">
              <w:rPr>
                <w:rFonts w:eastAsia="標楷體"/>
                <w:color w:val="000000"/>
                <w:spacing w:val="-2"/>
                <w:szCs w:val="24"/>
              </w:rPr>
              <w:t>2,6</w:t>
            </w:r>
            <w:r w:rsidR="006A3196">
              <w:rPr>
                <w:rFonts w:eastAsia="標楷體"/>
                <w:color w:val="000000"/>
                <w:spacing w:val="-2"/>
                <w:szCs w:val="24"/>
              </w:rPr>
              <w:t>41</w:t>
            </w:r>
          </w:p>
        </w:tc>
        <w:tc>
          <w:tcPr>
            <w:tcW w:w="972" w:type="dxa"/>
            <w:tcBorders>
              <w:top w:val="nil"/>
              <w:bottom w:val="nil"/>
            </w:tcBorders>
          </w:tcPr>
          <w:p w:rsidR="005731DE" w:rsidRPr="005731DE" w:rsidRDefault="005731DE" w:rsidP="005731DE">
            <w:pPr>
              <w:spacing w:before="120" w:line="280" w:lineRule="exact"/>
              <w:ind w:left="590" w:rightChars="34" w:right="82" w:hangingChars="250" w:hanging="590"/>
              <w:jc w:val="right"/>
              <w:rPr>
                <w:rFonts w:eastAsia="標楷體"/>
                <w:color w:val="000000"/>
                <w:spacing w:val="-2"/>
                <w:szCs w:val="24"/>
              </w:rPr>
            </w:pPr>
            <w:r w:rsidRPr="005731DE">
              <w:rPr>
                <w:rFonts w:eastAsia="標楷體"/>
                <w:color w:val="000000"/>
                <w:spacing w:val="-2"/>
                <w:szCs w:val="24"/>
              </w:rPr>
              <w:t>-</w:t>
            </w:r>
          </w:p>
        </w:tc>
        <w:tc>
          <w:tcPr>
            <w:tcW w:w="960" w:type="dxa"/>
            <w:tcBorders>
              <w:top w:val="nil"/>
              <w:bottom w:val="nil"/>
              <w:right w:val="single" w:sz="12" w:space="0" w:color="auto"/>
            </w:tcBorders>
          </w:tcPr>
          <w:p w:rsidR="005731DE" w:rsidRPr="005731DE" w:rsidRDefault="005731DE" w:rsidP="006A3196">
            <w:pPr>
              <w:spacing w:before="120" w:line="280" w:lineRule="exact"/>
              <w:ind w:left="590" w:rightChars="34" w:right="82" w:hangingChars="250" w:hanging="590"/>
              <w:jc w:val="right"/>
              <w:rPr>
                <w:rFonts w:eastAsia="標楷體"/>
                <w:color w:val="000000"/>
                <w:spacing w:val="-2"/>
                <w:szCs w:val="24"/>
              </w:rPr>
            </w:pPr>
            <w:r w:rsidRPr="005731DE">
              <w:rPr>
                <w:rFonts w:eastAsia="標楷體"/>
                <w:color w:val="000000"/>
                <w:spacing w:val="-2"/>
                <w:szCs w:val="24"/>
              </w:rPr>
              <w:t>2,</w:t>
            </w:r>
            <w:r w:rsidR="006A3196">
              <w:rPr>
                <w:rFonts w:eastAsia="標楷體"/>
                <w:color w:val="000000"/>
                <w:spacing w:val="-2"/>
                <w:szCs w:val="24"/>
              </w:rPr>
              <w:t>003</w:t>
            </w:r>
          </w:p>
        </w:tc>
      </w:tr>
      <w:tr w:rsidR="005731DE" w:rsidRPr="005731DE" w:rsidTr="006569CE">
        <w:trPr>
          <w:trHeight w:val="418"/>
        </w:trPr>
        <w:tc>
          <w:tcPr>
            <w:tcW w:w="2652" w:type="dxa"/>
            <w:tcBorders>
              <w:top w:val="nil"/>
              <w:left w:val="single" w:sz="12" w:space="0" w:color="auto"/>
              <w:bottom w:val="single" w:sz="12" w:space="0" w:color="auto"/>
            </w:tcBorders>
            <w:vAlign w:val="center"/>
          </w:tcPr>
          <w:p w:rsidR="005731DE" w:rsidRPr="005731DE" w:rsidRDefault="005731DE" w:rsidP="005731DE">
            <w:pPr>
              <w:spacing w:line="280" w:lineRule="exact"/>
              <w:ind w:rightChars="34" w:right="82"/>
              <w:jc w:val="center"/>
              <w:rPr>
                <w:rFonts w:ascii="標楷體" w:eastAsia="標楷體" w:hAnsi="標楷體"/>
                <w:color w:val="000000"/>
                <w:spacing w:val="-2"/>
                <w:szCs w:val="24"/>
              </w:rPr>
            </w:pPr>
            <w:r w:rsidRPr="005731DE">
              <w:rPr>
                <w:rFonts w:ascii="標楷體" w:eastAsia="標楷體" w:hAnsi="標楷體" w:hint="eastAsia"/>
                <w:color w:val="000000"/>
                <w:spacing w:val="-2"/>
                <w:szCs w:val="24"/>
              </w:rPr>
              <w:t>合</w:t>
            </w:r>
            <w:r w:rsidRPr="005731DE">
              <w:rPr>
                <w:rFonts w:ascii="標楷體" w:eastAsia="標楷體" w:hAnsi="標楷體"/>
                <w:color w:val="000000"/>
                <w:spacing w:val="-2"/>
                <w:szCs w:val="24"/>
              </w:rPr>
              <w:t xml:space="preserve">     </w:t>
            </w:r>
            <w:r w:rsidRPr="005731DE">
              <w:rPr>
                <w:rFonts w:ascii="標楷體" w:eastAsia="標楷體" w:hAnsi="標楷體" w:hint="eastAsia"/>
                <w:color w:val="000000"/>
                <w:spacing w:val="-2"/>
                <w:szCs w:val="24"/>
              </w:rPr>
              <w:t>計</w:t>
            </w:r>
          </w:p>
        </w:tc>
        <w:tc>
          <w:tcPr>
            <w:tcW w:w="996" w:type="dxa"/>
            <w:tcBorders>
              <w:top w:val="nil"/>
              <w:bottom w:val="single" w:sz="12" w:space="0" w:color="auto"/>
            </w:tcBorders>
            <w:vAlign w:val="center"/>
          </w:tcPr>
          <w:p w:rsidR="005731DE" w:rsidRPr="005731DE" w:rsidRDefault="005731DE" w:rsidP="006A3196">
            <w:pPr>
              <w:spacing w:line="280" w:lineRule="exact"/>
              <w:ind w:rightChars="34" w:right="82"/>
              <w:jc w:val="right"/>
              <w:rPr>
                <w:rFonts w:eastAsia="標楷體"/>
                <w:color w:val="000000"/>
                <w:spacing w:val="-2"/>
                <w:szCs w:val="24"/>
              </w:rPr>
            </w:pPr>
            <w:r w:rsidRPr="005731DE">
              <w:rPr>
                <w:rFonts w:eastAsia="標楷體"/>
                <w:color w:val="000000"/>
                <w:spacing w:val="-2"/>
                <w:szCs w:val="24"/>
              </w:rPr>
              <w:t>5</w:t>
            </w:r>
            <w:r w:rsidR="006A3196">
              <w:rPr>
                <w:rFonts w:eastAsia="標楷體"/>
                <w:color w:val="000000"/>
                <w:spacing w:val="-2"/>
                <w:szCs w:val="24"/>
              </w:rPr>
              <w:t>8</w:t>
            </w:r>
            <w:r w:rsidRPr="005731DE">
              <w:rPr>
                <w:rFonts w:eastAsia="標楷體"/>
                <w:color w:val="000000"/>
                <w:spacing w:val="-2"/>
                <w:szCs w:val="24"/>
              </w:rPr>
              <w:t>,</w:t>
            </w:r>
            <w:r w:rsidR="006A3196">
              <w:rPr>
                <w:rFonts w:eastAsia="標楷體"/>
                <w:color w:val="000000"/>
                <w:spacing w:val="-2"/>
                <w:szCs w:val="24"/>
              </w:rPr>
              <w:t>682</w:t>
            </w:r>
          </w:p>
        </w:tc>
        <w:tc>
          <w:tcPr>
            <w:tcW w:w="768" w:type="dxa"/>
            <w:tcBorders>
              <w:top w:val="nil"/>
              <w:bottom w:val="single" w:sz="12" w:space="0" w:color="auto"/>
            </w:tcBorders>
            <w:vAlign w:val="center"/>
          </w:tcPr>
          <w:p w:rsidR="005731DE" w:rsidRPr="005731DE" w:rsidRDefault="005731DE" w:rsidP="005731DE">
            <w:pPr>
              <w:spacing w:line="280" w:lineRule="exact"/>
              <w:ind w:rightChars="34" w:right="82"/>
              <w:jc w:val="right"/>
              <w:rPr>
                <w:rFonts w:eastAsia="標楷體"/>
                <w:color w:val="000000"/>
                <w:spacing w:val="-2"/>
                <w:szCs w:val="24"/>
              </w:rPr>
            </w:pPr>
            <w:r w:rsidRPr="005731DE">
              <w:rPr>
                <w:rFonts w:eastAsia="標楷體"/>
                <w:color w:val="000000"/>
                <w:spacing w:val="-2"/>
                <w:szCs w:val="24"/>
              </w:rPr>
              <w:t>-</w:t>
            </w:r>
          </w:p>
        </w:tc>
        <w:tc>
          <w:tcPr>
            <w:tcW w:w="984" w:type="dxa"/>
            <w:tcBorders>
              <w:top w:val="nil"/>
              <w:bottom w:val="single" w:sz="12" w:space="0" w:color="auto"/>
            </w:tcBorders>
            <w:vAlign w:val="center"/>
          </w:tcPr>
          <w:p w:rsidR="005731DE" w:rsidRPr="005731DE" w:rsidRDefault="005731DE" w:rsidP="006A3196">
            <w:pPr>
              <w:spacing w:line="280" w:lineRule="exact"/>
              <w:ind w:rightChars="34" w:right="82"/>
              <w:jc w:val="right"/>
              <w:rPr>
                <w:rFonts w:eastAsia="標楷體"/>
                <w:color w:val="000000"/>
                <w:spacing w:val="-2"/>
                <w:szCs w:val="24"/>
              </w:rPr>
            </w:pPr>
            <w:r w:rsidRPr="005731DE">
              <w:rPr>
                <w:rFonts w:eastAsia="標楷體"/>
                <w:color w:val="000000"/>
                <w:spacing w:val="-2"/>
                <w:szCs w:val="24"/>
              </w:rPr>
              <w:t>53,</w:t>
            </w:r>
            <w:r w:rsidR="006A3196">
              <w:rPr>
                <w:rFonts w:eastAsia="標楷體"/>
                <w:color w:val="000000"/>
                <w:spacing w:val="-2"/>
                <w:szCs w:val="24"/>
              </w:rPr>
              <w:t>608</w:t>
            </w:r>
          </w:p>
        </w:tc>
        <w:tc>
          <w:tcPr>
            <w:tcW w:w="840" w:type="dxa"/>
            <w:tcBorders>
              <w:top w:val="nil"/>
              <w:bottom w:val="single" w:sz="12" w:space="0" w:color="auto"/>
            </w:tcBorders>
            <w:vAlign w:val="center"/>
          </w:tcPr>
          <w:p w:rsidR="005731DE" w:rsidRPr="005731DE" w:rsidRDefault="005731DE" w:rsidP="005731DE">
            <w:pPr>
              <w:spacing w:line="280" w:lineRule="exact"/>
              <w:ind w:rightChars="34" w:right="82"/>
              <w:jc w:val="right"/>
              <w:rPr>
                <w:rFonts w:eastAsia="標楷體"/>
                <w:color w:val="000000"/>
                <w:spacing w:val="-2"/>
                <w:szCs w:val="24"/>
              </w:rPr>
            </w:pPr>
            <w:r w:rsidRPr="005731DE">
              <w:rPr>
                <w:rFonts w:eastAsia="標楷體"/>
                <w:color w:val="000000"/>
                <w:spacing w:val="-2"/>
                <w:szCs w:val="24"/>
              </w:rPr>
              <w:t>4</w:t>
            </w:r>
            <w:r w:rsidRPr="005731DE">
              <w:rPr>
                <w:rFonts w:eastAsia="標楷體" w:hint="eastAsia"/>
                <w:color w:val="000000"/>
                <w:spacing w:val="-2"/>
                <w:szCs w:val="24"/>
              </w:rPr>
              <w:t>3</w:t>
            </w:r>
            <w:r w:rsidRPr="005731DE">
              <w:rPr>
                <w:rFonts w:eastAsia="標楷體"/>
                <w:color w:val="000000"/>
                <w:spacing w:val="-2"/>
                <w:szCs w:val="24"/>
              </w:rPr>
              <w:t>0</w:t>
            </w:r>
          </w:p>
        </w:tc>
        <w:tc>
          <w:tcPr>
            <w:tcW w:w="948" w:type="dxa"/>
            <w:tcBorders>
              <w:top w:val="nil"/>
              <w:bottom w:val="single" w:sz="12" w:space="0" w:color="auto"/>
            </w:tcBorders>
            <w:vAlign w:val="center"/>
          </w:tcPr>
          <w:p w:rsidR="005731DE" w:rsidRPr="005731DE" w:rsidRDefault="005731DE" w:rsidP="006A3196">
            <w:pPr>
              <w:spacing w:line="280" w:lineRule="exact"/>
              <w:ind w:rightChars="34" w:right="82"/>
              <w:jc w:val="right"/>
              <w:rPr>
                <w:rFonts w:eastAsia="標楷體"/>
                <w:color w:val="000000"/>
                <w:spacing w:val="-2"/>
                <w:szCs w:val="24"/>
              </w:rPr>
            </w:pPr>
            <w:r w:rsidRPr="005731DE">
              <w:rPr>
                <w:rFonts w:eastAsia="標楷體"/>
                <w:color w:val="000000"/>
                <w:spacing w:val="-2"/>
                <w:szCs w:val="24"/>
              </w:rPr>
              <w:t>2,6</w:t>
            </w:r>
            <w:r w:rsidR="006A3196">
              <w:rPr>
                <w:rFonts w:eastAsia="標楷體"/>
                <w:color w:val="000000"/>
                <w:spacing w:val="-2"/>
                <w:szCs w:val="24"/>
              </w:rPr>
              <w:t>41</w:t>
            </w:r>
          </w:p>
        </w:tc>
        <w:tc>
          <w:tcPr>
            <w:tcW w:w="972" w:type="dxa"/>
            <w:tcBorders>
              <w:top w:val="nil"/>
              <w:bottom w:val="single" w:sz="12" w:space="0" w:color="auto"/>
            </w:tcBorders>
            <w:vAlign w:val="center"/>
          </w:tcPr>
          <w:p w:rsidR="005731DE" w:rsidRPr="005731DE" w:rsidRDefault="005731DE" w:rsidP="005731DE">
            <w:pPr>
              <w:spacing w:line="280" w:lineRule="exact"/>
              <w:ind w:rightChars="34" w:right="82"/>
              <w:jc w:val="right"/>
              <w:rPr>
                <w:rFonts w:eastAsia="標楷體"/>
                <w:color w:val="000000"/>
                <w:spacing w:val="-2"/>
                <w:szCs w:val="24"/>
              </w:rPr>
            </w:pPr>
            <w:r w:rsidRPr="005731DE">
              <w:rPr>
                <w:rFonts w:eastAsia="標楷體"/>
                <w:color w:val="000000"/>
                <w:spacing w:val="-2"/>
                <w:szCs w:val="24"/>
              </w:rPr>
              <w:t>-</w:t>
            </w:r>
          </w:p>
        </w:tc>
        <w:tc>
          <w:tcPr>
            <w:tcW w:w="960" w:type="dxa"/>
            <w:tcBorders>
              <w:top w:val="nil"/>
              <w:bottom w:val="single" w:sz="12" w:space="0" w:color="auto"/>
              <w:right w:val="single" w:sz="12" w:space="0" w:color="auto"/>
            </w:tcBorders>
            <w:vAlign w:val="center"/>
          </w:tcPr>
          <w:p w:rsidR="005731DE" w:rsidRPr="005731DE" w:rsidRDefault="005731DE" w:rsidP="006A3196">
            <w:pPr>
              <w:spacing w:line="280" w:lineRule="exact"/>
              <w:ind w:rightChars="34" w:right="82"/>
              <w:jc w:val="right"/>
              <w:rPr>
                <w:rFonts w:eastAsia="標楷體"/>
                <w:color w:val="000000"/>
                <w:spacing w:val="-2"/>
                <w:szCs w:val="24"/>
              </w:rPr>
            </w:pPr>
            <w:r w:rsidRPr="005731DE">
              <w:rPr>
                <w:rFonts w:eastAsia="標楷體"/>
                <w:color w:val="000000"/>
                <w:spacing w:val="-2"/>
                <w:szCs w:val="24"/>
              </w:rPr>
              <w:t>2,</w:t>
            </w:r>
            <w:r w:rsidR="006A3196">
              <w:rPr>
                <w:rFonts w:eastAsia="標楷體"/>
                <w:color w:val="000000"/>
                <w:spacing w:val="-2"/>
                <w:szCs w:val="24"/>
              </w:rPr>
              <w:t>003</w:t>
            </w:r>
          </w:p>
        </w:tc>
      </w:tr>
    </w:tbl>
    <w:p w:rsidR="0091579C" w:rsidRPr="00E520D4" w:rsidRDefault="0091579C" w:rsidP="0091579C">
      <w:pPr>
        <w:pStyle w:val="5"/>
        <w:spacing w:line="480" w:lineRule="exact"/>
        <w:ind w:left="0" w:firstLine="567"/>
        <w:rPr>
          <w:rFonts w:eastAsia="標楷體" w:hAnsi="標楷體"/>
          <w:color w:val="000000"/>
          <w:sz w:val="28"/>
          <w:szCs w:val="28"/>
        </w:rPr>
      </w:pPr>
      <w:r w:rsidRPr="00E520D4">
        <w:rPr>
          <w:rFonts w:ascii="標楷體" w:eastAsia="標楷體" w:hAnsi="標楷體" w:hint="eastAsia"/>
          <w:color w:val="000000"/>
          <w:sz w:val="28"/>
          <w:szCs w:val="28"/>
        </w:rPr>
        <w:t>由於公共債務之統計，係國際間用以評估政府運作情形之量化指標，其計算上一向謹守明確規範，以利國際間比較基礎之一致性。又依據國際貨幣基金於其2014年政府財政統計手冊定義，政府債務不包括公營事業負債、社會保險給付義務等在內，政府保證及或有負債亦不計入政府債務，僅於財務報表附註揭露。茲</w:t>
      </w:r>
      <w:proofErr w:type="gramStart"/>
      <w:r w:rsidRPr="00E520D4">
        <w:rPr>
          <w:rFonts w:ascii="標楷體" w:eastAsia="標楷體" w:hAnsi="標楷體" w:hint="eastAsia"/>
          <w:color w:val="000000"/>
          <w:sz w:val="28"/>
          <w:szCs w:val="28"/>
        </w:rPr>
        <w:t>鑑</w:t>
      </w:r>
      <w:proofErr w:type="gramEnd"/>
      <w:r w:rsidRPr="00E520D4">
        <w:rPr>
          <w:rFonts w:ascii="標楷體" w:eastAsia="標楷體" w:hAnsi="標楷體" w:hint="eastAsia"/>
          <w:color w:val="000000"/>
          <w:sz w:val="28"/>
          <w:szCs w:val="28"/>
        </w:rPr>
        <w:t>於政府不列入公共債務法債限規範之未來或有給付責任深受各界關注，</w:t>
      </w:r>
      <w:proofErr w:type="gramStart"/>
      <w:r w:rsidRPr="00E520D4">
        <w:rPr>
          <w:rFonts w:ascii="標楷體" w:eastAsia="標楷體" w:hAnsi="標楷體" w:hint="eastAsia"/>
          <w:color w:val="000000"/>
          <w:sz w:val="28"/>
          <w:szCs w:val="28"/>
        </w:rPr>
        <w:t>爰</w:t>
      </w:r>
      <w:proofErr w:type="gramEnd"/>
      <w:r w:rsidRPr="00E520D4">
        <w:rPr>
          <w:rFonts w:ascii="標楷體" w:eastAsia="標楷體" w:hAnsi="標楷體" w:hint="eastAsia"/>
          <w:color w:val="000000"/>
          <w:sz w:val="28"/>
          <w:szCs w:val="28"/>
        </w:rPr>
        <w:t>自98年度起於中央政府總決算總說明揭露前開各界關注事項，復以總決算總說明係揭露政府整體重要資訊，</w:t>
      </w:r>
      <w:proofErr w:type="gramStart"/>
      <w:r w:rsidRPr="00E520D4">
        <w:rPr>
          <w:rFonts w:ascii="標楷體" w:eastAsia="標楷體" w:hAnsi="標楷體" w:hint="eastAsia"/>
          <w:color w:val="000000"/>
          <w:sz w:val="28"/>
          <w:szCs w:val="28"/>
        </w:rPr>
        <w:t>故倘</w:t>
      </w:r>
      <w:r w:rsidRPr="00E520D4">
        <w:rPr>
          <w:rFonts w:eastAsia="標楷體" w:hAnsi="標楷體" w:hint="eastAsia"/>
          <w:color w:val="000000"/>
          <w:sz w:val="28"/>
          <w:szCs w:val="28"/>
        </w:rPr>
        <w:t>屬政府</w:t>
      </w:r>
      <w:proofErr w:type="gramEnd"/>
      <w:r w:rsidRPr="00E520D4">
        <w:rPr>
          <w:rFonts w:eastAsia="標楷體" w:hAnsi="標楷體" w:hint="eastAsia"/>
          <w:color w:val="000000"/>
          <w:sz w:val="28"/>
          <w:szCs w:val="28"/>
        </w:rPr>
        <w:t>未來將支付大額支出或潛在可能產生重大財務負擔等應列入總決算總說明中揭露，其餘則應於單位決算及主管決算中表達。</w:t>
      </w:r>
    </w:p>
    <w:p w:rsidR="0091579C" w:rsidRPr="00E520D4" w:rsidRDefault="0091579C" w:rsidP="0091579C">
      <w:pPr>
        <w:pStyle w:val="5"/>
        <w:spacing w:line="480" w:lineRule="exact"/>
        <w:ind w:left="0" w:firstLine="567"/>
        <w:rPr>
          <w:rFonts w:ascii="標楷體" w:eastAsia="標楷體" w:hAnsi="標楷體"/>
          <w:color w:val="000000"/>
          <w:sz w:val="28"/>
          <w:szCs w:val="28"/>
        </w:rPr>
      </w:pPr>
      <w:r w:rsidRPr="00E520D4">
        <w:rPr>
          <w:rFonts w:ascii="標楷體" w:eastAsia="標楷體" w:hAnsi="標楷體" w:hint="eastAsia"/>
          <w:color w:val="000000"/>
          <w:sz w:val="28"/>
          <w:szCs w:val="28"/>
        </w:rPr>
        <w:t>本年度經彙整相關權責機關提報精（估）算等資料，預估中央政府未來</w:t>
      </w:r>
      <w:r w:rsidRPr="00E520D4">
        <w:rPr>
          <w:rFonts w:ascii="標楷體" w:eastAsia="標楷體" w:hAnsi="標楷體" w:hint="eastAsia"/>
          <w:color w:val="000000"/>
          <w:sz w:val="28"/>
          <w:szCs w:val="28"/>
        </w:rPr>
        <w:lastRenderedPageBreak/>
        <w:t>或有給付責任約為</w:t>
      </w:r>
      <w:r w:rsidRPr="0096546A">
        <w:rPr>
          <w:rFonts w:ascii="標楷體" w:eastAsia="標楷體" w:hAnsi="標楷體" w:hint="eastAsia"/>
          <w:sz w:val="28"/>
          <w:szCs w:val="28"/>
        </w:rPr>
        <w:t>14兆</w:t>
      </w:r>
      <w:r>
        <w:rPr>
          <w:rFonts w:ascii="標楷體" w:eastAsia="標楷體" w:hAnsi="標楷體" w:hint="eastAsia"/>
          <w:sz w:val="28"/>
          <w:szCs w:val="28"/>
        </w:rPr>
        <w:t>3,668</w:t>
      </w:r>
      <w:r w:rsidRPr="0096546A">
        <w:rPr>
          <w:rFonts w:ascii="標楷體" w:eastAsia="標楷體" w:hAnsi="標楷體" w:hint="eastAsia"/>
          <w:sz w:val="28"/>
          <w:szCs w:val="28"/>
        </w:rPr>
        <w:t>億元（另地方政府為</w:t>
      </w:r>
      <w:r>
        <w:rPr>
          <w:rFonts w:ascii="標楷體" w:eastAsia="標楷體" w:hAnsi="標楷體" w:hint="eastAsia"/>
          <w:sz w:val="28"/>
          <w:szCs w:val="28"/>
        </w:rPr>
        <w:t>2</w:t>
      </w:r>
      <w:r w:rsidRPr="0096546A">
        <w:rPr>
          <w:rFonts w:ascii="標楷體" w:eastAsia="標楷體" w:hAnsi="標楷體" w:hint="eastAsia"/>
          <w:sz w:val="28"/>
          <w:szCs w:val="28"/>
        </w:rPr>
        <w:t>兆7,</w:t>
      </w:r>
      <w:r>
        <w:rPr>
          <w:rFonts w:ascii="標楷體" w:eastAsia="標楷體" w:hAnsi="標楷體" w:hint="eastAsia"/>
          <w:sz w:val="28"/>
          <w:szCs w:val="28"/>
        </w:rPr>
        <w:t>832</w:t>
      </w:r>
      <w:r w:rsidRPr="0096546A">
        <w:rPr>
          <w:rFonts w:ascii="標楷體" w:eastAsia="標楷體" w:hAnsi="標楷體" w:hint="eastAsia"/>
          <w:sz w:val="28"/>
          <w:szCs w:val="28"/>
        </w:rPr>
        <w:t>億元）</w:t>
      </w:r>
      <w:r w:rsidRPr="00E520D4">
        <w:rPr>
          <w:rFonts w:ascii="標楷體" w:eastAsia="標楷體" w:hAnsi="標楷體" w:hint="eastAsia"/>
          <w:color w:val="000000"/>
          <w:sz w:val="28"/>
          <w:szCs w:val="28"/>
        </w:rPr>
        <w:t>。</w:t>
      </w:r>
    </w:p>
    <w:p w:rsidR="0091579C" w:rsidRPr="00E520D4" w:rsidRDefault="0091579C" w:rsidP="0091579C">
      <w:pPr>
        <w:pStyle w:val="14"/>
        <w:spacing w:beforeLines="30" w:before="72" w:line="500" w:lineRule="exact"/>
        <w:ind w:left="264" w:hangingChars="88" w:hanging="264"/>
        <w:jc w:val="center"/>
        <w:rPr>
          <w:rFonts w:hAnsi="標楷體"/>
          <w:color w:val="000000"/>
          <w:sz w:val="30"/>
          <w:szCs w:val="30"/>
        </w:rPr>
      </w:pPr>
      <w:r w:rsidRPr="00E520D4">
        <w:rPr>
          <w:rFonts w:hAnsi="標楷體" w:hint="eastAsia"/>
          <w:color w:val="000000"/>
          <w:sz w:val="30"/>
          <w:szCs w:val="30"/>
        </w:rPr>
        <w:t>中央及地方政府預估未來或有給付責任增減情形表</w:t>
      </w:r>
    </w:p>
    <w:p w:rsidR="0091579C" w:rsidRPr="00E520D4" w:rsidRDefault="00C26D72" w:rsidP="00C26D72">
      <w:pPr>
        <w:pStyle w:val="14"/>
        <w:wordWrap w:val="0"/>
        <w:spacing w:line="240" w:lineRule="exact"/>
        <w:ind w:left="119" w:right="40" w:firstLineChars="200" w:firstLine="400"/>
        <w:jc w:val="right"/>
        <w:rPr>
          <w:rFonts w:hAnsi="標楷體"/>
          <w:color w:val="000000"/>
          <w:sz w:val="20"/>
        </w:rPr>
      </w:pPr>
      <w:r>
        <w:rPr>
          <w:rFonts w:hAnsi="標楷體" w:hint="eastAsia"/>
          <w:color w:val="000000"/>
          <w:sz w:val="20"/>
        </w:rPr>
        <w:t xml:space="preserve">  </w:t>
      </w:r>
      <w:r w:rsidR="0091579C" w:rsidRPr="00E520D4">
        <w:rPr>
          <w:rFonts w:hAnsi="標楷體" w:hint="eastAsia"/>
          <w:color w:val="000000"/>
          <w:sz w:val="20"/>
        </w:rPr>
        <w:t>單位：新臺幣億元</w:t>
      </w:r>
    </w:p>
    <w:tbl>
      <w:tblPr>
        <w:tblW w:w="9613" w:type="dxa"/>
        <w:jc w:val="center"/>
        <w:tblLayout w:type="fixed"/>
        <w:tblCellMar>
          <w:left w:w="28" w:type="dxa"/>
          <w:right w:w="28" w:type="dxa"/>
        </w:tblCellMar>
        <w:tblLook w:val="0000" w:firstRow="0" w:lastRow="0" w:firstColumn="0" w:lastColumn="0" w:noHBand="0" w:noVBand="0"/>
      </w:tblPr>
      <w:tblGrid>
        <w:gridCol w:w="1418"/>
        <w:gridCol w:w="731"/>
        <w:gridCol w:w="728"/>
        <w:gridCol w:w="625"/>
        <w:gridCol w:w="728"/>
        <w:gridCol w:w="728"/>
        <w:gridCol w:w="625"/>
        <w:gridCol w:w="728"/>
        <w:gridCol w:w="617"/>
        <w:gridCol w:w="618"/>
        <w:gridCol w:w="2067"/>
      </w:tblGrid>
      <w:tr w:rsidR="0091579C" w:rsidRPr="00E520D4" w:rsidTr="00C0283A">
        <w:trPr>
          <w:trHeight w:val="442"/>
          <w:tblHeader/>
          <w:jc w:val="center"/>
        </w:trPr>
        <w:tc>
          <w:tcPr>
            <w:tcW w:w="1418" w:type="dxa"/>
            <w:vMerge w:val="restart"/>
            <w:tcBorders>
              <w:top w:val="single" w:sz="12" w:space="0" w:color="auto"/>
              <w:left w:val="single" w:sz="12" w:space="0" w:color="auto"/>
              <w:right w:val="single" w:sz="4" w:space="0" w:color="000000"/>
            </w:tcBorders>
            <w:vAlign w:val="center"/>
          </w:tcPr>
          <w:p w:rsidR="0091579C" w:rsidRPr="00E520D4" w:rsidRDefault="0091579C" w:rsidP="0091579C">
            <w:pPr>
              <w:widowControl/>
              <w:spacing w:line="240" w:lineRule="exact"/>
              <w:jc w:val="center"/>
              <w:rPr>
                <w:rFonts w:ascii="標楷體" w:eastAsia="標楷體" w:hAnsi="標楷體" w:cs="Arial"/>
                <w:color w:val="000000"/>
                <w:spacing w:val="-2"/>
                <w:sz w:val="18"/>
                <w:szCs w:val="18"/>
              </w:rPr>
            </w:pPr>
            <w:r>
              <w:rPr>
                <w:rFonts w:ascii="標楷體" w:eastAsia="標楷體" w:hAnsi="標楷體" w:cs="Arial" w:hint="eastAsia"/>
                <w:color w:val="000000"/>
                <w:spacing w:val="-2"/>
                <w:sz w:val="18"/>
                <w:szCs w:val="18"/>
              </w:rPr>
              <w:t>項    目</w:t>
            </w:r>
          </w:p>
        </w:tc>
        <w:tc>
          <w:tcPr>
            <w:tcW w:w="2084" w:type="dxa"/>
            <w:gridSpan w:val="3"/>
            <w:tcBorders>
              <w:top w:val="single" w:sz="12" w:space="0" w:color="auto"/>
              <w:left w:val="nil"/>
              <w:bottom w:val="single" w:sz="4" w:space="0" w:color="auto"/>
              <w:right w:val="single" w:sz="4" w:space="0" w:color="auto"/>
            </w:tcBorders>
            <w:vAlign w:val="center"/>
          </w:tcPr>
          <w:p w:rsidR="0091579C" w:rsidRDefault="0091579C" w:rsidP="0091579C">
            <w:pPr>
              <w:spacing w:line="240" w:lineRule="exact"/>
              <w:jc w:val="center"/>
              <w:rPr>
                <w:rFonts w:ascii="標楷體" w:eastAsia="標楷體" w:hAnsi="標楷體" w:cs="Arial"/>
                <w:color w:val="000000"/>
                <w:sz w:val="18"/>
                <w:szCs w:val="18"/>
              </w:rPr>
            </w:pPr>
            <w:proofErr w:type="gramStart"/>
            <w:r>
              <w:rPr>
                <w:rFonts w:ascii="標楷體" w:eastAsia="標楷體" w:hAnsi="標楷體" w:cs="Arial" w:hint="eastAsia"/>
                <w:color w:val="000000"/>
                <w:sz w:val="18"/>
                <w:szCs w:val="18"/>
              </w:rPr>
              <w:t>106</w:t>
            </w:r>
            <w:proofErr w:type="gramEnd"/>
            <w:r>
              <w:rPr>
                <w:rFonts w:ascii="標楷體" w:eastAsia="標楷體" w:hAnsi="標楷體" w:cs="Arial" w:hint="eastAsia"/>
                <w:color w:val="000000"/>
                <w:sz w:val="18"/>
                <w:szCs w:val="18"/>
              </w:rPr>
              <w:t>年度</w:t>
            </w:r>
          </w:p>
        </w:tc>
        <w:tc>
          <w:tcPr>
            <w:tcW w:w="2081" w:type="dxa"/>
            <w:gridSpan w:val="3"/>
            <w:tcBorders>
              <w:top w:val="single" w:sz="12" w:space="0" w:color="auto"/>
              <w:left w:val="nil"/>
              <w:bottom w:val="single" w:sz="4" w:space="0" w:color="auto"/>
              <w:right w:val="single" w:sz="4" w:space="0" w:color="auto"/>
            </w:tcBorders>
            <w:vAlign w:val="center"/>
          </w:tcPr>
          <w:p w:rsidR="0091579C" w:rsidRPr="00E520D4" w:rsidRDefault="0091579C" w:rsidP="0091579C">
            <w:pPr>
              <w:spacing w:line="240" w:lineRule="exact"/>
              <w:jc w:val="center"/>
              <w:rPr>
                <w:rFonts w:ascii="標楷體" w:eastAsia="標楷體" w:hAnsi="標楷體" w:cs="Arial"/>
                <w:color w:val="000000"/>
                <w:sz w:val="18"/>
                <w:szCs w:val="18"/>
              </w:rPr>
            </w:pPr>
            <w:proofErr w:type="gramStart"/>
            <w:r>
              <w:rPr>
                <w:rFonts w:ascii="標楷體" w:eastAsia="標楷體" w:hAnsi="標楷體" w:cs="Arial" w:hint="eastAsia"/>
                <w:color w:val="000000"/>
                <w:sz w:val="18"/>
                <w:szCs w:val="18"/>
              </w:rPr>
              <w:t>105</w:t>
            </w:r>
            <w:proofErr w:type="gramEnd"/>
            <w:r>
              <w:rPr>
                <w:rFonts w:ascii="標楷體" w:eastAsia="標楷體" w:hAnsi="標楷體" w:cs="Arial" w:hint="eastAsia"/>
                <w:color w:val="000000"/>
                <w:sz w:val="18"/>
                <w:szCs w:val="18"/>
              </w:rPr>
              <w:t>年度</w:t>
            </w:r>
          </w:p>
        </w:tc>
        <w:tc>
          <w:tcPr>
            <w:tcW w:w="1963" w:type="dxa"/>
            <w:gridSpan w:val="3"/>
            <w:tcBorders>
              <w:top w:val="single" w:sz="12" w:space="0" w:color="auto"/>
              <w:left w:val="nil"/>
              <w:bottom w:val="single" w:sz="4" w:space="0" w:color="auto"/>
              <w:right w:val="single" w:sz="4" w:space="0" w:color="auto"/>
            </w:tcBorders>
            <w:vAlign w:val="center"/>
          </w:tcPr>
          <w:p w:rsidR="0091579C" w:rsidRDefault="0091579C" w:rsidP="0091579C">
            <w:pPr>
              <w:spacing w:line="240" w:lineRule="exact"/>
              <w:jc w:val="center"/>
              <w:rPr>
                <w:rFonts w:ascii="標楷體" w:eastAsia="標楷體" w:hAnsi="標楷體" w:cs="Arial"/>
                <w:color w:val="000000"/>
                <w:sz w:val="18"/>
                <w:szCs w:val="18"/>
              </w:rPr>
            </w:pPr>
            <w:r>
              <w:rPr>
                <w:rFonts w:ascii="標楷體" w:eastAsia="標楷體" w:hAnsi="標楷體" w:cs="Arial" w:hint="eastAsia"/>
                <w:color w:val="000000"/>
                <w:sz w:val="18"/>
                <w:szCs w:val="18"/>
              </w:rPr>
              <w:t>106較</w:t>
            </w:r>
            <w:proofErr w:type="gramStart"/>
            <w:r>
              <w:rPr>
                <w:rFonts w:ascii="標楷體" w:eastAsia="標楷體" w:hAnsi="標楷體" w:cs="Arial" w:hint="eastAsia"/>
                <w:color w:val="000000"/>
                <w:sz w:val="18"/>
                <w:szCs w:val="18"/>
              </w:rPr>
              <w:t>105</w:t>
            </w:r>
            <w:proofErr w:type="gramEnd"/>
            <w:r>
              <w:rPr>
                <w:rFonts w:ascii="標楷體" w:eastAsia="標楷體" w:hAnsi="標楷體" w:cs="Arial" w:hint="eastAsia"/>
                <w:color w:val="000000"/>
                <w:sz w:val="18"/>
                <w:szCs w:val="18"/>
              </w:rPr>
              <w:t>年度之</w:t>
            </w:r>
          </w:p>
          <w:p w:rsidR="0091579C" w:rsidRDefault="0091579C" w:rsidP="0091579C">
            <w:pPr>
              <w:spacing w:line="240" w:lineRule="exact"/>
              <w:jc w:val="center"/>
              <w:rPr>
                <w:rFonts w:ascii="標楷體" w:eastAsia="標楷體" w:hAnsi="標楷體" w:cs="Arial"/>
                <w:color w:val="000000"/>
                <w:sz w:val="18"/>
                <w:szCs w:val="18"/>
              </w:rPr>
            </w:pPr>
            <w:r>
              <w:rPr>
                <w:rFonts w:ascii="標楷體" w:eastAsia="標楷體" w:hAnsi="標楷體" w:cs="Arial" w:hint="eastAsia"/>
                <w:color w:val="000000"/>
                <w:sz w:val="18"/>
                <w:szCs w:val="18"/>
              </w:rPr>
              <w:t>比較增減</w:t>
            </w:r>
          </w:p>
        </w:tc>
        <w:tc>
          <w:tcPr>
            <w:tcW w:w="2067" w:type="dxa"/>
            <w:vMerge w:val="restart"/>
            <w:tcBorders>
              <w:top w:val="single" w:sz="12" w:space="0" w:color="auto"/>
              <w:left w:val="nil"/>
              <w:right w:val="single" w:sz="12" w:space="0" w:color="auto"/>
            </w:tcBorders>
            <w:vAlign w:val="center"/>
          </w:tcPr>
          <w:p w:rsidR="0091579C" w:rsidRPr="00E520D4" w:rsidRDefault="0091579C" w:rsidP="0091579C">
            <w:pPr>
              <w:widowControl/>
              <w:spacing w:line="220" w:lineRule="exact"/>
              <w:ind w:left="176" w:hangingChars="100" w:hanging="176"/>
              <w:jc w:val="center"/>
              <w:rPr>
                <w:rFonts w:ascii="標楷體" w:eastAsia="標楷體" w:hAnsi="標楷體" w:cs="Arial"/>
                <w:color w:val="000000"/>
                <w:spacing w:val="-2"/>
                <w:sz w:val="18"/>
                <w:szCs w:val="18"/>
              </w:rPr>
            </w:pPr>
            <w:r>
              <w:rPr>
                <w:rFonts w:ascii="標楷體" w:eastAsia="標楷體" w:hAnsi="標楷體" w:cs="Arial" w:hint="eastAsia"/>
                <w:color w:val="000000"/>
                <w:spacing w:val="-2"/>
                <w:sz w:val="18"/>
                <w:szCs w:val="18"/>
              </w:rPr>
              <w:t>主要增減情形</w:t>
            </w:r>
          </w:p>
        </w:tc>
      </w:tr>
      <w:tr w:rsidR="0091579C" w:rsidRPr="00E520D4" w:rsidTr="00C0283A">
        <w:trPr>
          <w:trHeight w:val="442"/>
          <w:tblHeader/>
          <w:jc w:val="center"/>
        </w:trPr>
        <w:tc>
          <w:tcPr>
            <w:tcW w:w="1418" w:type="dxa"/>
            <w:vMerge/>
            <w:tcBorders>
              <w:left w:val="single" w:sz="12" w:space="0" w:color="auto"/>
              <w:bottom w:val="single" w:sz="4" w:space="0" w:color="auto"/>
              <w:right w:val="single" w:sz="4" w:space="0" w:color="000000"/>
            </w:tcBorders>
            <w:vAlign w:val="center"/>
          </w:tcPr>
          <w:p w:rsidR="0091579C" w:rsidRPr="00E520D4" w:rsidRDefault="0091579C" w:rsidP="0091579C">
            <w:pPr>
              <w:widowControl/>
              <w:spacing w:line="240" w:lineRule="exact"/>
              <w:jc w:val="center"/>
              <w:rPr>
                <w:rFonts w:ascii="標楷體" w:eastAsia="標楷體" w:hAnsi="標楷體" w:cs="Arial"/>
                <w:color w:val="000000"/>
                <w:spacing w:val="-2"/>
                <w:sz w:val="18"/>
                <w:szCs w:val="18"/>
              </w:rPr>
            </w:pPr>
          </w:p>
        </w:tc>
        <w:tc>
          <w:tcPr>
            <w:tcW w:w="731" w:type="dxa"/>
            <w:tcBorders>
              <w:top w:val="single" w:sz="4" w:space="0" w:color="auto"/>
              <w:left w:val="nil"/>
              <w:bottom w:val="single" w:sz="4" w:space="0" w:color="auto"/>
              <w:right w:val="single" w:sz="4" w:space="0" w:color="auto"/>
            </w:tcBorders>
            <w:vAlign w:val="center"/>
          </w:tcPr>
          <w:p w:rsidR="0091579C" w:rsidRDefault="0091579C" w:rsidP="0091579C">
            <w:pPr>
              <w:spacing w:line="240" w:lineRule="exact"/>
              <w:jc w:val="center"/>
              <w:rPr>
                <w:rFonts w:ascii="標楷體" w:eastAsia="標楷體" w:hAnsi="標楷體" w:cs="Arial"/>
                <w:color w:val="000000"/>
                <w:sz w:val="18"/>
                <w:szCs w:val="18"/>
              </w:rPr>
            </w:pPr>
            <w:r>
              <w:rPr>
                <w:rFonts w:ascii="標楷體" w:eastAsia="標楷體" w:hAnsi="標楷體" w:cs="Arial" w:hint="eastAsia"/>
                <w:color w:val="000000"/>
                <w:sz w:val="18"/>
                <w:szCs w:val="18"/>
              </w:rPr>
              <w:t>合計</w:t>
            </w:r>
          </w:p>
        </w:tc>
        <w:tc>
          <w:tcPr>
            <w:tcW w:w="728" w:type="dxa"/>
            <w:tcBorders>
              <w:top w:val="single" w:sz="4" w:space="0" w:color="auto"/>
              <w:left w:val="nil"/>
              <w:bottom w:val="single" w:sz="4" w:space="0" w:color="auto"/>
              <w:right w:val="single" w:sz="4" w:space="0" w:color="auto"/>
            </w:tcBorders>
            <w:vAlign w:val="center"/>
          </w:tcPr>
          <w:p w:rsidR="0091579C" w:rsidRDefault="0091579C" w:rsidP="0091579C">
            <w:pPr>
              <w:spacing w:line="240" w:lineRule="exact"/>
              <w:jc w:val="center"/>
              <w:rPr>
                <w:rFonts w:ascii="標楷體" w:eastAsia="標楷體" w:hAnsi="標楷體" w:cs="Arial"/>
                <w:color w:val="000000"/>
                <w:sz w:val="18"/>
                <w:szCs w:val="18"/>
              </w:rPr>
            </w:pPr>
            <w:r>
              <w:rPr>
                <w:rFonts w:ascii="標楷體" w:eastAsia="標楷體" w:hAnsi="標楷體" w:cs="Arial" w:hint="eastAsia"/>
                <w:color w:val="000000"/>
                <w:sz w:val="18"/>
                <w:szCs w:val="18"/>
              </w:rPr>
              <w:t>中央</w:t>
            </w:r>
          </w:p>
          <w:p w:rsidR="0091579C" w:rsidRDefault="0091579C" w:rsidP="0091579C">
            <w:pPr>
              <w:spacing w:line="240" w:lineRule="exact"/>
              <w:jc w:val="center"/>
              <w:rPr>
                <w:rFonts w:ascii="標楷體" w:eastAsia="標楷體" w:hAnsi="標楷體" w:cs="Arial"/>
                <w:color w:val="000000"/>
                <w:sz w:val="18"/>
                <w:szCs w:val="18"/>
              </w:rPr>
            </w:pPr>
            <w:r>
              <w:rPr>
                <w:rFonts w:ascii="標楷體" w:eastAsia="標楷體" w:hAnsi="標楷體" w:cs="Arial" w:hint="eastAsia"/>
                <w:color w:val="000000"/>
                <w:sz w:val="18"/>
                <w:szCs w:val="18"/>
              </w:rPr>
              <w:t>政府</w:t>
            </w:r>
          </w:p>
        </w:tc>
        <w:tc>
          <w:tcPr>
            <w:tcW w:w="625" w:type="dxa"/>
            <w:tcBorders>
              <w:top w:val="single" w:sz="4" w:space="0" w:color="auto"/>
              <w:left w:val="nil"/>
              <w:bottom w:val="single" w:sz="4" w:space="0" w:color="auto"/>
              <w:right w:val="single" w:sz="4" w:space="0" w:color="auto"/>
            </w:tcBorders>
            <w:vAlign w:val="center"/>
          </w:tcPr>
          <w:p w:rsidR="0091579C" w:rsidRDefault="0091579C" w:rsidP="0091579C">
            <w:pPr>
              <w:spacing w:line="240" w:lineRule="exact"/>
              <w:jc w:val="center"/>
              <w:rPr>
                <w:rFonts w:ascii="標楷體" w:eastAsia="標楷體" w:hAnsi="標楷體" w:cs="Arial"/>
                <w:color w:val="000000"/>
                <w:sz w:val="18"/>
                <w:szCs w:val="18"/>
              </w:rPr>
            </w:pPr>
            <w:r>
              <w:rPr>
                <w:rFonts w:ascii="標楷體" w:eastAsia="標楷體" w:hAnsi="標楷體" w:cs="Arial" w:hint="eastAsia"/>
                <w:color w:val="000000"/>
                <w:sz w:val="18"/>
                <w:szCs w:val="18"/>
              </w:rPr>
              <w:t>地方</w:t>
            </w:r>
          </w:p>
          <w:p w:rsidR="0091579C" w:rsidRDefault="0091579C" w:rsidP="0091579C">
            <w:pPr>
              <w:spacing w:line="240" w:lineRule="exact"/>
              <w:jc w:val="center"/>
              <w:rPr>
                <w:rFonts w:ascii="標楷體" w:eastAsia="標楷體" w:hAnsi="標楷體" w:cs="Arial"/>
                <w:color w:val="000000"/>
                <w:sz w:val="18"/>
                <w:szCs w:val="18"/>
              </w:rPr>
            </w:pPr>
            <w:r>
              <w:rPr>
                <w:rFonts w:ascii="標楷體" w:eastAsia="標楷體" w:hAnsi="標楷體" w:cs="Arial" w:hint="eastAsia"/>
                <w:color w:val="000000"/>
                <w:sz w:val="18"/>
                <w:szCs w:val="18"/>
              </w:rPr>
              <w:t>政府</w:t>
            </w:r>
          </w:p>
        </w:tc>
        <w:tc>
          <w:tcPr>
            <w:tcW w:w="728" w:type="dxa"/>
            <w:tcBorders>
              <w:top w:val="single" w:sz="4" w:space="0" w:color="auto"/>
              <w:left w:val="nil"/>
              <w:bottom w:val="single" w:sz="4" w:space="0" w:color="auto"/>
              <w:right w:val="single" w:sz="4" w:space="0" w:color="auto"/>
            </w:tcBorders>
            <w:vAlign w:val="center"/>
          </w:tcPr>
          <w:p w:rsidR="0091579C" w:rsidRDefault="0091579C" w:rsidP="0091579C">
            <w:pPr>
              <w:spacing w:line="240" w:lineRule="exact"/>
              <w:jc w:val="center"/>
              <w:rPr>
                <w:rFonts w:ascii="標楷體" w:eastAsia="標楷體" w:hAnsi="標楷體" w:cs="Arial"/>
                <w:color w:val="000000"/>
                <w:sz w:val="18"/>
                <w:szCs w:val="18"/>
              </w:rPr>
            </w:pPr>
            <w:r>
              <w:rPr>
                <w:rFonts w:ascii="標楷體" w:eastAsia="標楷體" w:hAnsi="標楷體" w:cs="Arial" w:hint="eastAsia"/>
                <w:color w:val="000000"/>
                <w:sz w:val="18"/>
                <w:szCs w:val="18"/>
              </w:rPr>
              <w:t>合計</w:t>
            </w:r>
          </w:p>
        </w:tc>
        <w:tc>
          <w:tcPr>
            <w:tcW w:w="728" w:type="dxa"/>
            <w:tcBorders>
              <w:top w:val="single" w:sz="4" w:space="0" w:color="auto"/>
              <w:left w:val="nil"/>
              <w:bottom w:val="single" w:sz="4" w:space="0" w:color="auto"/>
              <w:right w:val="single" w:sz="4" w:space="0" w:color="auto"/>
            </w:tcBorders>
            <w:vAlign w:val="center"/>
          </w:tcPr>
          <w:p w:rsidR="0091579C" w:rsidRDefault="0091579C" w:rsidP="0091579C">
            <w:pPr>
              <w:spacing w:line="240" w:lineRule="exact"/>
              <w:jc w:val="center"/>
              <w:rPr>
                <w:rFonts w:ascii="標楷體" w:eastAsia="標楷體" w:hAnsi="標楷體" w:cs="Arial"/>
                <w:color w:val="000000"/>
                <w:sz w:val="18"/>
                <w:szCs w:val="18"/>
              </w:rPr>
            </w:pPr>
            <w:r>
              <w:rPr>
                <w:rFonts w:ascii="標楷體" w:eastAsia="標楷體" w:hAnsi="標楷體" w:cs="Arial" w:hint="eastAsia"/>
                <w:color w:val="000000"/>
                <w:sz w:val="18"/>
                <w:szCs w:val="18"/>
              </w:rPr>
              <w:t>中央</w:t>
            </w:r>
          </w:p>
          <w:p w:rsidR="0091579C" w:rsidRDefault="0091579C" w:rsidP="0091579C">
            <w:pPr>
              <w:spacing w:line="240" w:lineRule="exact"/>
              <w:jc w:val="center"/>
              <w:rPr>
                <w:rFonts w:ascii="標楷體" w:eastAsia="標楷體" w:hAnsi="標楷體" w:cs="Arial"/>
                <w:color w:val="000000"/>
                <w:sz w:val="18"/>
                <w:szCs w:val="18"/>
              </w:rPr>
            </w:pPr>
            <w:r>
              <w:rPr>
                <w:rFonts w:ascii="標楷體" w:eastAsia="標楷體" w:hAnsi="標楷體" w:cs="Arial" w:hint="eastAsia"/>
                <w:color w:val="000000"/>
                <w:sz w:val="18"/>
                <w:szCs w:val="18"/>
              </w:rPr>
              <w:t>政府</w:t>
            </w:r>
          </w:p>
        </w:tc>
        <w:tc>
          <w:tcPr>
            <w:tcW w:w="625" w:type="dxa"/>
            <w:tcBorders>
              <w:top w:val="single" w:sz="4" w:space="0" w:color="auto"/>
              <w:left w:val="nil"/>
              <w:bottom w:val="single" w:sz="4" w:space="0" w:color="auto"/>
              <w:right w:val="single" w:sz="4" w:space="0" w:color="auto"/>
            </w:tcBorders>
            <w:vAlign w:val="center"/>
          </w:tcPr>
          <w:p w:rsidR="0091579C" w:rsidRDefault="0091579C" w:rsidP="0091579C">
            <w:pPr>
              <w:spacing w:line="240" w:lineRule="exact"/>
              <w:jc w:val="center"/>
              <w:rPr>
                <w:rFonts w:ascii="標楷體" w:eastAsia="標楷體" w:hAnsi="標楷體" w:cs="Arial"/>
                <w:color w:val="000000"/>
                <w:sz w:val="18"/>
                <w:szCs w:val="18"/>
              </w:rPr>
            </w:pPr>
            <w:r>
              <w:rPr>
                <w:rFonts w:ascii="標楷體" w:eastAsia="標楷體" w:hAnsi="標楷體" w:cs="Arial" w:hint="eastAsia"/>
                <w:color w:val="000000"/>
                <w:sz w:val="18"/>
                <w:szCs w:val="18"/>
              </w:rPr>
              <w:t>地方</w:t>
            </w:r>
          </w:p>
          <w:p w:rsidR="0091579C" w:rsidRDefault="0091579C" w:rsidP="0091579C">
            <w:pPr>
              <w:spacing w:line="240" w:lineRule="exact"/>
              <w:jc w:val="center"/>
              <w:rPr>
                <w:rFonts w:ascii="標楷體" w:eastAsia="標楷體" w:hAnsi="標楷體" w:cs="Arial"/>
                <w:color w:val="000000"/>
                <w:sz w:val="18"/>
                <w:szCs w:val="18"/>
              </w:rPr>
            </w:pPr>
            <w:r>
              <w:rPr>
                <w:rFonts w:ascii="標楷體" w:eastAsia="標楷體" w:hAnsi="標楷體" w:cs="Arial" w:hint="eastAsia"/>
                <w:color w:val="000000"/>
                <w:sz w:val="18"/>
                <w:szCs w:val="18"/>
              </w:rPr>
              <w:t>政府</w:t>
            </w:r>
          </w:p>
        </w:tc>
        <w:tc>
          <w:tcPr>
            <w:tcW w:w="728" w:type="dxa"/>
            <w:tcBorders>
              <w:top w:val="single" w:sz="4" w:space="0" w:color="auto"/>
              <w:left w:val="nil"/>
              <w:bottom w:val="single" w:sz="4" w:space="0" w:color="auto"/>
              <w:right w:val="single" w:sz="4" w:space="0" w:color="auto"/>
            </w:tcBorders>
            <w:vAlign w:val="center"/>
          </w:tcPr>
          <w:p w:rsidR="0091579C" w:rsidRDefault="0091579C" w:rsidP="0091579C">
            <w:pPr>
              <w:spacing w:line="240" w:lineRule="exact"/>
              <w:jc w:val="center"/>
              <w:rPr>
                <w:rFonts w:ascii="標楷體" w:eastAsia="標楷體" w:hAnsi="標楷體" w:cs="Arial"/>
                <w:color w:val="000000"/>
                <w:sz w:val="18"/>
                <w:szCs w:val="18"/>
              </w:rPr>
            </w:pPr>
            <w:r>
              <w:rPr>
                <w:rFonts w:ascii="標楷體" w:eastAsia="標楷體" w:hAnsi="標楷體" w:cs="Arial" w:hint="eastAsia"/>
                <w:color w:val="000000"/>
                <w:sz w:val="18"/>
                <w:szCs w:val="18"/>
              </w:rPr>
              <w:t>合計</w:t>
            </w:r>
          </w:p>
        </w:tc>
        <w:tc>
          <w:tcPr>
            <w:tcW w:w="617" w:type="dxa"/>
            <w:tcBorders>
              <w:top w:val="single" w:sz="4" w:space="0" w:color="auto"/>
              <w:left w:val="nil"/>
              <w:bottom w:val="single" w:sz="4" w:space="0" w:color="auto"/>
              <w:right w:val="single" w:sz="4" w:space="0" w:color="auto"/>
            </w:tcBorders>
            <w:vAlign w:val="center"/>
          </w:tcPr>
          <w:p w:rsidR="0091579C" w:rsidRDefault="0091579C" w:rsidP="0091579C">
            <w:pPr>
              <w:spacing w:line="240" w:lineRule="exact"/>
              <w:jc w:val="center"/>
              <w:rPr>
                <w:rFonts w:ascii="標楷體" w:eastAsia="標楷體" w:hAnsi="標楷體" w:cs="Arial"/>
                <w:color w:val="000000"/>
                <w:sz w:val="18"/>
                <w:szCs w:val="18"/>
              </w:rPr>
            </w:pPr>
            <w:r>
              <w:rPr>
                <w:rFonts w:ascii="標楷體" w:eastAsia="標楷體" w:hAnsi="標楷體" w:cs="Arial" w:hint="eastAsia"/>
                <w:color w:val="000000"/>
                <w:sz w:val="18"/>
                <w:szCs w:val="18"/>
              </w:rPr>
              <w:t>中央</w:t>
            </w:r>
          </w:p>
          <w:p w:rsidR="0091579C" w:rsidRDefault="0091579C" w:rsidP="0091579C">
            <w:pPr>
              <w:spacing w:line="240" w:lineRule="exact"/>
              <w:jc w:val="center"/>
              <w:rPr>
                <w:rFonts w:ascii="標楷體" w:eastAsia="標楷體" w:hAnsi="標楷體" w:cs="Arial"/>
                <w:color w:val="000000"/>
                <w:sz w:val="18"/>
                <w:szCs w:val="18"/>
              </w:rPr>
            </w:pPr>
            <w:r>
              <w:rPr>
                <w:rFonts w:ascii="標楷體" w:eastAsia="標楷體" w:hAnsi="標楷體" w:cs="Arial" w:hint="eastAsia"/>
                <w:color w:val="000000"/>
                <w:sz w:val="18"/>
                <w:szCs w:val="18"/>
              </w:rPr>
              <w:t>政府</w:t>
            </w:r>
          </w:p>
        </w:tc>
        <w:tc>
          <w:tcPr>
            <w:tcW w:w="618" w:type="dxa"/>
            <w:tcBorders>
              <w:top w:val="single" w:sz="4" w:space="0" w:color="auto"/>
              <w:left w:val="nil"/>
              <w:bottom w:val="single" w:sz="4" w:space="0" w:color="auto"/>
              <w:right w:val="single" w:sz="4" w:space="0" w:color="auto"/>
            </w:tcBorders>
            <w:vAlign w:val="center"/>
          </w:tcPr>
          <w:p w:rsidR="0091579C" w:rsidRDefault="0091579C" w:rsidP="0091579C">
            <w:pPr>
              <w:spacing w:line="240" w:lineRule="exact"/>
              <w:jc w:val="center"/>
              <w:rPr>
                <w:rFonts w:ascii="標楷體" w:eastAsia="標楷體" w:hAnsi="標楷體" w:cs="Arial"/>
                <w:color w:val="000000"/>
                <w:sz w:val="18"/>
                <w:szCs w:val="18"/>
              </w:rPr>
            </w:pPr>
            <w:r>
              <w:rPr>
                <w:rFonts w:ascii="標楷體" w:eastAsia="標楷體" w:hAnsi="標楷體" w:cs="Arial" w:hint="eastAsia"/>
                <w:color w:val="000000"/>
                <w:sz w:val="18"/>
                <w:szCs w:val="18"/>
              </w:rPr>
              <w:t>地方</w:t>
            </w:r>
          </w:p>
          <w:p w:rsidR="0091579C" w:rsidRDefault="0091579C" w:rsidP="0091579C">
            <w:pPr>
              <w:spacing w:line="240" w:lineRule="exact"/>
              <w:jc w:val="center"/>
              <w:rPr>
                <w:rFonts w:ascii="標楷體" w:eastAsia="標楷體" w:hAnsi="標楷體" w:cs="Arial"/>
                <w:color w:val="000000"/>
                <w:sz w:val="18"/>
                <w:szCs w:val="18"/>
              </w:rPr>
            </w:pPr>
            <w:r>
              <w:rPr>
                <w:rFonts w:ascii="標楷體" w:eastAsia="標楷體" w:hAnsi="標楷體" w:cs="Arial" w:hint="eastAsia"/>
                <w:color w:val="000000"/>
                <w:sz w:val="18"/>
                <w:szCs w:val="18"/>
              </w:rPr>
              <w:t>政府</w:t>
            </w:r>
          </w:p>
        </w:tc>
        <w:tc>
          <w:tcPr>
            <w:tcW w:w="2067" w:type="dxa"/>
            <w:vMerge/>
            <w:tcBorders>
              <w:left w:val="nil"/>
              <w:bottom w:val="single" w:sz="4" w:space="0" w:color="auto"/>
              <w:right w:val="single" w:sz="12" w:space="0" w:color="auto"/>
            </w:tcBorders>
          </w:tcPr>
          <w:p w:rsidR="0091579C" w:rsidRPr="00E520D4" w:rsidRDefault="0091579C" w:rsidP="0091579C">
            <w:pPr>
              <w:widowControl/>
              <w:spacing w:line="220" w:lineRule="exact"/>
              <w:ind w:left="176" w:hangingChars="100" w:hanging="176"/>
              <w:jc w:val="both"/>
              <w:rPr>
                <w:rFonts w:ascii="標楷體" w:eastAsia="標楷體" w:hAnsi="標楷體" w:cs="Arial"/>
                <w:color w:val="000000"/>
                <w:spacing w:val="-2"/>
                <w:sz w:val="18"/>
                <w:szCs w:val="18"/>
              </w:rPr>
            </w:pPr>
          </w:p>
        </w:tc>
      </w:tr>
      <w:tr w:rsidR="0091579C" w:rsidRPr="00E520D4" w:rsidTr="00C0283A">
        <w:trPr>
          <w:trHeight w:val="442"/>
          <w:jc w:val="center"/>
        </w:trPr>
        <w:tc>
          <w:tcPr>
            <w:tcW w:w="1418" w:type="dxa"/>
            <w:tcBorders>
              <w:top w:val="single" w:sz="4" w:space="0" w:color="auto"/>
              <w:left w:val="single" w:sz="12" w:space="0" w:color="auto"/>
              <w:bottom w:val="single" w:sz="4" w:space="0" w:color="auto"/>
              <w:right w:val="single" w:sz="4" w:space="0" w:color="000000"/>
            </w:tcBorders>
            <w:vAlign w:val="center"/>
          </w:tcPr>
          <w:p w:rsidR="0091579C" w:rsidRPr="00E520D4" w:rsidRDefault="0091579C" w:rsidP="0091579C">
            <w:pPr>
              <w:widowControl/>
              <w:spacing w:line="240" w:lineRule="exact"/>
              <w:jc w:val="center"/>
              <w:rPr>
                <w:rFonts w:ascii="標楷體" w:eastAsia="標楷體" w:hAnsi="標楷體" w:cs="Arial"/>
                <w:color w:val="000000"/>
                <w:spacing w:val="-2"/>
                <w:sz w:val="18"/>
                <w:szCs w:val="18"/>
              </w:rPr>
            </w:pPr>
            <w:r w:rsidRPr="00E520D4">
              <w:rPr>
                <w:rFonts w:ascii="標楷體" w:eastAsia="標楷體" w:hAnsi="標楷體" w:cs="Arial"/>
                <w:color w:val="000000"/>
                <w:spacing w:val="-2"/>
                <w:sz w:val="18"/>
                <w:szCs w:val="18"/>
              </w:rPr>
              <w:t>合      計</w:t>
            </w:r>
          </w:p>
        </w:tc>
        <w:tc>
          <w:tcPr>
            <w:tcW w:w="731" w:type="dxa"/>
            <w:tcBorders>
              <w:top w:val="single" w:sz="4" w:space="0" w:color="auto"/>
              <w:left w:val="nil"/>
              <w:bottom w:val="single" w:sz="4" w:space="0" w:color="auto"/>
              <w:right w:val="single" w:sz="4" w:space="0" w:color="auto"/>
            </w:tcBorders>
            <w:vAlign w:val="center"/>
          </w:tcPr>
          <w:p w:rsidR="0091579C" w:rsidRPr="00E520D4" w:rsidRDefault="0091579C" w:rsidP="0091579C">
            <w:pPr>
              <w:spacing w:line="240" w:lineRule="exact"/>
              <w:jc w:val="right"/>
              <w:rPr>
                <w:rFonts w:ascii="標楷體" w:eastAsia="標楷體" w:hAnsi="標楷體" w:cs="Arial"/>
                <w:color w:val="000000"/>
                <w:sz w:val="18"/>
                <w:szCs w:val="18"/>
              </w:rPr>
            </w:pPr>
            <w:r>
              <w:rPr>
                <w:rFonts w:ascii="標楷體" w:eastAsia="標楷體" w:hAnsi="標楷體" w:cs="Arial" w:hint="eastAsia"/>
                <w:color w:val="000000"/>
                <w:sz w:val="18"/>
                <w:szCs w:val="18"/>
              </w:rPr>
              <w:t>171,500</w:t>
            </w:r>
          </w:p>
        </w:tc>
        <w:tc>
          <w:tcPr>
            <w:tcW w:w="728" w:type="dxa"/>
            <w:tcBorders>
              <w:top w:val="single" w:sz="4" w:space="0" w:color="auto"/>
              <w:left w:val="nil"/>
              <w:bottom w:val="single" w:sz="4" w:space="0" w:color="auto"/>
              <w:right w:val="single" w:sz="4" w:space="0" w:color="auto"/>
            </w:tcBorders>
            <w:vAlign w:val="center"/>
          </w:tcPr>
          <w:p w:rsidR="0091579C" w:rsidRPr="00E520D4" w:rsidRDefault="0091579C" w:rsidP="0091579C">
            <w:pPr>
              <w:spacing w:line="240" w:lineRule="exact"/>
              <w:jc w:val="right"/>
              <w:rPr>
                <w:rFonts w:ascii="標楷體" w:eastAsia="標楷體" w:hAnsi="標楷體" w:cs="Arial"/>
                <w:color w:val="000000"/>
                <w:sz w:val="18"/>
                <w:szCs w:val="18"/>
              </w:rPr>
            </w:pPr>
            <w:r>
              <w:rPr>
                <w:rFonts w:ascii="標楷體" w:eastAsia="標楷體" w:hAnsi="標楷體" w:cs="Arial" w:hint="eastAsia"/>
                <w:color w:val="000000"/>
                <w:sz w:val="18"/>
                <w:szCs w:val="18"/>
              </w:rPr>
              <w:t>143,668</w:t>
            </w:r>
          </w:p>
        </w:tc>
        <w:tc>
          <w:tcPr>
            <w:tcW w:w="625" w:type="dxa"/>
            <w:tcBorders>
              <w:top w:val="single" w:sz="4" w:space="0" w:color="auto"/>
              <w:left w:val="nil"/>
              <w:bottom w:val="single" w:sz="4" w:space="0" w:color="auto"/>
              <w:right w:val="single" w:sz="4" w:space="0" w:color="auto"/>
            </w:tcBorders>
            <w:vAlign w:val="center"/>
          </w:tcPr>
          <w:p w:rsidR="0091579C" w:rsidRPr="00E520D4" w:rsidRDefault="0091579C" w:rsidP="0091579C">
            <w:pPr>
              <w:spacing w:line="240" w:lineRule="exact"/>
              <w:jc w:val="right"/>
              <w:rPr>
                <w:rFonts w:ascii="標楷體" w:eastAsia="標楷體" w:hAnsi="標楷體" w:cs="Arial"/>
                <w:color w:val="000000"/>
                <w:sz w:val="18"/>
                <w:szCs w:val="18"/>
              </w:rPr>
            </w:pPr>
            <w:r>
              <w:rPr>
                <w:rFonts w:ascii="標楷體" w:eastAsia="標楷體" w:hAnsi="標楷體" w:cs="Arial" w:hint="eastAsia"/>
                <w:color w:val="000000"/>
                <w:sz w:val="18"/>
                <w:szCs w:val="18"/>
              </w:rPr>
              <w:t>27,832</w:t>
            </w:r>
          </w:p>
        </w:tc>
        <w:tc>
          <w:tcPr>
            <w:tcW w:w="728" w:type="dxa"/>
            <w:tcBorders>
              <w:top w:val="single" w:sz="4" w:space="0" w:color="auto"/>
              <w:left w:val="nil"/>
              <w:bottom w:val="single" w:sz="4" w:space="0" w:color="auto"/>
              <w:right w:val="single" w:sz="4" w:space="0" w:color="auto"/>
            </w:tcBorders>
            <w:vAlign w:val="center"/>
          </w:tcPr>
          <w:p w:rsidR="0091579C" w:rsidRPr="00E520D4" w:rsidRDefault="0091579C" w:rsidP="0091579C">
            <w:pPr>
              <w:spacing w:line="240" w:lineRule="exact"/>
              <w:jc w:val="right"/>
              <w:rPr>
                <w:rFonts w:ascii="標楷體" w:eastAsia="標楷體" w:hAnsi="標楷體" w:cs="Arial"/>
                <w:color w:val="000000"/>
                <w:sz w:val="18"/>
                <w:szCs w:val="18"/>
              </w:rPr>
            </w:pPr>
            <w:r w:rsidRPr="00E520D4">
              <w:rPr>
                <w:rFonts w:ascii="標楷體" w:eastAsia="標楷體" w:hAnsi="標楷體" w:cs="Arial" w:hint="eastAsia"/>
                <w:color w:val="000000"/>
                <w:sz w:val="18"/>
                <w:szCs w:val="18"/>
              </w:rPr>
              <w:t>178,564</w:t>
            </w:r>
          </w:p>
        </w:tc>
        <w:tc>
          <w:tcPr>
            <w:tcW w:w="728" w:type="dxa"/>
            <w:tcBorders>
              <w:top w:val="single" w:sz="4" w:space="0" w:color="auto"/>
              <w:left w:val="nil"/>
              <w:bottom w:val="single" w:sz="4" w:space="0" w:color="auto"/>
              <w:right w:val="single" w:sz="4" w:space="0" w:color="auto"/>
            </w:tcBorders>
            <w:vAlign w:val="center"/>
          </w:tcPr>
          <w:p w:rsidR="0091579C" w:rsidRPr="00E520D4" w:rsidRDefault="0091579C" w:rsidP="0091579C">
            <w:pPr>
              <w:spacing w:line="240" w:lineRule="exact"/>
              <w:jc w:val="right"/>
              <w:rPr>
                <w:rFonts w:ascii="標楷體" w:eastAsia="標楷體" w:hAnsi="標楷體" w:cs="Arial"/>
                <w:color w:val="000000"/>
                <w:sz w:val="18"/>
                <w:szCs w:val="18"/>
              </w:rPr>
            </w:pPr>
            <w:r w:rsidRPr="00E520D4">
              <w:rPr>
                <w:rFonts w:ascii="標楷體" w:eastAsia="標楷體" w:hAnsi="標楷體" w:cs="Arial" w:hint="eastAsia"/>
                <w:color w:val="000000"/>
                <w:sz w:val="18"/>
                <w:szCs w:val="18"/>
              </w:rPr>
              <w:t>141,077</w:t>
            </w:r>
          </w:p>
        </w:tc>
        <w:tc>
          <w:tcPr>
            <w:tcW w:w="625" w:type="dxa"/>
            <w:tcBorders>
              <w:top w:val="single" w:sz="4" w:space="0" w:color="auto"/>
              <w:left w:val="nil"/>
              <w:bottom w:val="single" w:sz="4" w:space="0" w:color="auto"/>
              <w:right w:val="single" w:sz="4" w:space="0" w:color="auto"/>
            </w:tcBorders>
            <w:vAlign w:val="center"/>
          </w:tcPr>
          <w:p w:rsidR="0091579C" w:rsidRPr="00E520D4" w:rsidRDefault="0091579C" w:rsidP="0091579C">
            <w:pPr>
              <w:spacing w:line="240" w:lineRule="exact"/>
              <w:jc w:val="right"/>
              <w:rPr>
                <w:rFonts w:ascii="標楷體" w:eastAsia="標楷體" w:hAnsi="標楷體" w:cs="Arial"/>
                <w:color w:val="000000"/>
                <w:sz w:val="18"/>
                <w:szCs w:val="18"/>
              </w:rPr>
            </w:pPr>
            <w:r w:rsidRPr="00E520D4">
              <w:rPr>
                <w:rFonts w:ascii="標楷體" w:eastAsia="標楷體" w:hAnsi="標楷體" w:cs="Arial" w:hint="eastAsia"/>
                <w:color w:val="000000"/>
                <w:sz w:val="18"/>
                <w:szCs w:val="18"/>
              </w:rPr>
              <w:t>37,487</w:t>
            </w:r>
          </w:p>
        </w:tc>
        <w:tc>
          <w:tcPr>
            <w:tcW w:w="728" w:type="dxa"/>
            <w:tcBorders>
              <w:top w:val="single" w:sz="4" w:space="0" w:color="auto"/>
              <w:left w:val="nil"/>
              <w:bottom w:val="single" w:sz="4" w:space="0" w:color="auto"/>
              <w:right w:val="single" w:sz="4" w:space="0" w:color="auto"/>
            </w:tcBorders>
            <w:vAlign w:val="center"/>
          </w:tcPr>
          <w:p w:rsidR="0091579C" w:rsidRPr="00E520D4" w:rsidRDefault="0091579C" w:rsidP="0091579C">
            <w:pPr>
              <w:spacing w:line="240" w:lineRule="exact"/>
              <w:jc w:val="right"/>
              <w:rPr>
                <w:rFonts w:ascii="標楷體" w:eastAsia="標楷體" w:hAnsi="標楷體" w:cs="Arial"/>
                <w:color w:val="000000"/>
                <w:sz w:val="18"/>
                <w:szCs w:val="18"/>
              </w:rPr>
            </w:pPr>
            <w:r>
              <w:rPr>
                <w:rFonts w:ascii="標楷體" w:eastAsia="標楷體" w:hAnsi="標楷體" w:cs="Arial" w:hint="eastAsia"/>
                <w:color w:val="000000"/>
                <w:sz w:val="18"/>
                <w:szCs w:val="18"/>
              </w:rPr>
              <w:t>-7,064</w:t>
            </w:r>
          </w:p>
        </w:tc>
        <w:tc>
          <w:tcPr>
            <w:tcW w:w="617" w:type="dxa"/>
            <w:tcBorders>
              <w:top w:val="single" w:sz="4" w:space="0" w:color="auto"/>
              <w:left w:val="nil"/>
              <w:bottom w:val="single" w:sz="4" w:space="0" w:color="auto"/>
              <w:right w:val="single" w:sz="4" w:space="0" w:color="auto"/>
            </w:tcBorders>
            <w:vAlign w:val="center"/>
          </w:tcPr>
          <w:p w:rsidR="0091579C" w:rsidRPr="00E520D4" w:rsidRDefault="0091579C" w:rsidP="0091579C">
            <w:pPr>
              <w:spacing w:line="240" w:lineRule="exact"/>
              <w:jc w:val="right"/>
              <w:rPr>
                <w:rFonts w:ascii="標楷體" w:eastAsia="標楷體" w:hAnsi="標楷體" w:cs="Arial"/>
                <w:color w:val="000000"/>
                <w:sz w:val="18"/>
                <w:szCs w:val="18"/>
              </w:rPr>
            </w:pPr>
            <w:r>
              <w:rPr>
                <w:rFonts w:ascii="標楷體" w:eastAsia="標楷體" w:hAnsi="標楷體" w:cs="Arial" w:hint="eastAsia"/>
                <w:color w:val="000000"/>
                <w:sz w:val="18"/>
                <w:szCs w:val="18"/>
              </w:rPr>
              <w:t>2,591</w:t>
            </w:r>
          </w:p>
        </w:tc>
        <w:tc>
          <w:tcPr>
            <w:tcW w:w="618" w:type="dxa"/>
            <w:tcBorders>
              <w:top w:val="single" w:sz="4" w:space="0" w:color="auto"/>
              <w:left w:val="nil"/>
              <w:bottom w:val="single" w:sz="4" w:space="0" w:color="auto"/>
              <w:right w:val="single" w:sz="4" w:space="0" w:color="auto"/>
            </w:tcBorders>
            <w:vAlign w:val="center"/>
          </w:tcPr>
          <w:p w:rsidR="0091579C" w:rsidRPr="00E520D4" w:rsidRDefault="0091579C" w:rsidP="0091579C">
            <w:pPr>
              <w:spacing w:line="240" w:lineRule="exact"/>
              <w:jc w:val="right"/>
              <w:rPr>
                <w:rFonts w:ascii="標楷體" w:eastAsia="標楷體" w:hAnsi="標楷體" w:cs="Arial"/>
                <w:color w:val="000000"/>
                <w:sz w:val="18"/>
                <w:szCs w:val="18"/>
              </w:rPr>
            </w:pPr>
            <w:r>
              <w:rPr>
                <w:rFonts w:ascii="標楷體" w:eastAsia="標楷體" w:hAnsi="標楷體" w:cs="Arial" w:hint="eastAsia"/>
                <w:color w:val="000000"/>
                <w:sz w:val="18"/>
                <w:szCs w:val="18"/>
              </w:rPr>
              <w:t>-9,655</w:t>
            </w:r>
          </w:p>
        </w:tc>
        <w:tc>
          <w:tcPr>
            <w:tcW w:w="2067" w:type="dxa"/>
            <w:tcBorders>
              <w:top w:val="single" w:sz="4" w:space="0" w:color="auto"/>
              <w:left w:val="nil"/>
              <w:bottom w:val="single" w:sz="4" w:space="0" w:color="auto"/>
              <w:right w:val="single" w:sz="12" w:space="0" w:color="auto"/>
            </w:tcBorders>
          </w:tcPr>
          <w:p w:rsidR="0091579C" w:rsidRPr="00E520D4" w:rsidRDefault="0091579C" w:rsidP="0091579C">
            <w:pPr>
              <w:widowControl/>
              <w:spacing w:line="220" w:lineRule="exact"/>
              <w:ind w:left="176" w:hangingChars="100" w:hanging="176"/>
              <w:jc w:val="both"/>
              <w:rPr>
                <w:rFonts w:ascii="標楷體" w:eastAsia="標楷體" w:hAnsi="標楷體" w:cs="Arial"/>
                <w:color w:val="000000"/>
                <w:spacing w:val="-2"/>
                <w:sz w:val="18"/>
                <w:szCs w:val="18"/>
              </w:rPr>
            </w:pPr>
          </w:p>
        </w:tc>
      </w:tr>
      <w:tr w:rsidR="0091579C" w:rsidRPr="00E520D4" w:rsidTr="00C0283A">
        <w:trPr>
          <w:trHeight w:val="1989"/>
          <w:jc w:val="center"/>
        </w:trPr>
        <w:tc>
          <w:tcPr>
            <w:tcW w:w="1418" w:type="dxa"/>
            <w:tcBorders>
              <w:top w:val="single" w:sz="4" w:space="0" w:color="auto"/>
              <w:left w:val="single" w:sz="12" w:space="0" w:color="auto"/>
              <w:bottom w:val="single" w:sz="4" w:space="0" w:color="auto"/>
              <w:right w:val="single" w:sz="4" w:space="0" w:color="000000"/>
            </w:tcBorders>
          </w:tcPr>
          <w:p w:rsidR="0091579C" w:rsidRPr="001077D9" w:rsidRDefault="0091579C" w:rsidP="0091579C">
            <w:pPr>
              <w:widowControl/>
              <w:numPr>
                <w:ilvl w:val="0"/>
                <w:numId w:val="50"/>
              </w:numPr>
              <w:spacing w:line="220" w:lineRule="exact"/>
              <w:ind w:left="183" w:hanging="183"/>
              <w:jc w:val="both"/>
              <w:rPr>
                <w:rFonts w:ascii="標楷體" w:eastAsia="標楷體" w:hAnsi="標楷體" w:cs="Arial"/>
                <w:color w:val="000000"/>
                <w:spacing w:val="-4"/>
                <w:sz w:val="18"/>
                <w:szCs w:val="18"/>
              </w:rPr>
            </w:pPr>
            <w:r w:rsidRPr="00E520D4">
              <w:rPr>
                <w:rFonts w:ascii="標楷體" w:eastAsia="標楷體" w:hAnsi="標楷體" w:cs="Arial"/>
                <w:color w:val="000000"/>
                <w:spacing w:val="-4"/>
                <w:sz w:val="18"/>
                <w:szCs w:val="18"/>
              </w:rPr>
              <w:t>舊制軍公教人員退休金</w:t>
            </w:r>
          </w:p>
        </w:tc>
        <w:tc>
          <w:tcPr>
            <w:tcW w:w="731" w:type="dxa"/>
            <w:tcBorders>
              <w:top w:val="single" w:sz="4" w:space="0" w:color="auto"/>
              <w:left w:val="nil"/>
              <w:bottom w:val="single" w:sz="4" w:space="0" w:color="auto"/>
              <w:right w:val="single" w:sz="4" w:space="0" w:color="auto"/>
            </w:tcBorders>
          </w:tcPr>
          <w:p w:rsidR="0091579C" w:rsidRPr="00E520D4" w:rsidRDefault="0091579C" w:rsidP="0091579C">
            <w:pPr>
              <w:spacing w:line="220" w:lineRule="exact"/>
              <w:jc w:val="right"/>
              <w:rPr>
                <w:rFonts w:ascii="標楷體" w:eastAsia="標楷體" w:hAnsi="標楷體" w:cs="Arial"/>
                <w:color w:val="000000"/>
                <w:sz w:val="18"/>
                <w:szCs w:val="18"/>
              </w:rPr>
            </w:pPr>
            <w:r>
              <w:rPr>
                <w:rFonts w:ascii="標楷體" w:eastAsia="標楷體" w:hAnsi="標楷體" w:cs="Arial" w:hint="eastAsia"/>
                <w:color w:val="000000"/>
                <w:sz w:val="18"/>
                <w:szCs w:val="18"/>
              </w:rPr>
              <w:t>34,585</w:t>
            </w:r>
          </w:p>
        </w:tc>
        <w:tc>
          <w:tcPr>
            <w:tcW w:w="728" w:type="dxa"/>
            <w:tcBorders>
              <w:top w:val="single" w:sz="4" w:space="0" w:color="auto"/>
              <w:left w:val="nil"/>
              <w:bottom w:val="single" w:sz="4" w:space="0" w:color="auto"/>
              <w:right w:val="single" w:sz="4" w:space="0" w:color="auto"/>
            </w:tcBorders>
          </w:tcPr>
          <w:p w:rsidR="0091579C" w:rsidRPr="00E520D4" w:rsidRDefault="0091579C" w:rsidP="0091579C">
            <w:pPr>
              <w:spacing w:line="220" w:lineRule="exact"/>
              <w:jc w:val="right"/>
              <w:rPr>
                <w:rFonts w:ascii="標楷體" w:eastAsia="標楷體" w:hAnsi="標楷體" w:cs="Arial"/>
                <w:color w:val="000000"/>
                <w:sz w:val="18"/>
                <w:szCs w:val="18"/>
              </w:rPr>
            </w:pPr>
            <w:r>
              <w:rPr>
                <w:rFonts w:ascii="標楷體" w:eastAsia="標楷體" w:hAnsi="標楷體" w:cs="Arial" w:hint="eastAsia"/>
                <w:color w:val="000000"/>
                <w:sz w:val="18"/>
                <w:szCs w:val="18"/>
              </w:rPr>
              <w:t>20,990</w:t>
            </w:r>
          </w:p>
        </w:tc>
        <w:tc>
          <w:tcPr>
            <w:tcW w:w="625" w:type="dxa"/>
            <w:tcBorders>
              <w:top w:val="single" w:sz="4" w:space="0" w:color="auto"/>
              <w:left w:val="nil"/>
              <w:bottom w:val="single" w:sz="4" w:space="0" w:color="auto"/>
              <w:right w:val="single" w:sz="4" w:space="0" w:color="auto"/>
            </w:tcBorders>
          </w:tcPr>
          <w:p w:rsidR="0091579C" w:rsidRPr="00E520D4" w:rsidRDefault="0091579C" w:rsidP="0091579C">
            <w:pPr>
              <w:spacing w:line="220" w:lineRule="exact"/>
              <w:jc w:val="right"/>
              <w:rPr>
                <w:rFonts w:ascii="標楷體" w:eastAsia="標楷體" w:hAnsi="標楷體" w:cs="Arial"/>
                <w:color w:val="000000"/>
                <w:sz w:val="18"/>
                <w:szCs w:val="18"/>
              </w:rPr>
            </w:pPr>
            <w:r>
              <w:rPr>
                <w:rFonts w:ascii="標楷體" w:eastAsia="標楷體" w:hAnsi="標楷體" w:cs="Arial" w:hint="eastAsia"/>
                <w:color w:val="000000"/>
                <w:sz w:val="18"/>
                <w:szCs w:val="18"/>
              </w:rPr>
              <w:t>13,595</w:t>
            </w:r>
          </w:p>
        </w:tc>
        <w:tc>
          <w:tcPr>
            <w:tcW w:w="728" w:type="dxa"/>
            <w:tcBorders>
              <w:top w:val="single" w:sz="4" w:space="0" w:color="auto"/>
              <w:left w:val="nil"/>
              <w:bottom w:val="single" w:sz="4" w:space="0" w:color="auto"/>
              <w:right w:val="single" w:sz="4" w:space="0" w:color="auto"/>
            </w:tcBorders>
          </w:tcPr>
          <w:p w:rsidR="0091579C" w:rsidRPr="00E520D4" w:rsidRDefault="0091579C" w:rsidP="0091579C">
            <w:pPr>
              <w:spacing w:line="220" w:lineRule="exact"/>
              <w:jc w:val="right"/>
              <w:rPr>
                <w:rFonts w:ascii="標楷體" w:eastAsia="標楷體" w:hAnsi="標楷體" w:cs="Arial"/>
                <w:color w:val="000000"/>
                <w:sz w:val="18"/>
                <w:szCs w:val="18"/>
              </w:rPr>
            </w:pPr>
            <w:r w:rsidRPr="00E520D4">
              <w:rPr>
                <w:rFonts w:ascii="標楷體" w:eastAsia="標楷體" w:hAnsi="標楷體" w:cs="Arial" w:hint="eastAsia"/>
                <w:color w:val="000000"/>
                <w:sz w:val="18"/>
                <w:szCs w:val="18"/>
              </w:rPr>
              <w:t>48,771</w:t>
            </w:r>
          </w:p>
        </w:tc>
        <w:tc>
          <w:tcPr>
            <w:tcW w:w="728" w:type="dxa"/>
            <w:tcBorders>
              <w:top w:val="single" w:sz="4" w:space="0" w:color="auto"/>
              <w:left w:val="nil"/>
              <w:bottom w:val="single" w:sz="4" w:space="0" w:color="auto"/>
              <w:right w:val="single" w:sz="4" w:space="0" w:color="auto"/>
            </w:tcBorders>
          </w:tcPr>
          <w:p w:rsidR="0091579C" w:rsidRPr="00E520D4" w:rsidRDefault="0091579C" w:rsidP="0091579C">
            <w:pPr>
              <w:spacing w:line="220" w:lineRule="exact"/>
              <w:jc w:val="right"/>
              <w:rPr>
                <w:rFonts w:ascii="標楷體" w:eastAsia="標楷體" w:hAnsi="標楷體" w:cs="Arial"/>
                <w:color w:val="000000"/>
                <w:sz w:val="18"/>
                <w:szCs w:val="18"/>
              </w:rPr>
            </w:pPr>
            <w:r w:rsidRPr="00E520D4">
              <w:rPr>
                <w:rFonts w:ascii="標楷體" w:eastAsia="標楷體" w:hAnsi="標楷體" w:cs="Arial" w:hint="eastAsia"/>
                <w:color w:val="000000"/>
                <w:sz w:val="18"/>
                <w:szCs w:val="18"/>
              </w:rPr>
              <w:t>25,913</w:t>
            </w:r>
          </w:p>
        </w:tc>
        <w:tc>
          <w:tcPr>
            <w:tcW w:w="625" w:type="dxa"/>
            <w:tcBorders>
              <w:top w:val="single" w:sz="4" w:space="0" w:color="auto"/>
              <w:left w:val="nil"/>
              <w:bottom w:val="single" w:sz="4" w:space="0" w:color="auto"/>
              <w:right w:val="single" w:sz="4" w:space="0" w:color="auto"/>
            </w:tcBorders>
          </w:tcPr>
          <w:p w:rsidR="0091579C" w:rsidRPr="00E520D4" w:rsidRDefault="0091579C" w:rsidP="0091579C">
            <w:pPr>
              <w:spacing w:line="220" w:lineRule="exact"/>
              <w:jc w:val="right"/>
              <w:rPr>
                <w:rFonts w:ascii="標楷體" w:eastAsia="標楷體" w:hAnsi="標楷體" w:cs="Arial"/>
                <w:color w:val="000000"/>
                <w:sz w:val="18"/>
                <w:szCs w:val="18"/>
              </w:rPr>
            </w:pPr>
            <w:r w:rsidRPr="00E520D4">
              <w:rPr>
                <w:rFonts w:ascii="標楷體" w:eastAsia="標楷體" w:hAnsi="標楷體" w:cs="Arial" w:hint="eastAsia"/>
                <w:color w:val="000000"/>
                <w:sz w:val="18"/>
                <w:szCs w:val="18"/>
              </w:rPr>
              <w:t>22,858</w:t>
            </w:r>
          </w:p>
        </w:tc>
        <w:tc>
          <w:tcPr>
            <w:tcW w:w="728" w:type="dxa"/>
            <w:tcBorders>
              <w:top w:val="single" w:sz="4" w:space="0" w:color="auto"/>
              <w:left w:val="nil"/>
              <w:bottom w:val="single" w:sz="4" w:space="0" w:color="auto"/>
              <w:right w:val="single" w:sz="4" w:space="0" w:color="auto"/>
            </w:tcBorders>
          </w:tcPr>
          <w:p w:rsidR="0091579C" w:rsidRPr="00E520D4" w:rsidRDefault="0091579C" w:rsidP="0091579C">
            <w:pPr>
              <w:spacing w:line="220" w:lineRule="exact"/>
              <w:jc w:val="right"/>
              <w:rPr>
                <w:rFonts w:ascii="標楷體" w:eastAsia="標楷體" w:hAnsi="標楷體" w:cs="Arial"/>
                <w:color w:val="000000"/>
                <w:sz w:val="18"/>
                <w:szCs w:val="18"/>
              </w:rPr>
            </w:pPr>
            <w:r>
              <w:rPr>
                <w:rFonts w:ascii="標楷體" w:eastAsia="標楷體" w:hAnsi="標楷體" w:cs="Arial" w:hint="eastAsia"/>
                <w:color w:val="000000"/>
                <w:sz w:val="18"/>
                <w:szCs w:val="18"/>
              </w:rPr>
              <w:t>-14,186</w:t>
            </w:r>
          </w:p>
        </w:tc>
        <w:tc>
          <w:tcPr>
            <w:tcW w:w="617" w:type="dxa"/>
            <w:tcBorders>
              <w:top w:val="single" w:sz="4" w:space="0" w:color="auto"/>
              <w:left w:val="nil"/>
              <w:bottom w:val="single" w:sz="4" w:space="0" w:color="auto"/>
              <w:right w:val="single" w:sz="4" w:space="0" w:color="auto"/>
            </w:tcBorders>
          </w:tcPr>
          <w:p w:rsidR="0091579C" w:rsidRPr="00E520D4" w:rsidRDefault="0091579C" w:rsidP="0091579C">
            <w:pPr>
              <w:spacing w:line="220" w:lineRule="exact"/>
              <w:jc w:val="right"/>
              <w:rPr>
                <w:rFonts w:ascii="標楷體" w:eastAsia="標楷體" w:hAnsi="標楷體" w:cs="Arial"/>
                <w:color w:val="000000"/>
                <w:sz w:val="18"/>
                <w:szCs w:val="18"/>
              </w:rPr>
            </w:pPr>
            <w:r>
              <w:rPr>
                <w:rFonts w:ascii="標楷體" w:eastAsia="標楷體" w:hAnsi="標楷體" w:cs="Arial" w:hint="eastAsia"/>
                <w:color w:val="000000"/>
                <w:sz w:val="18"/>
                <w:szCs w:val="18"/>
              </w:rPr>
              <w:t>-4,923</w:t>
            </w:r>
          </w:p>
        </w:tc>
        <w:tc>
          <w:tcPr>
            <w:tcW w:w="618" w:type="dxa"/>
            <w:tcBorders>
              <w:top w:val="single" w:sz="4" w:space="0" w:color="auto"/>
              <w:left w:val="nil"/>
              <w:bottom w:val="single" w:sz="4" w:space="0" w:color="auto"/>
              <w:right w:val="single" w:sz="4" w:space="0" w:color="auto"/>
            </w:tcBorders>
          </w:tcPr>
          <w:p w:rsidR="0091579C" w:rsidRPr="00E520D4" w:rsidRDefault="0091579C" w:rsidP="0091579C">
            <w:pPr>
              <w:spacing w:line="220" w:lineRule="exact"/>
              <w:jc w:val="right"/>
              <w:rPr>
                <w:rFonts w:ascii="標楷體" w:eastAsia="標楷體" w:hAnsi="標楷體" w:cs="Arial"/>
                <w:color w:val="000000"/>
                <w:sz w:val="18"/>
                <w:szCs w:val="18"/>
              </w:rPr>
            </w:pPr>
            <w:r>
              <w:rPr>
                <w:rFonts w:ascii="標楷體" w:eastAsia="標楷體" w:hAnsi="標楷體" w:cs="Arial" w:hint="eastAsia"/>
                <w:color w:val="000000"/>
                <w:sz w:val="18"/>
                <w:szCs w:val="18"/>
              </w:rPr>
              <w:t>-9,263</w:t>
            </w:r>
          </w:p>
        </w:tc>
        <w:tc>
          <w:tcPr>
            <w:tcW w:w="2067" w:type="dxa"/>
            <w:tcBorders>
              <w:top w:val="single" w:sz="4" w:space="0" w:color="auto"/>
              <w:left w:val="nil"/>
              <w:bottom w:val="single" w:sz="4" w:space="0" w:color="auto"/>
              <w:right w:val="single" w:sz="12" w:space="0" w:color="auto"/>
            </w:tcBorders>
          </w:tcPr>
          <w:p w:rsidR="0091579C" w:rsidRPr="00F522DA" w:rsidRDefault="0091579C" w:rsidP="0091579C">
            <w:pPr>
              <w:widowControl/>
              <w:numPr>
                <w:ilvl w:val="0"/>
                <w:numId w:val="44"/>
              </w:numPr>
              <w:spacing w:line="220" w:lineRule="exact"/>
              <w:ind w:left="199" w:hanging="199"/>
              <w:jc w:val="both"/>
              <w:rPr>
                <w:rFonts w:ascii="標楷體" w:eastAsia="標楷體" w:hAnsi="標楷體" w:cs="Arial"/>
                <w:spacing w:val="-2"/>
                <w:sz w:val="18"/>
                <w:szCs w:val="18"/>
              </w:rPr>
            </w:pPr>
            <w:r w:rsidRPr="00F522DA">
              <w:rPr>
                <w:rFonts w:ascii="標楷體" w:eastAsia="標楷體" w:hAnsi="標楷體" w:cs="Arial" w:hint="eastAsia"/>
                <w:spacing w:val="-2"/>
                <w:sz w:val="18"/>
                <w:szCs w:val="18"/>
              </w:rPr>
              <w:t>公教人員部分，</w:t>
            </w:r>
            <w:r>
              <w:rPr>
                <w:rFonts w:ascii="標楷體" w:eastAsia="標楷體" w:hAnsi="標楷體" w:cs="Arial" w:hint="eastAsia"/>
                <w:spacing w:val="-2"/>
                <w:sz w:val="18"/>
                <w:szCs w:val="18"/>
              </w:rPr>
              <w:t>主要係</w:t>
            </w:r>
            <w:proofErr w:type="gramStart"/>
            <w:r w:rsidRPr="00F522DA">
              <w:rPr>
                <w:rFonts w:ascii="標楷體" w:eastAsia="標楷體" w:hAnsi="標楷體" w:cs="Arial" w:hint="eastAsia"/>
                <w:spacing w:val="-2"/>
                <w:sz w:val="18"/>
                <w:szCs w:val="18"/>
              </w:rPr>
              <w:t>銓敘部及教育部</w:t>
            </w:r>
            <w:proofErr w:type="gramEnd"/>
            <w:r>
              <w:rPr>
                <w:rFonts w:ascii="標楷體" w:eastAsia="標楷體" w:hAnsi="標楷體" w:cs="Arial" w:hint="eastAsia"/>
                <w:spacing w:val="-2"/>
                <w:sz w:val="18"/>
                <w:szCs w:val="18"/>
              </w:rPr>
              <w:t>依年金改革方案及107年軍公教待遇調整後之給與標準等重新精算，致減少1兆3,828億元</w:t>
            </w:r>
            <w:r w:rsidRPr="00F522DA">
              <w:rPr>
                <w:rFonts w:ascii="標楷體" w:eastAsia="標楷體" w:hAnsi="標楷體" w:cs="Arial" w:hint="eastAsia"/>
                <w:spacing w:val="-2"/>
                <w:sz w:val="18"/>
                <w:szCs w:val="18"/>
              </w:rPr>
              <w:t>。</w:t>
            </w:r>
          </w:p>
          <w:p w:rsidR="0091579C" w:rsidRPr="00F522DA" w:rsidRDefault="0091579C" w:rsidP="0091579C">
            <w:pPr>
              <w:widowControl/>
              <w:numPr>
                <w:ilvl w:val="0"/>
                <w:numId w:val="44"/>
              </w:numPr>
              <w:spacing w:afterLines="25" w:after="60" w:line="220" w:lineRule="exact"/>
              <w:ind w:left="187" w:hanging="187"/>
              <w:jc w:val="both"/>
              <w:rPr>
                <w:rFonts w:ascii="標楷體" w:eastAsia="標楷體" w:hAnsi="標楷體" w:cs="Arial"/>
                <w:spacing w:val="-2"/>
                <w:sz w:val="18"/>
                <w:szCs w:val="18"/>
              </w:rPr>
            </w:pPr>
            <w:r w:rsidRPr="00F522DA">
              <w:rPr>
                <w:rFonts w:ascii="標楷體" w:eastAsia="標楷體" w:hAnsi="標楷體" w:cs="Arial" w:hint="eastAsia"/>
                <w:spacing w:val="-2"/>
                <w:sz w:val="18"/>
                <w:szCs w:val="18"/>
              </w:rPr>
              <w:t>軍職人員部分，因退役及現役人數減少</w:t>
            </w:r>
            <w:r>
              <w:rPr>
                <w:rFonts w:ascii="標楷體" w:eastAsia="標楷體" w:hAnsi="標楷體" w:cs="Arial" w:hint="eastAsia"/>
                <w:spacing w:val="-2"/>
                <w:sz w:val="18"/>
                <w:szCs w:val="18"/>
              </w:rPr>
              <w:t>，致減少358億元</w:t>
            </w:r>
            <w:r w:rsidRPr="00F522DA">
              <w:rPr>
                <w:rFonts w:ascii="標楷體" w:eastAsia="標楷體" w:hAnsi="標楷體" w:cs="Arial" w:hint="eastAsia"/>
                <w:spacing w:val="-2"/>
                <w:sz w:val="18"/>
                <w:szCs w:val="18"/>
              </w:rPr>
              <w:t>。</w:t>
            </w:r>
          </w:p>
        </w:tc>
      </w:tr>
      <w:tr w:rsidR="0091579C" w:rsidRPr="00E520D4" w:rsidTr="00C0283A">
        <w:trPr>
          <w:jc w:val="center"/>
        </w:trPr>
        <w:tc>
          <w:tcPr>
            <w:tcW w:w="1418" w:type="dxa"/>
            <w:tcBorders>
              <w:top w:val="single" w:sz="4" w:space="0" w:color="auto"/>
              <w:left w:val="single" w:sz="12" w:space="0" w:color="auto"/>
              <w:bottom w:val="single" w:sz="4" w:space="0" w:color="auto"/>
              <w:right w:val="single" w:sz="4" w:space="0" w:color="000000"/>
            </w:tcBorders>
          </w:tcPr>
          <w:p w:rsidR="0091579C" w:rsidRPr="00E520D4" w:rsidRDefault="0091579C" w:rsidP="0091579C">
            <w:pPr>
              <w:widowControl/>
              <w:numPr>
                <w:ilvl w:val="0"/>
                <w:numId w:val="50"/>
              </w:numPr>
              <w:spacing w:line="220" w:lineRule="exact"/>
              <w:ind w:left="181" w:hanging="181"/>
              <w:jc w:val="both"/>
              <w:rPr>
                <w:rFonts w:ascii="標楷體" w:eastAsia="標楷體" w:hAnsi="標楷體" w:cs="Arial"/>
                <w:color w:val="000000"/>
                <w:spacing w:val="-2"/>
                <w:sz w:val="18"/>
                <w:szCs w:val="18"/>
              </w:rPr>
            </w:pPr>
            <w:r w:rsidRPr="00E520D4">
              <w:rPr>
                <w:rFonts w:ascii="標楷體" w:eastAsia="標楷體" w:hAnsi="標楷體" w:cs="Arial"/>
                <w:color w:val="000000"/>
                <w:spacing w:val="-2"/>
                <w:sz w:val="18"/>
                <w:szCs w:val="18"/>
              </w:rPr>
              <w:t>公務人員退休撫卹金</w:t>
            </w:r>
          </w:p>
        </w:tc>
        <w:tc>
          <w:tcPr>
            <w:tcW w:w="731" w:type="dxa"/>
            <w:tcBorders>
              <w:top w:val="single" w:sz="4" w:space="0" w:color="auto"/>
              <w:left w:val="nil"/>
              <w:bottom w:val="single" w:sz="4" w:space="0" w:color="auto"/>
              <w:right w:val="single" w:sz="4" w:space="0" w:color="auto"/>
            </w:tcBorders>
          </w:tcPr>
          <w:p w:rsidR="0091579C" w:rsidRPr="00E520D4" w:rsidRDefault="0091579C" w:rsidP="0091579C">
            <w:pPr>
              <w:spacing w:line="220" w:lineRule="exact"/>
              <w:jc w:val="right"/>
              <w:rPr>
                <w:rFonts w:ascii="標楷體" w:eastAsia="標楷體" w:hAnsi="標楷體" w:cs="Arial"/>
                <w:color w:val="000000"/>
                <w:sz w:val="18"/>
                <w:szCs w:val="18"/>
              </w:rPr>
            </w:pPr>
            <w:r>
              <w:rPr>
                <w:rFonts w:ascii="標楷體" w:eastAsia="標楷體" w:hAnsi="標楷體" w:cs="Arial" w:hint="eastAsia"/>
                <w:color w:val="000000"/>
                <w:sz w:val="18"/>
                <w:szCs w:val="18"/>
              </w:rPr>
              <w:t>24,987</w:t>
            </w:r>
          </w:p>
        </w:tc>
        <w:tc>
          <w:tcPr>
            <w:tcW w:w="728" w:type="dxa"/>
            <w:tcBorders>
              <w:top w:val="single" w:sz="4" w:space="0" w:color="auto"/>
              <w:left w:val="nil"/>
              <w:bottom w:val="single" w:sz="4" w:space="0" w:color="auto"/>
              <w:right w:val="single" w:sz="4" w:space="0" w:color="auto"/>
            </w:tcBorders>
          </w:tcPr>
          <w:p w:rsidR="0091579C" w:rsidRPr="00E520D4" w:rsidRDefault="0091579C" w:rsidP="0091579C">
            <w:pPr>
              <w:spacing w:line="220" w:lineRule="exact"/>
              <w:jc w:val="right"/>
              <w:rPr>
                <w:rFonts w:ascii="標楷體" w:eastAsia="標楷體" w:hAnsi="標楷體" w:cs="Arial"/>
                <w:color w:val="000000"/>
                <w:sz w:val="18"/>
                <w:szCs w:val="18"/>
              </w:rPr>
            </w:pPr>
            <w:r>
              <w:rPr>
                <w:rFonts w:ascii="標楷體" w:eastAsia="標楷體" w:hAnsi="標楷體" w:cs="Arial" w:hint="eastAsia"/>
                <w:color w:val="000000"/>
                <w:sz w:val="18"/>
                <w:szCs w:val="18"/>
              </w:rPr>
              <w:t>11,192</w:t>
            </w:r>
          </w:p>
        </w:tc>
        <w:tc>
          <w:tcPr>
            <w:tcW w:w="625" w:type="dxa"/>
            <w:tcBorders>
              <w:top w:val="single" w:sz="4" w:space="0" w:color="auto"/>
              <w:left w:val="nil"/>
              <w:bottom w:val="single" w:sz="4" w:space="0" w:color="auto"/>
              <w:right w:val="single" w:sz="4" w:space="0" w:color="auto"/>
            </w:tcBorders>
          </w:tcPr>
          <w:p w:rsidR="0091579C" w:rsidRPr="00E520D4" w:rsidRDefault="0091579C" w:rsidP="0091579C">
            <w:pPr>
              <w:spacing w:line="220" w:lineRule="exact"/>
              <w:jc w:val="right"/>
              <w:rPr>
                <w:rFonts w:ascii="標楷體" w:eastAsia="標楷體" w:hAnsi="標楷體" w:cs="Arial"/>
                <w:color w:val="000000"/>
                <w:sz w:val="18"/>
                <w:szCs w:val="18"/>
              </w:rPr>
            </w:pPr>
            <w:r>
              <w:rPr>
                <w:rFonts w:ascii="標楷體" w:eastAsia="標楷體" w:hAnsi="標楷體" w:cs="Arial" w:hint="eastAsia"/>
                <w:color w:val="000000"/>
                <w:sz w:val="18"/>
                <w:szCs w:val="18"/>
              </w:rPr>
              <w:t>13,795</w:t>
            </w:r>
          </w:p>
        </w:tc>
        <w:tc>
          <w:tcPr>
            <w:tcW w:w="728" w:type="dxa"/>
            <w:tcBorders>
              <w:top w:val="single" w:sz="4" w:space="0" w:color="auto"/>
              <w:left w:val="nil"/>
              <w:bottom w:val="single" w:sz="4" w:space="0" w:color="auto"/>
              <w:right w:val="single" w:sz="4" w:space="0" w:color="auto"/>
            </w:tcBorders>
          </w:tcPr>
          <w:p w:rsidR="0091579C" w:rsidRPr="00E520D4" w:rsidRDefault="0091579C" w:rsidP="0091579C">
            <w:pPr>
              <w:spacing w:line="220" w:lineRule="exact"/>
              <w:jc w:val="right"/>
              <w:rPr>
                <w:rFonts w:ascii="標楷體" w:eastAsia="標楷體" w:hAnsi="標楷體" w:cs="Arial"/>
                <w:color w:val="000000"/>
                <w:sz w:val="18"/>
                <w:szCs w:val="18"/>
              </w:rPr>
            </w:pPr>
            <w:r w:rsidRPr="00E520D4">
              <w:rPr>
                <w:rFonts w:ascii="標楷體" w:eastAsia="標楷體" w:hAnsi="標楷體" w:cs="Arial" w:hint="eastAsia"/>
                <w:color w:val="000000"/>
                <w:sz w:val="18"/>
                <w:szCs w:val="18"/>
              </w:rPr>
              <w:t>24,928</w:t>
            </w:r>
          </w:p>
        </w:tc>
        <w:tc>
          <w:tcPr>
            <w:tcW w:w="728" w:type="dxa"/>
            <w:tcBorders>
              <w:top w:val="single" w:sz="4" w:space="0" w:color="auto"/>
              <w:left w:val="nil"/>
              <w:bottom w:val="single" w:sz="4" w:space="0" w:color="auto"/>
              <w:right w:val="single" w:sz="4" w:space="0" w:color="auto"/>
            </w:tcBorders>
          </w:tcPr>
          <w:p w:rsidR="0091579C" w:rsidRPr="00E520D4" w:rsidRDefault="0091579C" w:rsidP="0091579C">
            <w:pPr>
              <w:spacing w:line="220" w:lineRule="exact"/>
              <w:jc w:val="right"/>
              <w:rPr>
                <w:rFonts w:ascii="標楷體" w:eastAsia="標楷體" w:hAnsi="標楷體" w:cs="Arial"/>
                <w:color w:val="000000"/>
                <w:sz w:val="18"/>
                <w:szCs w:val="18"/>
              </w:rPr>
            </w:pPr>
            <w:r w:rsidRPr="00E520D4">
              <w:rPr>
                <w:rFonts w:ascii="標楷體" w:eastAsia="標楷體" w:hAnsi="標楷體" w:cs="Arial" w:hint="eastAsia"/>
                <w:color w:val="000000"/>
                <w:sz w:val="18"/>
                <w:szCs w:val="18"/>
              </w:rPr>
              <w:t>10,822</w:t>
            </w:r>
          </w:p>
        </w:tc>
        <w:tc>
          <w:tcPr>
            <w:tcW w:w="625" w:type="dxa"/>
            <w:tcBorders>
              <w:top w:val="single" w:sz="4" w:space="0" w:color="auto"/>
              <w:left w:val="nil"/>
              <w:bottom w:val="single" w:sz="4" w:space="0" w:color="auto"/>
              <w:right w:val="single" w:sz="4" w:space="0" w:color="auto"/>
            </w:tcBorders>
          </w:tcPr>
          <w:p w:rsidR="0091579C" w:rsidRPr="00E520D4" w:rsidRDefault="0091579C" w:rsidP="0091579C">
            <w:pPr>
              <w:spacing w:line="220" w:lineRule="exact"/>
              <w:jc w:val="right"/>
              <w:rPr>
                <w:rFonts w:ascii="標楷體" w:eastAsia="標楷體" w:hAnsi="標楷體" w:cs="Arial"/>
                <w:color w:val="000000"/>
                <w:sz w:val="18"/>
                <w:szCs w:val="18"/>
              </w:rPr>
            </w:pPr>
            <w:r w:rsidRPr="00E520D4">
              <w:rPr>
                <w:rFonts w:ascii="標楷體" w:eastAsia="標楷體" w:hAnsi="標楷體" w:cs="Arial" w:hint="eastAsia"/>
                <w:color w:val="000000"/>
                <w:sz w:val="18"/>
                <w:szCs w:val="18"/>
              </w:rPr>
              <w:t>14,106</w:t>
            </w:r>
          </w:p>
        </w:tc>
        <w:tc>
          <w:tcPr>
            <w:tcW w:w="728" w:type="dxa"/>
            <w:tcBorders>
              <w:top w:val="single" w:sz="4" w:space="0" w:color="auto"/>
              <w:left w:val="nil"/>
              <w:bottom w:val="single" w:sz="4" w:space="0" w:color="auto"/>
              <w:right w:val="single" w:sz="4" w:space="0" w:color="auto"/>
            </w:tcBorders>
          </w:tcPr>
          <w:p w:rsidR="0091579C" w:rsidRPr="00E520D4" w:rsidRDefault="0091579C" w:rsidP="0091579C">
            <w:pPr>
              <w:spacing w:line="220" w:lineRule="exact"/>
              <w:jc w:val="right"/>
              <w:rPr>
                <w:rFonts w:ascii="標楷體" w:eastAsia="標楷體" w:hAnsi="標楷體" w:cs="Arial"/>
                <w:color w:val="000000"/>
                <w:sz w:val="18"/>
                <w:szCs w:val="18"/>
              </w:rPr>
            </w:pPr>
            <w:r>
              <w:rPr>
                <w:rFonts w:ascii="標楷體" w:eastAsia="標楷體" w:hAnsi="標楷體" w:cs="Arial" w:hint="eastAsia"/>
                <w:color w:val="000000"/>
                <w:sz w:val="18"/>
                <w:szCs w:val="18"/>
              </w:rPr>
              <w:t>59</w:t>
            </w:r>
          </w:p>
        </w:tc>
        <w:tc>
          <w:tcPr>
            <w:tcW w:w="617" w:type="dxa"/>
            <w:tcBorders>
              <w:top w:val="single" w:sz="4" w:space="0" w:color="auto"/>
              <w:left w:val="nil"/>
              <w:bottom w:val="single" w:sz="4" w:space="0" w:color="auto"/>
              <w:right w:val="single" w:sz="4" w:space="0" w:color="auto"/>
            </w:tcBorders>
          </w:tcPr>
          <w:p w:rsidR="0091579C" w:rsidRPr="00E520D4" w:rsidRDefault="0091579C" w:rsidP="0091579C">
            <w:pPr>
              <w:spacing w:line="220" w:lineRule="exact"/>
              <w:jc w:val="right"/>
              <w:rPr>
                <w:rFonts w:ascii="標楷體" w:eastAsia="標楷體" w:hAnsi="標楷體" w:cs="Arial"/>
                <w:color w:val="000000"/>
                <w:sz w:val="18"/>
                <w:szCs w:val="18"/>
              </w:rPr>
            </w:pPr>
            <w:r>
              <w:rPr>
                <w:rFonts w:ascii="標楷體" w:eastAsia="標楷體" w:hAnsi="標楷體" w:cs="Arial" w:hint="eastAsia"/>
                <w:color w:val="000000"/>
                <w:sz w:val="18"/>
                <w:szCs w:val="18"/>
              </w:rPr>
              <w:t>370</w:t>
            </w:r>
          </w:p>
        </w:tc>
        <w:tc>
          <w:tcPr>
            <w:tcW w:w="618" w:type="dxa"/>
            <w:tcBorders>
              <w:top w:val="single" w:sz="4" w:space="0" w:color="auto"/>
              <w:left w:val="nil"/>
              <w:bottom w:val="single" w:sz="4" w:space="0" w:color="auto"/>
              <w:right w:val="single" w:sz="4" w:space="0" w:color="auto"/>
            </w:tcBorders>
          </w:tcPr>
          <w:p w:rsidR="0091579C" w:rsidRPr="00E520D4" w:rsidRDefault="0091579C" w:rsidP="0091579C">
            <w:pPr>
              <w:spacing w:line="220" w:lineRule="exact"/>
              <w:jc w:val="right"/>
              <w:rPr>
                <w:rFonts w:ascii="標楷體" w:eastAsia="標楷體" w:hAnsi="標楷體" w:cs="Arial"/>
                <w:color w:val="000000"/>
                <w:sz w:val="18"/>
                <w:szCs w:val="18"/>
              </w:rPr>
            </w:pPr>
            <w:r>
              <w:rPr>
                <w:rFonts w:ascii="標楷體" w:eastAsia="標楷體" w:hAnsi="標楷體" w:cs="Arial" w:hint="eastAsia"/>
                <w:color w:val="000000"/>
                <w:sz w:val="18"/>
                <w:szCs w:val="18"/>
              </w:rPr>
              <w:t>-311</w:t>
            </w:r>
          </w:p>
        </w:tc>
        <w:tc>
          <w:tcPr>
            <w:tcW w:w="2067" w:type="dxa"/>
            <w:tcBorders>
              <w:top w:val="single" w:sz="4" w:space="0" w:color="auto"/>
              <w:left w:val="nil"/>
              <w:bottom w:val="single" w:sz="4" w:space="0" w:color="auto"/>
              <w:right w:val="single" w:sz="12" w:space="0" w:color="auto"/>
            </w:tcBorders>
          </w:tcPr>
          <w:p w:rsidR="0091579C" w:rsidRPr="00BA33CA" w:rsidRDefault="0091579C" w:rsidP="0091579C">
            <w:pPr>
              <w:widowControl/>
              <w:spacing w:afterLines="25" w:after="60" w:line="220" w:lineRule="exact"/>
              <w:jc w:val="both"/>
              <w:rPr>
                <w:rFonts w:ascii="標楷體" w:eastAsia="標楷體" w:hAnsi="標楷體" w:cs="Arial"/>
                <w:spacing w:val="-2"/>
                <w:sz w:val="18"/>
                <w:szCs w:val="18"/>
              </w:rPr>
            </w:pPr>
            <w:r w:rsidRPr="00BA33CA">
              <w:rPr>
                <w:rFonts w:ascii="標楷體" w:eastAsia="標楷體" w:hAnsi="標楷體" w:cs="Arial" w:hint="eastAsia"/>
                <w:spacing w:val="-2"/>
                <w:sz w:val="18"/>
                <w:szCs w:val="18"/>
              </w:rPr>
              <w:t>本年度增加</w:t>
            </w:r>
            <w:r>
              <w:rPr>
                <w:rFonts w:ascii="標楷體" w:eastAsia="標楷體" w:hAnsi="標楷體" w:cs="Arial" w:hint="eastAsia"/>
                <w:spacing w:val="-2"/>
                <w:sz w:val="18"/>
                <w:szCs w:val="18"/>
              </w:rPr>
              <w:t>59</w:t>
            </w:r>
            <w:r w:rsidRPr="00BA33CA">
              <w:rPr>
                <w:rFonts w:ascii="標楷體" w:eastAsia="標楷體" w:hAnsi="標楷體" w:cs="Arial" w:hint="eastAsia"/>
                <w:spacing w:val="-2"/>
                <w:sz w:val="18"/>
                <w:szCs w:val="18"/>
              </w:rPr>
              <w:t>億元，主要係</w:t>
            </w:r>
            <w:r>
              <w:rPr>
                <w:rFonts w:ascii="標楷體" w:eastAsia="標楷體" w:hAnsi="標楷體" w:cs="Arial" w:hint="eastAsia"/>
                <w:spacing w:val="-2"/>
                <w:sz w:val="18"/>
                <w:szCs w:val="18"/>
              </w:rPr>
              <w:t>公務人員退休撫</w:t>
            </w:r>
            <w:proofErr w:type="gramStart"/>
            <w:r>
              <w:rPr>
                <w:rFonts w:ascii="標楷體" w:eastAsia="標楷體" w:hAnsi="標楷體" w:cs="Arial" w:hint="eastAsia"/>
                <w:spacing w:val="-2"/>
                <w:sz w:val="18"/>
                <w:szCs w:val="18"/>
              </w:rPr>
              <w:t>卹</w:t>
            </w:r>
            <w:proofErr w:type="gramEnd"/>
            <w:r>
              <w:rPr>
                <w:rFonts w:ascii="標楷體" w:eastAsia="標楷體" w:hAnsi="標楷體" w:cs="Arial" w:hint="eastAsia"/>
                <w:spacing w:val="-2"/>
                <w:sz w:val="18"/>
                <w:szCs w:val="18"/>
              </w:rPr>
              <w:t>基金管理委員會依年金改革方案及107年軍公教待遇調整後之給與標準等重新精算，減少未來或有給付責任；另</w:t>
            </w:r>
            <w:r w:rsidRPr="00BA33CA">
              <w:rPr>
                <w:rFonts w:ascii="標楷體" w:eastAsia="標楷體" w:hAnsi="標楷體" w:cs="Arial" w:hint="eastAsia"/>
                <w:spacing w:val="-2"/>
                <w:sz w:val="18"/>
                <w:szCs w:val="18"/>
              </w:rPr>
              <w:t>參加退撫基金63萬人新增1年服務年資</w:t>
            </w:r>
            <w:r>
              <w:rPr>
                <w:rFonts w:ascii="標楷體" w:eastAsia="標楷體" w:hAnsi="標楷體" w:cs="Arial" w:hint="eastAsia"/>
                <w:spacing w:val="-2"/>
                <w:sz w:val="18"/>
                <w:szCs w:val="18"/>
              </w:rPr>
              <w:t>，增加未來或有給付責任，相關增減互抵後淨增</w:t>
            </w:r>
            <w:r w:rsidRPr="00BA33CA">
              <w:rPr>
                <w:rFonts w:ascii="標楷體" w:eastAsia="標楷體" w:hAnsi="標楷體" w:cs="Arial" w:hint="eastAsia"/>
                <w:spacing w:val="-2"/>
                <w:sz w:val="18"/>
                <w:szCs w:val="18"/>
              </w:rPr>
              <w:t>所致。</w:t>
            </w:r>
          </w:p>
        </w:tc>
      </w:tr>
      <w:tr w:rsidR="0091579C" w:rsidRPr="00E520D4" w:rsidTr="00C0283A">
        <w:trPr>
          <w:jc w:val="center"/>
        </w:trPr>
        <w:tc>
          <w:tcPr>
            <w:tcW w:w="1418" w:type="dxa"/>
            <w:tcBorders>
              <w:top w:val="single" w:sz="4" w:space="0" w:color="auto"/>
              <w:left w:val="single" w:sz="12" w:space="0" w:color="auto"/>
              <w:bottom w:val="single" w:sz="4" w:space="0" w:color="auto"/>
              <w:right w:val="single" w:sz="4" w:space="0" w:color="000000"/>
            </w:tcBorders>
          </w:tcPr>
          <w:p w:rsidR="0091579C" w:rsidRPr="00E520D4" w:rsidRDefault="0091579C" w:rsidP="0091579C">
            <w:pPr>
              <w:widowControl/>
              <w:numPr>
                <w:ilvl w:val="0"/>
                <w:numId w:val="50"/>
              </w:numPr>
              <w:spacing w:line="220" w:lineRule="exact"/>
              <w:ind w:left="181" w:hanging="181"/>
              <w:jc w:val="both"/>
              <w:rPr>
                <w:rFonts w:ascii="標楷體" w:eastAsia="標楷體" w:hAnsi="標楷體" w:cs="Arial"/>
                <w:color w:val="000000"/>
                <w:spacing w:val="-2"/>
                <w:sz w:val="12"/>
                <w:szCs w:val="12"/>
              </w:rPr>
            </w:pPr>
            <w:r w:rsidRPr="00BA33CA">
              <w:rPr>
                <w:rFonts w:ascii="標楷體" w:eastAsia="標楷體" w:hAnsi="標楷體" w:cs="Arial"/>
                <w:color w:val="000000"/>
                <w:spacing w:val="-4"/>
                <w:sz w:val="18"/>
                <w:szCs w:val="18"/>
              </w:rPr>
              <w:t>勞工保險</w:t>
            </w:r>
          </w:p>
        </w:tc>
        <w:tc>
          <w:tcPr>
            <w:tcW w:w="731" w:type="dxa"/>
            <w:tcBorders>
              <w:top w:val="single" w:sz="4" w:space="0" w:color="auto"/>
              <w:left w:val="nil"/>
              <w:bottom w:val="single" w:sz="4" w:space="0" w:color="auto"/>
              <w:right w:val="single" w:sz="4" w:space="0" w:color="auto"/>
            </w:tcBorders>
          </w:tcPr>
          <w:p w:rsidR="0091579C" w:rsidRPr="00E520D4" w:rsidRDefault="0091579C" w:rsidP="0091579C">
            <w:pPr>
              <w:spacing w:line="220" w:lineRule="exact"/>
              <w:jc w:val="right"/>
              <w:rPr>
                <w:rFonts w:ascii="標楷體" w:eastAsia="標楷體" w:hAnsi="標楷體" w:cs="Arial"/>
                <w:color w:val="000000"/>
                <w:sz w:val="18"/>
                <w:szCs w:val="18"/>
              </w:rPr>
            </w:pPr>
            <w:r>
              <w:rPr>
                <w:rFonts w:ascii="標楷體" w:eastAsia="標楷體" w:hAnsi="標楷體" w:cs="Arial" w:hint="eastAsia"/>
                <w:color w:val="000000"/>
                <w:sz w:val="18"/>
                <w:szCs w:val="18"/>
              </w:rPr>
              <w:t>102,332</w:t>
            </w:r>
          </w:p>
        </w:tc>
        <w:tc>
          <w:tcPr>
            <w:tcW w:w="728" w:type="dxa"/>
            <w:tcBorders>
              <w:top w:val="single" w:sz="4" w:space="0" w:color="auto"/>
              <w:left w:val="nil"/>
              <w:bottom w:val="single" w:sz="4" w:space="0" w:color="auto"/>
              <w:right w:val="single" w:sz="4" w:space="0" w:color="auto"/>
            </w:tcBorders>
          </w:tcPr>
          <w:p w:rsidR="0091579C" w:rsidRPr="00E520D4" w:rsidRDefault="0091579C" w:rsidP="0091579C">
            <w:pPr>
              <w:spacing w:line="220" w:lineRule="exact"/>
              <w:jc w:val="right"/>
              <w:rPr>
                <w:rFonts w:ascii="標楷體" w:eastAsia="標楷體" w:hAnsi="標楷體" w:cs="Arial"/>
                <w:color w:val="000000"/>
                <w:sz w:val="18"/>
                <w:szCs w:val="18"/>
              </w:rPr>
            </w:pPr>
            <w:r>
              <w:rPr>
                <w:rFonts w:ascii="標楷體" w:eastAsia="標楷體" w:hAnsi="標楷體" w:cs="Arial" w:hint="eastAsia"/>
                <w:color w:val="000000"/>
                <w:sz w:val="18"/>
                <w:szCs w:val="18"/>
              </w:rPr>
              <w:t>102,332</w:t>
            </w:r>
          </w:p>
        </w:tc>
        <w:tc>
          <w:tcPr>
            <w:tcW w:w="625" w:type="dxa"/>
            <w:tcBorders>
              <w:top w:val="single" w:sz="4" w:space="0" w:color="auto"/>
              <w:left w:val="nil"/>
              <w:bottom w:val="single" w:sz="4" w:space="0" w:color="auto"/>
              <w:right w:val="single" w:sz="4" w:space="0" w:color="auto"/>
            </w:tcBorders>
          </w:tcPr>
          <w:p w:rsidR="0091579C" w:rsidRPr="00E520D4" w:rsidRDefault="0091579C" w:rsidP="0091579C">
            <w:pPr>
              <w:spacing w:line="220" w:lineRule="exact"/>
              <w:jc w:val="right"/>
              <w:rPr>
                <w:rFonts w:ascii="標楷體" w:eastAsia="標楷體" w:hAnsi="標楷體" w:cs="Arial"/>
                <w:color w:val="000000"/>
                <w:sz w:val="18"/>
                <w:szCs w:val="18"/>
              </w:rPr>
            </w:pPr>
            <w:r>
              <w:rPr>
                <w:rFonts w:ascii="標楷體" w:eastAsia="標楷體" w:hAnsi="標楷體" w:cs="Arial" w:hint="eastAsia"/>
                <w:color w:val="000000"/>
                <w:sz w:val="18"/>
                <w:szCs w:val="18"/>
              </w:rPr>
              <w:t>-</w:t>
            </w:r>
          </w:p>
        </w:tc>
        <w:tc>
          <w:tcPr>
            <w:tcW w:w="728" w:type="dxa"/>
            <w:tcBorders>
              <w:top w:val="single" w:sz="4" w:space="0" w:color="auto"/>
              <w:left w:val="nil"/>
              <w:bottom w:val="single" w:sz="4" w:space="0" w:color="auto"/>
              <w:right w:val="single" w:sz="4" w:space="0" w:color="auto"/>
            </w:tcBorders>
          </w:tcPr>
          <w:p w:rsidR="0091579C" w:rsidRPr="00E520D4" w:rsidRDefault="0091579C" w:rsidP="0091579C">
            <w:pPr>
              <w:spacing w:line="220" w:lineRule="exact"/>
              <w:jc w:val="right"/>
              <w:rPr>
                <w:rFonts w:ascii="標楷體" w:eastAsia="標楷體" w:hAnsi="標楷體" w:cs="Arial"/>
                <w:color w:val="000000"/>
                <w:sz w:val="18"/>
                <w:szCs w:val="18"/>
              </w:rPr>
            </w:pPr>
            <w:r w:rsidRPr="00E520D4">
              <w:rPr>
                <w:rFonts w:ascii="標楷體" w:eastAsia="標楷體" w:hAnsi="標楷體" w:cs="Arial" w:hint="eastAsia"/>
                <w:color w:val="000000"/>
                <w:sz w:val="18"/>
                <w:szCs w:val="18"/>
              </w:rPr>
              <w:t>95,656</w:t>
            </w:r>
          </w:p>
        </w:tc>
        <w:tc>
          <w:tcPr>
            <w:tcW w:w="728" w:type="dxa"/>
            <w:tcBorders>
              <w:top w:val="single" w:sz="4" w:space="0" w:color="auto"/>
              <w:left w:val="nil"/>
              <w:bottom w:val="single" w:sz="4" w:space="0" w:color="auto"/>
              <w:right w:val="single" w:sz="4" w:space="0" w:color="auto"/>
            </w:tcBorders>
          </w:tcPr>
          <w:p w:rsidR="0091579C" w:rsidRPr="00E520D4" w:rsidRDefault="0091579C" w:rsidP="0091579C">
            <w:pPr>
              <w:spacing w:line="220" w:lineRule="exact"/>
              <w:jc w:val="right"/>
              <w:rPr>
                <w:rFonts w:ascii="標楷體" w:eastAsia="標楷體" w:hAnsi="標楷體" w:cs="Arial"/>
                <w:color w:val="000000"/>
                <w:sz w:val="18"/>
                <w:szCs w:val="18"/>
              </w:rPr>
            </w:pPr>
            <w:r w:rsidRPr="00E520D4">
              <w:rPr>
                <w:rFonts w:ascii="標楷體" w:eastAsia="標楷體" w:hAnsi="標楷體" w:cs="Arial" w:hint="eastAsia"/>
                <w:color w:val="000000"/>
                <w:sz w:val="18"/>
                <w:szCs w:val="18"/>
              </w:rPr>
              <w:t>95,656</w:t>
            </w:r>
          </w:p>
        </w:tc>
        <w:tc>
          <w:tcPr>
            <w:tcW w:w="625" w:type="dxa"/>
            <w:tcBorders>
              <w:top w:val="single" w:sz="4" w:space="0" w:color="auto"/>
              <w:left w:val="nil"/>
              <w:bottom w:val="single" w:sz="4" w:space="0" w:color="auto"/>
              <w:right w:val="single" w:sz="4" w:space="0" w:color="auto"/>
            </w:tcBorders>
          </w:tcPr>
          <w:p w:rsidR="0091579C" w:rsidRPr="00E520D4" w:rsidRDefault="0091579C" w:rsidP="0091579C">
            <w:pPr>
              <w:spacing w:line="220" w:lineRule="exact"/>
              <w:jc w:val="right"/>
              <w:rPr>
                <w:rFonts w:ascii="標楷體" w:eastAsia="標楷體" w:hAnsi="標楷體" w:cs="Arial"/>
                <w:color w:val="000000"/>
                <w:sz w:val="18"/>
                <w:szCs w:val="18"/>
              </w:rPr>
            </w:pPr>
            <w:r w:rsidRPr="00E520D4">
              <w:rPr>
                <w:rFonts w:ascii="標楷體" w:eastAsia="標楷體" w:hAnsi="標楷體" w:cs="Arial" w:hint="eastAsia"/>
                <w:color w:val="000000"/>
                <w:sz w:val="18"/>
                <w:szCs w:val="18"/>
              </w:rPr>
              <w:t>-</w:t>
            </w:r>
          </w:p>
        </w:tc>
        <w:tc>
          <w:tcPr>
            <w:tcW w:w="728" w:type="dxa"/>
            <w:tcBorders>
              <w:top w:val="single" w:sz="4" w:space="0" w:color="auto"/>
              <w:left w:val="nil"/>
              <w:bottom w:val="single" w:sz="4" w:space="0" w:color="auto"/>
              <w:right w:val="single" w:sz="4" w:space="0" w:color="auto"/>
            </w:tcBorders>
          </w:tcPr>
          <w:p w:rsidR="0091579C" w:rsidRPr="00E520D4" w:rsidRDefault="0091579C" w:rsidP="0091579C">
            <w:pPr>
              <w:spacing w:line="220" w:lineRule="exact"/>
              <w:jc w:val="right"/>
              <w:rPr>
                <w:rFonts w:ascii="標楷體" w:eastAsia="標楷體" w:hAnsi="標楷體" w:cs="Arial"/>
                <w:color w:val="000000"/>
                <w:sz w:val="18"/>
                <w:szCs w:val="18"/>
              </w:rPr>
            </w:pPr>
            <w:r>
              <w:rPr>
                <w:rFonts w:ascii="標楷體" w:eastAsia="標楷體" w:hAnsi="標楷體" w:cs="Arial" w:hint="eastAsia"/>
                <w:color w:val="000000"/>
                <w:sz w:val="18"/>
                <w:szCs w:val="18"/>
              </w:rPr>
              <w:t>6,676</w:t>
            </w:r>
          </w:p>
        </w:tc>
        <w:tc>
          <w:tcPr>
            <w:tcW w:w="617" w:type="dxa"/>
            <w:tcBorders>
              <w:top w:val="single" w:sz="4" w:space="0" w:color="auto"/>
              <w:left w:val="nil"/>
              <w:bottom w:val="single" w:sz="4" w:space="0" w:color="auto"/>
              <w:right w:val="single" w:sz="4" w:space="0" w:color="auto"/>
            </w:tcBorders>
          </w:tcPr>
          <w:p w:rsidR="0091579C" w:rsidRPr="00E520D4" w:rsidRDefault="0091579C" w:rsidP="0091579C">
            <w:pPr>
              <w:spacing w:line="220" w:lineRule="exact"/>
              <w:jc w:val="right"/>
              <w:rPr>
                <w:rFonts w:ascii="標楷體" w:eastAsia="標楷體" w:hAnsi="標楷體" w:cs="Arial"/>
                <w:color w:val="000000"/>
                <w:sz w:val="18"/>
                <w:szCs w:val="18"/>
              </w:rPr>
            </w:pPr>
            <w:r>
              <w:rPr>
                <w:rFonts w:ascii="標楷體" w:eastAsia="標楷體" w:hAnsi="標楷體" w:cs="Arial" w:hint="eastAsia"/>
                <w:color w:val="000000"/>
                <w:sz w:val="18"/>
                <w:szCs w:val="18"/>
              </w:rPr>
              <w:t>6,676</w:t>
            </w:r>
          </w:p>
        </w:tc>
        <w:tc>
          <w:tcPr>
            <w:tcW w:w="618" w:type="dxa"/>
            <w:tcBorders>
              <w:top w:val="single" w:sz="4" w:space="0" w:color="auto"/>
              <w:left w:val="nil"/>
              <w:bottom w:val="single" w:sz="4" w:space="0" w:color="auto"/>
              <w:right w:val="single" w:sz="4" w:space="0" w:color="auto"/>
            </w:tcBorders>
          </w:tcPr>
          <w:p w:rsidR="0091579C" w:rsidRPr="00E520D4" w:rsidRDefault="0091579C" w:rsidP="0091579C">
            <w:pPr>
              <w:widowControl/>
              <w:spacing w:line="220" w:lineRule="exact"/>
              <w:ind w:left="172" w:hangingChars="100" w:hanging="172"/>
              <w:jc w:val="right"/>
              <w:rPr>
                <w:rFonts w:ascii="標楷體" w:eastAsia="標楷體" w:hAnsi="標楷體" w:cs="Arial"/>
                <w:color w:val="000000"/>
                <w:spacing w:val="-4"/>
                <w:sz w:val="18"/>
                <w:szCs w:val="18"/>
              </w:rPr>
            </w:pPr>
            <w:r>
              <w:rPr>
                <w:rFonts w:ascii="標楷體" w:eastAsia="標楷體" w:hAnsi="標楷體" w:cs="Arial" w:hint="eastAsia"/>
                <w:color w:val="000000"/>
                <w:spacing w:val="-4"/>
                <w:sz w:val="18"/>
                <w:szCs w:val="18"/>
              </w:rPr>
              <w:t>-</w:t>
            </w:r>
          </w:p>
        </w:tc>
        <w:tc>
          <w:tcPr>
            <w:tcW w:w="2067" w:type="dxa"/>
            <w:tcBorders>
              <w:top w:val="single" w:sz="4" w:space="0" w:color="auto"/>
              <w:left w:val="nil"/>
              <w:bottom w:val="single" w:sz="4" w:space="0" w:color="auto"/>
              <w:right w:val="single" w:sz="12" w:space="0" w:color="auto"/>
            </w:tcBorders>
          </w:tcPr>
          <w:p w:rsidR="0091579C" w:rsidRPr="00E520D4" w:rsidRDefault="0091579C" w:rsidP="0091579C">
            <w:pPr>
              <w:widowControl/>
              <w:spacing w:afterLines="25" w:after="60" w:line="220" w:lineRule="exact"/>
              <w:jc w:val="both"/>
              <w:rPr>
                <w:rFonts w:ascii="標楷體" w:eastAsia="標楷體" w:hAnsi="標楷體" w:cs="Arial"/>
                <w:color w:val="000000"/>
                <w:spacing w:val="-4"/>
                <w:sz w:val="18"/>
                <w:szCs w:val="18"/>
              </w:rPr>
            </w:pPr>
            <w:r w:rsidRPr="00E520D4">
              <w:rPr>
                <w:rFonts w:ascii="標楷體" w:eastAsia="標楷體" w:hAnsi="標楷體" w:cs="Arial" w:hint="eastAsia"/>
                <w:color w:val="000000"/>
                <w:spacing w:val="-2"/>
                <w:sz w:val="18"/>
                <w:szCs w:val="18"/>
              </w:rPr>
              <w:t>本年度增加6</w:t>
            </w:r>
            <w:r>
              <w:rPr>
                <w:rFonts w:ascii="標楷體" w:eastAsia="標楷體" w:hAnsi="標楷體" w:cs="Arial" w:hint="eastAsia"/>
                <w:color w:val="000000"/>
                <w:spacing w:val="-2"/>
                <w:sz w:val="18"/>
                <w:szCs w:val="18"/>
              </w:rPr>
              <w:t>,676</w:t>
            </w:r>
            <w:r w:rsidRPr="00E520D4">
              <w:rPr>
                <w:rFonts w:ascii="標楷體" w:eastAsia="標楷體" w:hAnsi="標楷體" w:cs="Arial" w:hint="eastAsia"/>
                <w:color w:val="000000"/>
                <w:spacing w:val="-2"/>
                <w:sz w:val="18"/>
                <w:szCs w:val="18"/>
              </w:rPr>
              <w:t>億元，</w:t>
            </w:r>
            <w:r w:rsidRPr="00E520D4">
              <w:rPr>
                <w:rFonts w:ascii="標楷體" w:eastAsia="標楷體" w:hAnsi="標楷體" w:cs="Arial" w:hint="eastAsia"/>
                <w:color w:val="000000"/>
                <w:spacing w:val="-4"/>
                <w:sz w:val="18"/>
                <w:szCs w:val="18"/>
              </w:rPr>
              <w:t>主要係勞動部重新辦理精算，調整精算假設（如投保人數由原</w:t>
            </w:r>
            <w:r>
              <w:rPr>
                <w:rFonts w:ascii="標楷體" w:eastAsia="標楷體" w:hAnsi="標楷體" w:cs="Arial" w:hint="eastAsia"/>
                <w:color w:val="000000"/>
                <w:spacing w:val="-4"/>
                <w:sz w:val="18"/>
                <w:szCs w:val="18"/>
              </w:rPr>
              <w:t>978</w:t>
            </w:r>
            <w:r w:rsidRPr="00E520D4">
              <w:rPr>
                <w:rFonts w:ascii="標楷體" w:eastAsia="標楷體" w:hAnsi="標楷體" w:cs="Arial" w:hint="eastAsia"/>
                <w:color w:val="000000"/>
                <w:spacing w:val="-4"/>
                <w:sz w:val="18"/>
                <w:szCs w:val="18"/>
              </w:rPr>
              <w:t>萬人調整為98</w:t>
            </w:r>
            <w:r>
              <w:rPr>
                <w:rFonts w:ascii="標楷體" w:eastAsia="標楷體" w:hAnsi="標楷體" w:cs="Arial" w:hint="eastAsia"/>
                <w:color w:val="000000"/>
                <w:spacing w:val="-4"/>
                <w:sz w:val="18"/>
                <w:szCs w:val="18"/>
              </w:rPr>
              <w:t>5</w:t>
            </w:r>
            <w:r w:rsidRPr="00E520D4">
              <w:rPr>
                <w:rFonts w:ascii="標楷體" w:eastAsia="標楷體" w:hAnsi="標楷體" w:cs="Arial" w:hint="eastAsia"/>
                <w:color w:val="000000"/>
                <w:spacing w:val="-4"/>
                <w:sz w:val="18"/>
                <w:szCs w:val="18"/>
              </w:rPr>
              <w:t>萬人），以及新增1年服務年資等所致。</w:t>
            </w:r>
          </w:p>
        </w:tc>
      </w:tr>
      <w:tr w:rsidR="0091579C" w:rsidRPr="00E520D4" w:rsidTr="00C0283A">
        <w:trPr>
          <w:jc w:val="center"/>
        </w:trPr>
        <w:tc>
          <w:tcPr>
            <w:tcW w:w="1418" w:type="dxa"/>
            <w:tcBorders>
              <w:top w:val="single" w:sz="4" w:space="0" w:color="auto"/>
              <w:left w:val="single" w:sz="12" w:space="0" w:color="auto"/>
              <w:bottom w:val="single" w:sz="4" w:space="0" w:color="auto"/>
              <w:right w:val="single" w:sz="4" w:space="0" w:color="000000"/>
            </w:tcBorders>
          </w:tcPr>
          <w:p w:rsidR="0091579C" w:rsidRPr="00E520D4" w:rsidRDefault="0091579C" w:rsidP="0091579C">
            <w:pPr>
              <w:widowControl/>
              <w:numPr>
                <w:ilvl w:val="0"/>
                <w:numId w:val="50"/>
              </w:numPr>
              <w:spacing w:line="220" w:lineRule="exact"/>
              <w:ind w:left="181" w:hanging="181"/>
              <w:jc w:val="both"/>
              <w:rPr>
                <w:rFonts w:ascii="標楷體" w:eastAsia="標楷體" w:hAnsi="標楷體" w:cs="Arial"/>
                <w:color w:val="000000"/>
                <w:spacing w:val="-2"/>
                <w:sz w:val="18"/>
                <w:szCs w:val="18"/>
              </w:rPr>
            </w:pPr>
            <w:r w:rsidRPr="00BA33CA">
              <w:rPr>
                <w:rFonts w:ascii="標楷體" w:eastAsia="標楷體" w:hAnsi="標楷體" w:cs="Arial"/>
                <w:color w:val="000000"/>
                <w:spacing w:val="-4"/>
                <w:sz w:val="18"/>
                <w:szCs w:val="18"/>
              </w:rPr>
              <w:t>公教人員</w:t>
            </w:r>
            <w:r w:rsidRPr="00E520D4">
              <w:rPr>
                <w:rFonts w:ascii="標楷體" w:eastAsia="標楷體" w:hAnsi="標楷體" w:cs="Arial"/>
                <w:color w:val="000000"/>
                <w:spacing w:val="-2"/>
                <w:sz w:val="18"/>
                <w:szCs w:val="18"/>
              </w:rPr>
              <w:t>保險</w:t>
            </w:r>
          </w:p>
        </w:tc>
        <w:tc>
          <w:tcPr>
            <w:tcW w:w="731" w:type="dxa"/>
            <w:tcBorders>
              <w:top w:val="single" w:sz="4" w:space="0" w:color="auto"/>
              <w:left w:val="nil"/>
              <w:bottom w:val="single" w:sz="4" w:space="0" w:color="auto"/>
              <w:right w:val="single" w:sz="4" w:space="0" w:color="auto"/>
            </w:tcBorders>
          </w:tcPr>
          <w:p w:rsidR="0091579C" w:rsidRPr="00E520D4" w:rsidRDefault="0091579C" w:rsidP="0091579C">
            <w:pPr>
              <w:spacing w:line="220" w:lineRule="exact"/>
              <w:jc w:val="right"/>
              <w:rPr>
                <w:rFonts w:ascii="標楷體" w:eastAsia="標楷體" w:hAnsi="標楷體" w:cs="Arial"/>
                <w:color w:val="000000"/>
                <w:sz w:val="18"/>
                <w:szCs w:val="18"/>
              </w:rPr>
            </w:pPr>
            <w:r>
              <w:rPr>
                <w:rFonts w:ascii="標楷體" w:eastAsia="標楷體" w:hAnsi="標楷體" w:cs="Arial" w:hint="eastAsia"/>
                <w:color w:val="000000"/>
                <w:sz w:val="18"/>
                <w:szCs w:val="18"/>
              </w:rPr>
              <w:t>1,083</w:t>
            </w:r>
          </w:p>
        </w:tc>
        <w:tc>
          <w:tcPr>
            <w:tcW w:w="728" w:type="dxa"/>
            <w:tcBorders>
              <w:top w:val="single" w:sz="4" w:space="0" w:color="auto"/>
              <w:left w:val="nil"/>
              <w:bottom w:val="single" w:sz="4" w:space="0" w:color="auto"/>
              <w:right w:val="single" w:sz="4" w:space="0" w:color="auto"/>
            </w:tcBorders>
          </w:tcPr>
          <w:p w:rsidR="0091579C" w:rsidRPr="00E520D4" w:rsidRDefault="0091579C" w:rsidP="0091579C">
            <w:pPr>
              <w:spacing w:line="220" w:lineRule="exact"/>
              <w:jc w:val="right"/>
              <w:rPr>
                <w:rFonts w:ascii="標楷體" w:eastAsia="標楷體" w:hAnsi="標楷體" w:cs="Arial"/>
                <w:color w:val="000000"/>
                <w:sz w:val="18"/>
                <w:szCs w:val="18"/>
              </w:rPr>
            </w:pPr>
            <w:r>
              <w:rPr>
                <w:rFonts w:ascii="標楷體" w:eastAsia="標楷體" w:hAnsi="標楷體" w:cs="Arial" w:hint="eastAsia"/>
                <w:color w:val="000000"/>
                <w:sz w:val="18"/>
                <w:szCs w:val="18"/>
              </w:rPr>
              <w:t>1,083</w:t>
            </w:r>
          </w:p>
        </w:tc>
        <w:tc>
          <w:tcPr>
            <w:tcW w:w="625" w:type="dxa"/>
            <w:tcBorders>
              <w:top w:val="single" w:sz="4" w:space="0" w:color="auto"/>
              <w:left w:val="nil"/>
              <w:bottom w:val="single" w:sz="4" w:space="0" w:color="auto"/>
              <w:right w:val="single" w:sz="4" w:space="0" w:color="auto"/>
            </w:tcBorders>
          </w:tcPr>
          <w:p w:rsidR="0091579C" w:rsidRPr="00E520D4" w:rsidRDefault="0091579C" w:rsidP="0091579C">
            <w:pPr>
              <w:spacing w:line="220" w:lineRule="exact"/>
              <w:jc w:val="right"/>
              <w:rPr>
                <w:rFonts w:ascii="標楷體" w:eastAsia="標楷體" w:hAnsi="標楷體" w:cs="Arial"/>
                <w:color w:val="000000"/>
                <w:sz w:val="18"/>
                <w:szCs w:val="18"/>
              </w:rPr>
            </w:pPr>
            <w:r>
              <w:rPr>
                <w:rFonts w:ascii="標楷體" w:eastAsia="標楷體" w:hAnsi="標楷體" w:cs="Arial" w:hint="eastAsia"/>
                <w:color w:val="000000"/>
                <w:sz w:val="18"/>
                <w:szCs w:val="18"/>
              </w:rPr>
              <w:t>-</w:t>
            </w:r>
          </w:p>
        </w:tc>
        <w:tc>
          <w:tcPr>
            <w:tcW w:w="728" w:type="dxa"/>
            <w:tcBorders>
              <w:top w:val="single" w:sz="4" w:space="0" w:color="auto"/>
              <w:left w:val="nil"/>
              <w:bottom w:val="single" w:sz="4" w:space="0" w:color="auto"/>
              <w:right w:val="single" w:sz="4" w:space="0" w:color="auto"/>
            </w:tcBorders>
          </w:tcPr>
          <w:p w:rsidR="0091579C" w:rsidRPr="00E520D4" w:rsidRDefault="0091579C" w:rsidP="0091579C">
            <w:pPr>
              <w:spacing w:line="220" w:lineRule="exact"/>
              <w:jc w:val="right"/>
              <w:rPr>
                <w:rFonts w:ascii="標楷體" w:eastAsia="標楷體" w:hAnsi="標楷體" w:cs="Arial"/>
                <w:color w:val="000000"/>
                <w:sz w:val="18"/>
                <w:szCs w:val="18"/>
              </w:rPr>
            </w:pPr>
            <w:r w:rsidRPr="00E520D4">
              <w:rPr>
                <w:rFonts w:ascii="標楷體" w:eastAsia="標楷體" w:hAnsi="標楷體" w:cs="Arial" w:hint="eastAsia"/>
                <w:color w:val="000000"/>
                <w:sz w:val="18"/>
                <w:szCs w:val="18"/>
              </w:rPr>
              <w:t>997</w:t>
            </w:r>
          </w:p>
        </w:tc>
        <w:tc>
          <w:tcPr>
            <w:tcW w:w="728" w:type="dxa"/>
            <w:tcBorders>
              <w:top w:val="single" w:sz="4" w:space="0" w:color="auto"/>
              <w:left w:val="nil"/>
              <w:bottom w:val="single" w:sz="4" w:space="0" w:color="auto"/>
              <w:right w:val="single" w:sz="4" w:space="0" w:color="auto"/>
            </w:tcBorders>
          </w:tcPr>
          <w:p w:rsidR="0091579C" w:rsidRPr="00E520D4" w:rsidRDefault="0091579C" w:rsidP="0091579C">
            <w:pPr>
              <w:spacing w:line="220" w:lineRule="exact"/>
              <w:jc w:val="right"/>
              <w:rPr>
                <w:rFonts w:ascii="標楷體" w:eastAsia="標楷體" w:hAnsi="標楷體" w:cs="Arial"/>
                <w:color w:val="000000"/>
                <w:sz w:val="18"/>
                <w:szCs w:val="18"/>
              </w:rPr>
            </w:pPr>
            <w:r w:rsidRPr="00E520D4">
              <w:rPr>
                <w:rFonts w:ascii="標楷體" w:eastAsia="標楷體" w:hAnsi="標楷體" w:cs="Arial" w:hint="eastAsia"/>
                <w:color w:val="000000"/>
                <w:sz w:val="18"/>
                <w:szCs w:val="18"/>
              </w:rPr>
              <w:t>997</w:t>
            </w:r>
          </w:p>
        </w:tc>
        <w:tc>
          <w:tcPr>
            <w:tcW w:w="625" w:type="dxa"/>
            <w:tcBorders>
              <w:top w:val="single" w:sz="4" w:space="0" w:color="auto"/>
              <w:left w:val="nil"/>
              <w:bottom w:val="single" w:sz="4" w:space="0" w:color="auto"/>
              <w:right w:val="single" w:sz="4" w:space="0" w:color="auto"/>
            </w:tcBorders>
          </w:tcPr>
          <w:p w:rsidR="0091579C" w:rsidRPr="00E520D4" w:rsidRDefault="0091579C" w:rsidP="0091579C">
            <w:pPr>
              <w:spacing w:line="220" w:lineRule="exact"/>
              <w:jc w:val="right"/>
              <w:rPr>
                <w:rFonts w:ascii="標楷體" w:eastAsia="標楷體" w:hAnsi="標楷體" w:cs="Arial"/>
                <w:color w:val="000000"/>
                <w:sz w:val="18"/>
                <w:szCs w:val="18"/>
              </w:rPr>
            </w:pPr>
            <w:r w:rsidRPr="00E520D4">
              <w:rPr>
                <w:rFonts w:ascii="標楷體" w:eastAsia="標楷體" w:hAnsi="標楷體" w:cs="Arial" w:hint="eastAsia"/>
                <w:color w:val="000000"/>
                <w:sz w:val="18"/>
                <w:szCs w:val="18"/>
              </w:rPr>
              <w:t>-</w:t>
            </w:r>
          </w:p>
        </w:tc>
        <w:tc>
          <w:tcPr>
            <w:tcW w:w="728" w:type="dxa"/>
            <w:tcBorders>
              <w:top w:val="single" w:sz="4" w:space="0" w:color="auto"/>
              <w:left w:val="nil"/>
              <w:bottom w:val="single" w:sz="4" w:space="0" w:color="auto"/>
              <w:right w:val="single" w:sz="4" w:space="0" w:color="auto"/>
            </w:tcBorders>
          </w:tcPr>
          <w:p w:rsidR="0091579C" w:rsidRPr="00E520D4" w:rsidRDefault="0091579C" w:rsidP="0091579C">
            <w:pPr>
              <w:spacing w:line="220" w:lineRule="exact"/>
              <w:jc w:val="right"/>
              <w:rPr>
                <w:rFonts w:ascii="標楷體" w:eastAsia="標楷體" w:hAnsi="標楷體" w:cs="Arial"/>
                <w:color w:val="000000"/>
                <w:sz w:val="18"/>
                <w:szCs w:val="18"/>
              </w:rPr>
            </w:pPr>
            <w:r>
              <w:rPr>
                <w:rFonts w:ascii="標楷體" w:eastAsia="標楷體" w:hAnsi="標楷體" w:cs="Arial" w:hint="eastAsia"/>
                <w:color w:val="000000"/>
                <w:sz w:val="18"/>
                <w:szCs w:val="18"/>
              </w:rPr>
              <w:t>86</w:t>
            </w:r>
          </w:p>
        </w:tc>
        <w:tc>
          <w:tcPr>
            <w:tcW w:w="617" w:type="dxa"/>
            <w:tcBorders>
              <w:top w:val="single" w:sz="4" w:space="0" w:color="auto"/>
              <w:left w:val="nil"/>
              <w:bottom w:val="single" w:sz="4" w:space="0" w:color="auto"/>
              <w:right w:val="single" w:sz="4" w:space="0" w:color="auto"/>
            </w:tcBorders>
          </w:tcPr>
          <w:p w:rsidR="0091579C" w:rsidRPr="00E520D4" w:rsidRDefault="0091579C" w:rsidP="0091579C">
            <w:pPr>
              <w:spacing w:line="220" w:lineRule="exact"/>
              <w:jc w:val="right"/>
              <w:rPr>
                <w:rFonts w:ascii="標楷體" w:eastAsia="標楷體" w:hAnsi="標楷體" w:cs="Arial"/>
                <w:color w:val="000000"/>
                <w:sz w:val="18"/>
                <w:szCs w:val="18"/>
              </w:rPr>
            </w:pPr>
            <w:r>
              <w:rPr>
                <w:rFonts w:ascii="標楷體" w:eastAsia="標楷體" w:hAnsi="標楷體" w:cs="Arial" w:hint="eastAsia"/>
                <w:color w:val="000000"/>
                <w:sz w:val="18"/>
                <w:szCs w:val="18"/>
              </w:rPr>
              <w:t>86</w:t>
            </w:r>
          </w:p>
        </w:tc>
        <w:tc>
          <w:tcPr>
            <w:tcW w:w="618" w:type="dxa"/>
            <w:tcBorders>
              <w:top w:val="single" w:sz="4" w:space="0" w:color="auto"/>
              <w:left w:val="nil"/>
              <w:bottom w:val="single" w:sz="4" w:space="0" w:color="auto"/>
              <w:right w:val="single" w:sz="4" w:space="0" w:color="auto"/>
            </w:tcBorders>
          </w:tcPr>
          <w:p w:rsidR="0091579C" w:rsidRPr="00E520D4" w:rsidRDefault="0091579C" w:rsidP="0091579C">
            <w:pPr>
              <w:spacing w:line="220" w:lineRule="exact"/>
              <w:jc w:val="right"/>
              <w:rPr>
                <w:rFonts w:ascii="標楷體" w:eastAsia="標楷體" w:hAnsi="標楷體" w:cs="Arial"/>
                <w:color w:val="000000"/>
                <w:sz w:val="18"/>
                <w:szCs w:val="18"/>
              </w:rPr>
            </w:pPr>
            <w:r>
              <w:rPr>
                <w:rFonts w:ascii="標楷體" w:eastAsia="標楷體" w:hAnsi="標楷體" w:cs="Arial" w:hint="eastAsia"/>
                <w:color w:val="000000"/>
                <w:sz w:val="18"/>
                <w:szCs w:val="18"/>
              </w:rPr>
              <w:t>-</w:t>
            </w:r>
          </w:p>
        </w:tc>
        <w:tc>
          <w:tcPr>
            <w:tcW w:w="2067" w:type="dxa"/>
            <w:tcBorders>
              <w:top w:val="single" w:sz="4" w:space="0" w:color="auto"/>
              <w:left w:val="nil"/>
              <w:bottom w:val="single" w:sz="4" w:space="0" w:color="auto"/>
              <w:right w:val="single" w:sz="12" w:space="0" w:color="auto"/>
            </w:tcBorders>
          </w:tcPr>
          <w:p w:rsidR="0091579C" w:rsidRPr="00E520D4" w:rsidRDefault="0091579C" w:rsidP="0091579C">
            <w:pPr>
              <w:widowControl/>
              <w:spacing w:afterLines="25" w:after="60" w:line="220" w:lineRule="exact"/>
              <w:jc w:val="both"/>
              <w:rPr>
                <w:rFonts w:ascii="標楷體" w:eastAsia="標楷體" w:hAnsi="標楷體" w:cs="Arial"/>
                <w:color w:val="000000"/>
                <w:spacing w:val="-2"/>
                <w:sz w:val="18"/>
                <w:szCs w:val="18"/>
              </w:rPr>
            </w:pPr>
            <w:r w:rsidRPr="00E520D4">
              <w:rPr>
                <w:rFonts w:ascii="標楷體" w:eastAsia="標楷體" w:hAnsi="標楷體" w:cs="Arial" w:hint="eastAsia"/>
                <w:color w:val="000000"/>
                <w:spacing w:val="-2"/>
                <w:sz w:val="18"/>
                <w:szCs w:val="18"/>
              </w:rPr>
              <w:t>本年度</w:t>
            </w:r>
            <w:r>
              <w:rPr>
                <w:rFonts w:ascii="標楷體" w:eastAsia="標楷體" w:hAnsi="標楷體" w:cs="Arial" w:hint="eastAsia"/>
                <w:color w:val="000000"/>
                <w:spacing w:val="-2"/>
                <w:sz w:val="18"/>
                <w:szCs w:val="18"/>
              </w:rPr>
              <w:t>增加86億元，主要係財政部重新辦理精算，調整精算假設</w:t>
            </w:r>
            <w:r w:rsidRPr="00E520D4">
              <w:rPr>
                <w:rFonts w:ascii="標楷體" w:eastAsia="標楷體" w:hAnsi="標楷體" w:cs="Arial" w:hint="eastAsia"/>
                <w:color w:val="000000"/>
                <w:spacing w:val="-4"/>
                <w:sz w:val="18"/>
                <w:szCs w:val="18"/>
              </w:rPr>
              <w:t>（</w:t>
            </w:r>
            <w:r>
              <w:rPr>
                <w:rFonts w:ascii="標楷體" w:eastAsia="標楷體" w:hAnsi="標楷體" w:cs="Arial" w:hint="eastAsia"/>
                <w:color w:val="000000"/>
                <w:spacing w:val="-4"/>
                <w:sz w:val="18"/>
                <w:szCs w:val="18"/>
              </w:rPr>
              <w:t>如折現率由原3.5％調整為4％），以</w:t>
            </w:r>
            <w:r>
              <w:rPr>
                <w:rFonts w:ascii="標楷體" w:eastAsia="標楷體" w:hAnsi="標楷體" w:cs="Arial" w:hint="eastAsia"/>
                <w:color w:val="000000"/>
                <w:spacing w:val="-2"/>
                <w:sz w:val="18"/>
                <w:szCs w:val="18"/>
              </w:rPr>
              <w:t>及預估保險給付與實際發生給付差異</w:t>
            </w:r>
            <w:r w:rsidRPr="00E520D4">
              <w:rPr>
                <w:rFonts w:ascii="標楷體" w:eastAsia="標楷體" w:hAnsi="標楷體" w:cs="Arial" w:hint="eastAsia"/>
                <w:color w:val="000000"/>
                <w:spacing w:val="-2"/>
                <w:sz w:val="18"/>
                <w:szCs w:val="18"/>
              </w:rPr>
              <w:t>所致。</w:t>
            </w:r>
          </w:p>
        </w:tc>
      </w:tr>
      <w:tr w:rsidR="0091579C" w:rsidRPr="00E520D4" w:rsidTr="00C0283A">
        <w:trPr>
          <w:trHeight w:val="454"/>
          <w:jc w:val="center"/>
        </w:trPr>
        <w:tc>
          <w:tcPr>
            <w:tcW w:w="1418" w:type="dxa"/>
            <w:tcBorders>
              <w:top w:val="single" w:sz="4" w:space="0" w:color="auto"/>
              <w:left w:val="single" w:sz="12" w:space="0" w:color="auto"/>
              <w:bottom w:val="single" w:sz="4" w:space="0" w:color="auto"/>
              <w:right w:val="single" w:sz="4" w:space="0" w:color="000000"/>
            </w:tcBorders>
          </w:tcPr>
          <w:p w:rsidR="0091579C" w:rsidRPr="00E520D4" w:rsidRDefault="0091579C" w:rsidP="0091579C">
            <w:pPr>
              <w:widowControl/>
              <w:numPr>
                <w:ilvl w:val="0"/>
                <w:numId w:val="50"/>
              </w:numPr>
              <w:spacing w:line="220" w:lineRule="exact"/>
              <w:ind w:left="181" w:hanging="181"/>
              <w:jc w:val="both"/>
              <w:rPr>
                <w:rFonts w:ascii="標楷體" w:eastAsia="標楷體" w:hAnsi="標楷體" w:cs="Arial"/>
                <w:color w:val="000000"/>
                <w:spacing w:val="-2"/>
                <w:sz w:val="18"/>
                <w:szCs w:val="18"/>
              </w:rPr>
            </w:pPr>
            <w:r w:rsidRPr="00E520D4">
              <w:rPr>
                <w:rFonts w:ascii="標楷體" w:eastAsia="標楷體" w:hAnsi="標楷體" w:cs="Arial"/>
                <w:color w:val="000000"/>
                <w:spacing w:val="-2"/>
                <w:sz w:val="18"/>
                <w:szCs w:val="18"/>
              </w:rPr>
              <w:t>國民</w:t>
            </w:r>
            <w:r w:rsidRPr="001077D9">
              <w:rPr>
                <w:rFonts w:ascii="標楷體" w:eastAsia="標楷體" w:hAnsi="標楷體" w:cs="Arial"/>
                <w:color w:val="000000"/>
                <w:spacing w:val="-4"/>
                <w:sz w:val="18"/>
                <w:szCs w:val="18"/>
              </w:rPr>
              <w:t>年金</w:t>
            </w:r>
            <w:r w:rsidRPr="00E520D4">
              <w:rPr>
                <w:rFonts w:ascii="標楷體" w:eastAsia="標楷體" w:hAnsi="標楷體" w:cs="Arial" w:hint="eastAsia"/>
                <w:color w:val="000000"/>
                <w:spacing w:val="-2"/>
                <w:sz w:val="18"/>
                <w:szCs w:val="18"/>
              </w:rPr>
              <w:t>保險</w:t>
            </w:r>
          </w:p>
        </w:tc>
        <w:tc>
          <w:tcPr>
            <w:tcW w:w="731" w:type="dxa"/>
            <w:tcBorders>
              <w:top w:val="single" w:sz="4" w:space="0" w:color="auto"/>
              <w:left w:val="nil"/>
              <w:bottom w:val="single" w:sz="4" w:space="0" w:color="auto"/>
              <w:right w:val="single" w:sz="4" w:space="0" w:color="auto"/>
            </w:tcBorders>
            <w:shd w:val="clear" w:color="auto" w:fill="auto"/>
          </w:tcPr>
          <w:p w:rsidR="0091579C" w:rsidRPr="00E520D4" w:rsidRDefault="0091579C" w:rsidP="0091579C">
            <w:pPr>
              <w:spacing w:line="220" w:lineRule="exact"/>
              <w:jc w:val="right"/>
              <w:rPr>
                <w:rFonts w:ascii="標楷體" w:eastAsia="標楷體" w:hAnsi="標楷體" w:cs="Arial"/>
                <w:color w:val="000000"/>
                <w:sz w:val="18"/>
                <w:szCs w:val="18"/>
              </w:rPr>
            </w:pPr>
            <w:r>
              <w:rPr>
                <w:rFonts w:ascii="標楷體" w:eastAsia="標楷體" w:hAnsi="標楷體" w:cs="Arial" w:hint="eastAsia"/>
                <w:color w:val="000000"/>
                <w:sz w:val="18"/>
                <w:szCs w:val="18"/>
              </w:rPr>
              <w:t>6,768</w:t>
            </w:r>
          </w:p>
        </w:tc>
        <w:tc>
          <w:tcPr>
            <w:tcW w:w="728" w:type="dxa"/>
            <w:tcBorders>
              <w:top w:val="single" w:sz="4" w:space="0" w:color="auto"/>
              <w:left w:val="nil"/>
              <w:bottom w:val="single" w:sz="4" w:space="0" w:color="auto"/>
              <w:right w:val="single" w:sz="4" w:space="0" w:color="auto"/>
            </w:tcBorders>
            <w:shd w:val="clear" w:color="auto" w:fill="auto"/>
          </w:tcPr>
          <w:p w:rsidR="0091579C" w:rsidRPr="00E520D4" w:rsidRDefault="0091579C" w:rsidP="0091579C">
            <w:pPr>
              <w:spacing w:line="220" w:lineRule="exact"/>
              <w:jc w:val="right"/>
              <w:rPr>
                <w:rFonts w:ascii="標楷體" w:eastAsia="標楷體" w:hAnsi="標楷體" w:cs="Arial"/>
                <w:color w:val="000000"/>
                <w:sz w:val="18"/>
                <w:szCs w:val="18"/>
              </w:rPr>
            </w:pPr>
            <w:r>
              <w:rPr>
                <w:rFonts w:ascii="標楷體" w:eastAsia="標楷體" w:hAnsi="標楷體" w:cs="Arial" w:hint="eastAsia"/>
                <w:color w:val="000000"/>
                <w:sz w:val="18"/>
                <w:szCs w:val="18"/>
              </w:rPr>
              <w:t>6,768</w:t>
            </w:r>
          </w:p>
        </w:tc>
        <w:tc>
          <w:tcPr>
            <w:tcW w:w="625" w:type="dxa"/>
            <w:tcBorders>
              <w:top w:val="single" w:sz="4" w:space="0" w:color="auto"/>
              <w:left w:val="nil"/>
              <w:bottom w:val="single" w:sz="4" w:space="0" w:color="auto"/>
              <w:right w:val="single" w:sz="4" w:space="0" w:color="auto"/>
            </w:tcBorders>
            <w:shd w:val="clear" w:color="auto" w:fill="auto"/>
          </w:tcPr>
          <w:p w:rsidR="0091579C" w:rsidRPr="00E520D4" w:rsidRDefault="0091579C" w:rsidP="0091579C">
            <w:pPr>
              <w:spacing w:line="220" w:lineRule="exact"/>
              <w:jc w:val="right"/>
              <w:rPr>
                <w:rFonts w:ascii="標楷體" w:eastAsia="標楷體" w:hAnsi="標楷體" w:cs="Arial"/>
                <w:color w:val="000000"/>
                <w:sz w:val="18"/>
                <w:szCs w:val="18"/>
              </w:rPr>
            </w:pPr>
            <w:r>
              <w:rPr>
                <w:rFonts w:ascii="標楷體" w:eastAsia="標楷體" w:hAnsi="標楷體" w:cs="Arial" w:hint="eastAsia"/>
                <w:color w:val="000000"/>
                <w:sz w:val="18"/>
                <w:szCs w:val="18"/>
              </w:rPr>
              <w:t>-</w:t>
            </w:r>
          </w:p>
        </w:tc>
        <w:tc>
          <w:tcPr>
            <w:tcW w:w="728" w:type="dxa"/>
            <w:tcBorders>
              <w:top w:val="single" w:sz="4" w:space="0" w:color="auto"/>
              <w:left w:val="nil"/>
              <w:bottom w:val="single" w:sz="4" w:space="0" w:color="auto"/>
              <w:right w:val="single" w:sz="4" w:space="0" w:color="auto"/>
            </w:tcBorders>
            <w:shd w:val="clear" w:color="auto" w:fill="auto"/>
          </w:tcPr>
          <w:p w:rsidR="0091579C" w:rsidRPr="00E520D4" w:rsidRDefault="0091579C" w:rsidP="0091579C">
            <w:pPr>
              <w:spacing w:line="220" w:lineRule="exact"/>
              <w:jc w:val="right"/>
              <w:rPr>
                <w:rFonts w:ascii="標楷體" w:eastAsia="標楷體" w:hAnsi="標楷體" w:cs="Arial"/>
                <w:color w:val="000000"/>
                <w:sz w:val="18"/>
                <w:szCs w:val="18"/>
              </w:rPr>
            </w:pPr>
            <w:r w:rsidRPr="00E520D4">
              <w:rPr>
                <w:rFonts w:ascii="標楷體" w:eastAsia="標楷體" w:hAnsi="標楷體" w:cs="Arial" w:hint="eastAsia"/>
                <w:color w:val="000000"/>
                <w:sz w:val="18"/>
                <w:szCs w:val="18"/>
              </w:rPr>
              <w:t>6,232</w:t>
            </w:r>
          </w:p>
        </w:tc>
        <w:tc>
          <w:tcPr>
            <w:tcW w:w="728" w:type="dxa"/>
            <w:tcBorders>
              <w:top w:val="single" w:sz="4" w:space="0" w:color="auto"/>
              <w:left w:val="nil"/>
              <w:bottom w:val="single" w:sz="4" w:space="0" w:color="auto"/>
              <w:right w:val="single" w:sz="4" w:space="0" w:color="auto"/>
            </w:tcBorders>
            <w:shd w:val="clear" w:color="auto" w:fill="auto"/>
          </w:tcPr>
          <w:p w:rsidR="0091579C" w:rsidRPr="00E520D4" w:rsidRDefault="0091579C" w:rsidP="0091579C">
            <w:pPr>
              <w:spacing w:line="220" w:lineRule="exact"/>
              <w:jc w:val="right"/>
              <w:rPr>
                <w:rFonts w:ascii="標楷體" w:eastAsia="標楷體" w:hAnsi="標楷體" w:cs="Arial"/>
                <w:color w:val="000000"/>
                <w:sz w:val="18"/>
                <w:szCs w:val="18"/>
              </w:rPr>
            </w:pPr>
            <w:r w:rsidRPr="00E520D4">
              <w:rPr>
                <w:rFonts w:ascii="標楷體" w:eastAsia="標楷體" w:hAnsi="標楷體" w:cs="Arial" w:hint="eastAsia"/>
                <w:color w:val="000000"/>
                <w:sz w:val="18"/>
                <w:szCs w:val="18"/>
              </w:rPr>
              <w:t>6,232</w:t>
            </w:r>
          </w:p>
        </w:tc>
        <w:tc>
          <w:tcPr>
            <w:tcW w:w="625" w:type="dxa"/>
            <w:tcBorders>
              <w:top w:val="single" w:sz="4" w:space="0" w:color="auto"/>
              <w:left w:val="nil"/>
              <w:bottom w:val="single" w:sz="4" w:space="0" w:color="auto"/>
              <w:right w:val="single" w:sz="4" w:space="0" w:color="auto"/>
            </w:tcBorders>
            <w:shd w:val="clear" w:color="auto" w:fill="auto"/>
          </w:tcPr>
          <w:p w:rsidR="0091579C" w:rsidRPr="00E520D4" w:rsidRDefault="0091579C" w:rsidP="0091579C">
            <w:pPr>
              <w:spacing w:line="220" w:lineRule="exact"/>
              <w:jc w:val="right"/>
              <w:rPr>
                <w:rFonts w:ascii="標楷體" w:eastAsia="標楷體" w:hAnsi="標楷體" w:cs="Arial"/>
                <w:color w:val="000000"/>
                <w:sz w:val="18"/>
                <w:szCs w:val="18"/>
              </w:rPr>
            </w:pPr>
            <w:r w:rsidRPr="00E520D4">
              <w:rPr>
                <w:rFonts w:ascii="標楷體" w:eastAsia="標楷體" w:hAnsi="標楷體" w:cs="Arial" w:hint="eastAsia"/>
                <w:color w:val="000000"/>
                <w:sz w:val="18"/>
                <w:szCs w:val="18"/>
              </w:rPr>
              <w:t>-</w:t>
            </w:r>
          </w:p>
        </w:tc>
        <w:tc>
          <w:tcPr>
            <w:tcW w:w="728" w:type="dxa"/>
            <w:tcBorders>
              <w:top w:val="single" w:sz="4" w:space="0" w:color="auto"/>
              <w:left w:val="nil"/>
              <w:bottom w:val="single" w:sz="4" w:space="0" w:color="auto"/>
              <w:right w:val="single" w:sz="4" w:space="0" w:color="auto"/>
            </w:tcBorders>
            <w:shd w:val="clear" w:color="auto" w:fill="auto"/>
          </w:tcPr>
          <w:p w:rsidR="0091579C" w:rsidRPr="00E520D4" w:rsidRDefault="0091579C" w:rsidP="0091579C">
            <w:pPr>
              <w:spacing w:line="220" w:lineRule="exact"/>
              <w:jc w:val="right"/>
              <w:rPr>
                <w:rFonts w:ascii="標楷體" w:eastAsia="標楷體" w:hAnsi="標楷體" w:cs="Arial"/>
                <w:color w:val="000000"/>
                <w:sz w:val="18"/>
                <w:szCs w:val="18"/>
              </w:rPr>
            </w:pPr>
            <w:r>
              <w:rPr>
                <w:rFonts w:ascii="標楷體" w:eastAsia="標楷體" w:hAnsi="標楷體" w:cs="Arial" w:hint="eastAsia"/>
                <w:color w:val="000000"/>
                <w:sz w:val="18"/>
                <w:szCs w:val="18"/>
              </w:rPr>
              <w:t>536</w:t>
            </w:r>
          </w:p>
        </w:tc>
        <w:tc>
          <w:tcPr>
            <w:tcW w:w="617" w:type="dxa"/>
            <w:tcBorders>
              <w:top w:val="single" w:sz="4" w:space="0" w:color="auto"/>
              <w:left w:val="nil"/>
              <w:bottom w:val="single" w:sz="4" w:space="0" w:color="auto"/>
              <w:right w:val="single" w:sz="4" w:space="0" w:color="auto"/>
            </w:tcBorders>
            <w:shd w:val="clear" w:color="auto" w:fill="auto"/>
          </w:tcPr>
          <w:p w:rsidR="0091579C" w:rsidRPr="00E520D4" w:rsidRDefault="0091579C" w:rsidP="0091579C">
            <w:pPr>
              <w:spacing w:line="220" w:lineRule="exact"/>
              <w:jc w:val="right"/>
              <w:rPr>
                <w:rFonts w:ascii="標楷體" w:eastAsia="標楷體" w:hAnsi="標楷體" w:cs="Arial"/>
                <w:color w:val="000000"/>
                <w:sz w:val="18"/>
                <w:szCs w:val="18"/>
              </w:rPr>
            </w:pPr>
            <w:r>
              <w:rPr>
                <w:rFonts w:ascii="標楷體" w:eastAsia="標楷體" w:hAnsi="標楷體" w:cs="Arial" w:hint="eastAsia"/>
                <w:color w:val="000000"/>
                <w:sz w:val="18"/>
                <w:szCs w:val="18"/>
              </w:rPr>
              <w:t>536</w:t>
            </w:r>
          </w:p>
        </w:tc>
        <w:tc>
          <w:tcPr>
            <w:tcW w:w="618" w:type="dxa"/>
            <w:tcBorders>
              <w:top w:val="single" w:sz="4" w:space="0" w:color="auto"/>
              <w:left w:val="nil"/>
              <w:bottom w:val="single" w:sz="4" w:space="0" w:color="auto"/>
              <w:right w:val="single" w:sz="4" w:space="0" w:color="auto"/>
            </w:tcBorders>
            <w:shd w:val="clear" w:color="auto" w:fill="auto"/>
          </w:tcPr>
          <w:p w:rsidR="0091579C" w:rsidRPr="00E520D4" w:rsidRDefault="0091579C" w:rsidP="0091579C">
            <w:pPr>
              <w:spacing w:line="220" w:lineRule="exact"/>
              <w:jc w:val="right"/>
              <w:rPr>
                <w:rFonts w:ascii="標楷體" w:eastAsia="標楷體" w:hAnsi="標楷體" w:cs="Arial"/>
                <w:color w:val="000000"/>
                <w:sz w:val="18"/>
                <w:szCs w:val="18"/>
              </w:rPr>
            </w:pPr>
            <w:r>
              <w:rPr>
                <w:rFonts w:ascii="標楷體" w:eastAsia="標楷體" w:hAnsi="標楷體" w:cs="Arial" w:hint="eastAsia"/>
                <w:color w:val="000000"/>
                <w:sz w:val="18"/>
                <w:szCs w:val="18"/>
              </w:rPr>
              <w:t>-</w:t>
            </w:r>
          </w:p>
        </w:tc>
        <w:tc>
          <w:tcPr>
            <w:tcW w:w="2067" w:type="dxa"/>
            <w:tcBorders>
              <w:top w:val="single" w:sz="4" w:space="0" w:color="auto"/>
              <w:left w:val="nil"/>
              <w:bottom w:val="single" w:sz="4" w:space="0" w:color="auto"/>
              <w:right w:val="single" w:sz="12" w:space="0" w:color="auto"/>
            </w:tcBorders>
            <w:shd w:val="clear" w:color="auto" w:fill="auto"/>
          </w:tcPr>
          <w:p w:rsidR="0091579C" w:rsidRPr="00E520D4" w:rsidRDefault="0091579C" w:rsidP="0091579C">
            <w:pPr>
              <w:spacing w:afterLines="25" w:after="60" w:line="220" w:lineRule="exact"/>
              <w:jc w:val="both"/>
              <w:rPr>
                <w:rFonts w:ascii="標楷體" w:eastAsia="標楷體" w:hAnsi="標楷體" w:cs="Arial"/>
                <w:color w:val="000000"/>
                <w:spacing w:val="-2"/>
                <w:sz w:val="18"/>
                <w:szCs w:val="18"/>
              </w:rPr>
            </w:pPr>
            <w:r w:rsidRPr="00E520D4">
              <w:rPr>
                <w:rFonts w:ascii="標楷體" w:eastAsia="標楷體" w:hAnsi="標楷體" w:cs="Arial" w:hint="eastAsia"/>
                <w:color w:val="000000"/>
                <w:spacing w:val="-2"/>
                <w:sz w:val="18"/>
                <w:szCs w:val="18"/>
              </w:rPr>
              <w:t>本年度增加</w:t>
            </w:r>
            <w:r>
              <w:rPr>
                <w:rFonts w:ascii="標楷體" w:eastAsia="標楷體" w:hAnsi="標楷體" w:cs="Arial" w:hint="eastAsia"/>
                <w:color w:val="000000"/>
                <w:spacing w:val="-2"/>
                <w:sz w:val="18"/>
                <w:szCs w:val="18"/>
              </w:rPr>
              <w:t>536</w:t>
            </w:r>
            <w:r w:rsidRPr="00E520D4">
              <w:rPr>
                <w:rFonts w:ascii="標楷體" w:eastAsia="標楷體" w:hAnsi="標楷體" w:cs="Arial" w:hint="eastAsia"/>
                <w:color w:val="000000"/>
                <w:spacing w:val="-2"/>
                <w:sz w:val="18"/>
                <w:szCs w:val="18"/>
              </w:rPr>
              <w:t>億元，主要係衛生福利部重新辦理精算，調整精算假設（如參加保險[給付]人數由原6</w:t>
            </w:r>
            <w:r>
              <w:rPr>
                <w:rFonts w:ascii="標楷體" w:eastAsia="標楷體" w:hAnsi="標楷體" w:cs="Arial" w:hint="eastAsia"/>
                <w:color w:val="000000"/>
                <w:spacing w:val="-2"/>
                <w:sz w:val="18"/>
                <w:szCs w:val="18"/>
              </w:rPr>
              <w:t>96</w:t>
            </w:r>
            <w:r w:rsidRPr="00E520D4">
              <w:rPr>
                <w:rFonts w:ascii="標楷體" w:eastAsia="標楷體" w:hAnsi="標楷體" w:cs="Arial" w:hint="eastAsia"/>
                <w:color w:val="000000"/>
                <w:spacing w:val="-2"/>
                <w:sz w:val="18"/>
                <w:szCs w:val="18"/>
              </w:rPr>
              <w:t>萬人調整為</w:t>
            </w:r>
            <w:r>
              <w:rPr>
                <w:rFonts w:ascii="標楷體" w:eastAsia="標楷體" w:hAnsi="標楷體" w:cs="Arial" w:hint="eastAsia"/>
                <w:color w:val="000000"/>
                <w:spacing w:val="-2"/>
                <w:sz w:val="18"/>
                <w:szCs w:val="18"/>
              </w:rPr>
              <w:t>729</w:t>
            </w:r>
            <w:r w:rsidRPr="00E520D4">
              <w:rPr>
                <w:rFonts w:ascii="標楷體" w:eastAsia="標楷體" w:hAnsi="標楷體" w:cs="Arial" w:hint="eastAsia"/>
                <w:color w:val="000000"/>
                <w:spacing w:val="-2"/>
                <w:sz w:val="18"/>
                <w:szCs w:val="18"/>
              </w:rPr>
              <w:t>萬人），以及新增</w:t>
            </w:r>
            <w:r w:rsidRPr="00E520D4">
              <w:rPr>
                <w:rFonts w:ascii="標楷體" w:eastAsia="標楷體" w:hAnsi="標楷體" w:cs="Arial" w:hint="eastAsia"/>
                <w:color w:val="000000"/>
                <w:spacing w:val="-4"/>
                <w:sz w:val="18"/>
                <w:szCs w:val="18"/>
              </w:rPr>
              <w:t>1年</w:t>
            </w:r>
            <w:r w:rsidRPr="00E520D4">
              <w:rPr>
                <w:rFonts w:ascii="標楷體" w:eastAsia="標楷體" w:hAnsi="標楷體" w:cs="Arial" w:hint="eastAsia"/>
                <w:color w:val="000000"/>
                <w:spacing w:val="-2"/>
                <w:sz w:val="18"/>
                <w:szCs w:val="18"/>
              </w:rPr>
              <w:t>服務年資所致。</w:t>
            </w:r>
          </w:p>
        </w:tc>
      </w:tr>
      <w:tr w:rsidR="0091579C" w:rsidRPr="00E520D4" w:rsidTr="00C0283A">
        <w:trPr>
          <w:trHeight w:val="340"/>
          <w:jc w:val="center"/>
        </w:trPr>
        <w:tc>
          <w:tcPr>
            <w:tcW w:w="1418" w:type="dxa"/>
            <w:tcBorders>
              <w:top w:val="single" w:sz="4" w:space="0" w:color="auto"/>
              <w:left w:val="single" w:sz="12" w:space="0" w:color="auto"/>
              <w:bottom w:val="single" w:sz="4" w:space="0" w:color="auto"/>
              <w:right w:val="single" w:sz="4" w:space="0" w:color="000000"/>
            </w:tcBorders>
          </w:tcPr>
          <w:p w:rsidR="0091579C" w:rsidRPr="00E520D4" w:rsidRDefault="0091579C" w:rsidP="0091579C">
            <w:pPr>
              <w:widowControl/>
              <w:numPr>
                <w:ilvl w:val="0"/>
                <w:numId w:val="50"/>
              </w:numPr>
              <w:spacing w:line="220" w:lineRule="exact"/>
              <w:ind w:left="181" w:hanging="181"/>
              <w:jc w:val="both"/>
              <w:rPr>
                <w:rFonts w:ascii="標楷體" w:eastAsia="標楷體" w:hAnsi="標楷體" w:cs="Arial"/>
                <w:color w:val="000000"/>
                <w:spacing w:val="-2"/>
                <w:sz w:val="18"/>
                <w:szCs w:val="18"/>
              </w:rPr>
            </w:pPr>
            <w:r w:rsidRPr="00E520D4">
              <w:rPr>
                <w:rFonts w:ascii="標楷體" w:eastAsia="標楷體" w:hAnsi="標楷體" w:cs="Arial"/>
                <w:color w:val="000000"/>
                <w:spacing w:val="-2"/>
                <w:sz w:val="18"/>
                <w:szCs w:val="18"/>
              </w:rPr>
              <w:t>軍人</w:t>
            </w:r>
            <w:r w:rsidRPr="001077D9">
              <w:rPr>
                <w:rFonts w:ascii="標楷體" w:eastAsia="標楷體" w:hAnsi="標楷體" w:cs="Arial"/>
                <w:color w:val="000000"/>
                <w:spacing w:val="-4"/>
                <w:sz w:val="18"/>
                <w:szCs w:val="18"/>
              </w:rPr>
              <w:t>保險</w:t>
            </w:r>
          </w:p>
        </w:tc>
        <w:tc>
          <w:tcPr>
            <w:tcW w:w="731" w:type="dxa"/>
            <w:tcBorders>
              <w:top w:val="single" w:sz="4" w:space="0" w:color="auto"/>
              <w:left w:val="nil"/>
              <w:bottom w:val="single" w:sz="4" w:space="0" w:color="auto"/>
              <w:right w:val="single" w:sz="4" w:space="0" w:color="auto"/>
            </w:tcBorders>
          </w:tcPr>
          <w:p w:rsidR="0091579C" w:rsidRPr="00E520D4" w:rsidRDefault="0091579C" w:rsidP="0091579C">
            <w:pPr>
              <w:spacing w:line="220" w:lineRule="exact"/>
              <w:jc w:val="right"/>
              <w:rPr>
                <w:rFonts w:ascii="標楷體" w:eastAsia="標楷體" w:hAnsi="標楷體" w:cs="Arial"/>
                <w:color w:val="000000"/>
                <w:sz w:val="18"/>
                <w:szCs w:val="18"/>
              </w:rPr>
            </w:pPr>
            <w:r>
              <w:rPr>
                <w:rFonts w:ascii="標楷體" w:eastAsia="標楷體" w:hAnsi="標楷體" w:cs="Arial" w:hint="eastAsia"/>
                <w:color w:val="000000"/>
                <w:sz w:val="18"/>
                <w:szCs w:val="18"/>
              </w:rPr>
              <w:t>466</w:t>
            </w:r>
          </w:p>
        </w:tc>
        <w:tc>
          <w:tcPr>
            <w:tcW w:w="728" w:type="dxa"/>
            <w:tcBorders>
              <w:top w:val="single" w:sz="4" w:space="0" w:color="auto"/>
              <w:left w:val="nil"/>
              <w:bottom w:val="single" w:sz="4" w:space="0" w:color="auto"/>
              <w:right w:val="single" w:sz="4" w:space="0" w:color="auto"/>
            </w:tcBorders>
          </w:tcPr>
          <w:p w:rsidR="0091579C" w:rsidRPr="00E520D4" w:rsidRDefault="0091579C" w:rsidP="0091579C">
            <w:pPr>
              <w:spacing w:line="220" w:lineRule="exact"/>
              <w:jc w:val="right"/>
              <w:rPr>
                <w:rFonts w:ascii="標楷體" w:eastAsia="標楷體" w:hAnsi="標楷體" w:cs="Arial"/>
                <w:color w:val="000000"/>
                <w:sz w:val="18"/>
                <w:szCs w:val="18"/>
              </w:rPr>
            </w:pPr>
            <w:r>
              <w:rPr>
                <w:rFonts w:ascii="標楷體" w:eastAsia="標楷體" w:hAnsi="標楷體" w:cs="Arial" w:hint="eastAsia"/>
                <w:color w:val="000000"/>
                <w:sz w:val="18"/>
                <w:szCs w:val="18"/>
              </w:rPr>
              <w:t>466</w:t>
            </w:r>
          </w:p>
        </w:tc>
        <w:tc>
          <w:tcPr>
            <w:tcW w:w="625" w:type="dxa"/>
            <w:tcBorders>
              <w:top w:val="single" w:sz="4" w:space="0" w:color="auto"/>
              <w:left w:val="nil"/>
              <w:bottom w:val="single" w:sz="4" w:space="0" w:color="auto"/>
              <w:right w:val="single" w:sz="4" w:space="0" w:color="auto"/>
            </w:tcBorders>
          </w:tcPr>
          <w:p w:rsidR="0091579C" w:rsidRPr="00E520D4" w:rsidRDefault="0091579C" w:rsidP="0091579C">
            <w:pPr>
              <w:spacing w:line="220" w:lineRule="exact"/>
              <w:jc w:val="right"/>
              <w:rPr>
                <w:rFonts w:ascii="標楷體" w:eastAsia="標楷體" w:hAnsi="標楷體" w:cs="Arial"/>
                <w:color w:val="000000"/>
                <w:sz w:val="18"/>
                <w:szCs w:val="18"/>
              </w:rPr>
            </w:pPr>
            <w:r>
              <w:rPr>
                <w:rFonts w:ascii="標楷體" w:eastAsia="標楷體" w:hAnsi="標楷體" w:cs="Arial" w:hint="eastAsia"/>
                <w:color w:val="000000"/>
                <w:sz w:val="18"/>
                <w:szCs w:val="18"/>
              </w:rPr>
              <w:t>-</w:t>
            </w:r>
          </w:p>
        </w:tc>
        <w:tc>
          <w:tcPr>
            <w:tcW w:w="728" w:type="dxa"/>
            <w:tcBorders>
              <w:top w:val="single" w:sz="4" w:space="0" w:color="auto"/>
              <w:left w:val="nil"/>
              <w:bottom w:val="single" w:sz="4" w:space="0" w:color="auto"/>
              <w:right w:val="single" w:sz="4" w:space="0" w:color="auto"/>
            </w:tcBorders>
          </w:tcPr>
          <w:p w:rsidR="0091579C" w:rsidRPr="00E520D4" w:rsidRDefault="0091579C" w:rsidP="0091579C">
            <w:pPr>
              <w:spacing w:line="220" w:lineRule="exact"/>
              <w:jc w:val="right"/>
              <w:rPr>
                <w:rFonts w:ascii="標楷體" w:eastAsia="標楷體" w:hAnsi="標楷體" w:cs="Arial"/>
                <w:color w:val="000000"/>
                <w:sz w:val="18"/>
                <w:szCs w:val="18"/>
              </w:rPr>
            </w:pPr>
            <w:r w:rsidRPr="00E520D4">
              <w:rPr>
                <w:rFonts w:ascii="標楷體" w:eastAsia="標楷體" w:hAnsi="標楷體" w:cs="Arial" w:hint="eastAsia"/>
                <w:color w:val="000000"/>
                <w:sz w:val="18"/>
                <w:szCs w:val="18"/>
              </w:rPr>
              <w:t>442</w:t>
            </w:r>
          </w:p>
        </w:tc>
        <w:tc>
          <w:tcPr>
            <w:tcW w:w="728" w:type="dxa"/>
            <w:tcBorders>
              <w:top w:val="single" w:sz="4" w:space="0" w:color="auto"/>
              <w:left w:val="nil"/>
              <w:bottom w:val="single" w:sz="4" w:space="0" w:color="auto"/>
              <w:right w:val="single" w:sz="4" w:space="0" w:color="auto"/>
            </w:tcBorders>
          </w:tcPr>
          <w:p w:rsidR="0091579C" w:rsidRPr="00E520D4" w:rsidRDefault="0091579C" w:rsidP="0091579C">
            <w:pPr>
              <w:spacing w:line="220" w:lineRule="exact"/>
              <w:jc w:val="right"/>
              <w:rPr>
                <w:rFonts w:ascii="標楷體" w:eastAsia="標楷體" w:hAnsi="標楷體" w:cs="Arial"/>
                <w:color w:val="000000"/>
                <w:sz w:val="18"/>
                <w:szCs w:val="18"/>
              </w:rPr>
            </w:pPr>
            <w:r w:rsidRPr="00E520D4">
              <w:rPr>
                <w:rFonts w:ascii="標楷體" w:eastAsia="標楷體" w:hAnsi="標楷體" w:cs="Arial" w:hint="eastAsia"/>
                <w:color w:val="000000"/>
                <w:sz w:val="18"/>
                <w:szCs w:val="18"/>
              </w:rPr>
              <w:t>442</w:t>
            </w:r>
          </w:p>
        </w:tc>
        <w:tc>
          <w:tcPr>
            <w:tcW w:w="625" w:type="dxa"/>
            <w:tcBorders>
              <w:top w:val="single" w:sz="4" w:space="0" w:color="auto"/>
              <w:left w:val="nil"/>
              <w:bottom w:val="single" w:sz="4" w:space="0" w:color="auto"/>
              <w:right w:val="single" w:sz="4" w:space="0" w:color="auto"/>
            </w:tcBorders>
          </w:tcPr>
          <w:p w:rsidR="0091579C" w:rsidRPr="00E520D4" w:rsidRDefault="0091579C" w:rsidP="0091579C">
            <w:pPr>
              <w:spacing w:line="220" w:lineRule="exact"/>
              <w:jc w:val="right"/>
              <w:rPr>
                <w:rFonts w:ascii="標楷體" w:eastAsia="標楷體" w:hAnsi="標楷體" w:cs="Arial"/>
                <w:color w:val="000000"/>
                <w:sz w:val="18"/>
                <w:szCs w:val="18"/>
              </w:rPr>
            </w:pPr>
            <w:r w:rsidRPr="00E520D4">
              <w:rPr>
                <w:rFonts w:ascii="標楷體" w:eastAsia="標楷體" w:hAnsi="標楷體" w:cs="Arial" w:hint="eastAsia"/>
                <w:color w:val="000000"/>
                <w:sz w:val="18"/>
                <w:szCs w:val="18"/>
              </w:rPr>
              <w:t>-</w:t>
            </w:r>
          </w:p>
        </w:tc>
        <w:tc>
          <w:tcPr>
            <w:tcW w:w="728" w:type="dxa"/>
            <w:tcBorders>
              <w:top w:val="single" w:sz="4" w:space="0" w:color="auto"/>
              <w:left w:val="nil"/>
              <w:bottom w:val="single" w:sz="4" w:space="0" w:color="auto"/>
              <w:right w:val="single" w:sz="4" w:space="0" w:color="auto"/>
            </w:tcBorders>
          </w:tcPr>
          <w:p w:rsidR="0091579C" w:rsidRPr="00E520D4" w:rsidRDefault="0091579C" w:rsidP="0091579C">
            <w:pPr>
              <w:spacing w:line="220" w:lineRule="exact"/>
              <w:jc w:val="right"/>
              <w:rPr>
                <w:rFonts w:ascii="標楷體" w:eastAsia="標楷體" w:hAnsi="標楷體" w:cs="Arial"/>
                <w:color w:val="000000"/>
                <w:sz w:val="18"/>
                <w:szCs w:val="18"/>
              </w:rPr>
            </w:pPr>
            <w:r>
              <w:rPr>
                <w:rFonts w:ascii="標楷體" w:eastAsia="標楷體" w:hAnsi="標楷體" w:cs="Arial" w:hint="eastAsia"/>
                <w:color w:val="000000"/>
                <w:sz w:val="18"/>
                <w:szCs w:val="18"/>
              </w:rPr>
              <w:t>24</w:t>
            </w:r>
          </w:p>
        </w:tc>
        <w:tc>
          <w:tcPr>
            <w:tcW w:w="617" w:type="dxa"/>
            <w:tcBorders>
              <w:top w:val="single" w:sz="4" w:space="0" w:color="auto"/>
              <w:left w:val="nil"/>
              <w:bottom w:val="single" w:sz="4" w:space="0" w:color="auto"/>
              <w:right w:val="single" w:sz="4" w:space="0" w:color="auto"/>
            </w:tcBorders>
          </w:tcPr>
          <w:p w:rsidR="0091579C" w:rsidRPr="00E520D4" w:rsidRDefault="0091579C" w:rsidP="0091579C">
            <w:pPr>
              <w:spacing w:line="220" w:lineRule="exact"/>
              <w:jc w:val="right"/>
              <w:rPr>
                <w:rFonts w:ascii="標楷體" w:eastAsia="標楷體" w:hAnsi="標楷體" w:cs="Arial"/>
                <w:color w:val="000000"/>
                <w:sz w:val="18"/>
                <w:szCs w:val="18"/>
              </w:rPr>
            </w:pPr>
            <w:r>
              <w:rPr>
                <w:rFonts w:ascii="標楷體" w:eastAsia="標楷體" w:hAnsi="標楷體" w:cs="Arial" w:hint="eastAsia"/>
                <w:color w:val="000000"/>
                <w:sz w:val="18"/>
                <w:szCs w:val="18"/>
              </w:rPr>
              <w:t>24</w:t>
            </w:r>
          </w:p>
        </w:tc>
        <w:tc>
          <w:tcPr>
            <w:tcW w:w="618" w:type="dxa"/>
            <w:tcBorders>
              <w:top w:val="single" w:sz="4" w:space="0" w:color="auto"/>
              <w:left w:val="nil"/>
              <w:bottom w:val="single" w:sz="4" w:space="0" w:color="auto"/>
              <w:right w:val="single" w:sz="4" w:space="0" w:color="auto"/>
            </w:tcBorders>
          </w:tcPr>
          <w:p w:rsidR="0091579C" w:rsidRPr="00E520D4" w:rsidRDefault="0091579C" w:rsidP="0091579C">
            <w:pPr>
              <w:spacing w:line="220" w:lineRule="exact"/>
              <w:jc w:val="right"/>
              <w:rPr>
                <w:rFonts w:ascii="標楷體" w:eastAsia="標楷體" w:hAnsi="標楷體" w:cs="Arial"/>
                <w:color w:val="000000"/>
                <w:sz w:val="18"/>
                <w:szCs w:val="18"/>
              </w:rPr>
            </w:pPr>
            <w:r>
              <w:rPr>
                <w:rFonts w:ascii="標楷體" w:eastAsia="標楷體" w:hAnsi="標楷體" w:cs="Arial" w:hint="eastAsia"/>
                <w:color w:val="000000"/>
                <w:sz w:val="18"/>
                <w:szCs w:val="18"/>
              </w:rPr>
              <w:t>-</w:t>
            </w:r>
          </w:p>
        </w:tc>
        <w:tc>
          <w:tcPr>
            <w:tcW w:w="2067" w:type="dxa"/>
            <w:tcBorders>
              <w:top w:val="single" w:sz="4" w:space="0" w:color="auto"/>
              <w:left w:val="nil"/>
              <w:bottom w:val="single" w:sz="4" w:space="0" w:color="auto"/>
              <w:right w:val="single" w:sz="12" w:space="0" w:color="auto"/>
            </w:tcBorders>
          </w:tcPr>
          <w:p w:rsidR="0091579C" w:rsidRPr="00E520D4" w:rsidRDefault="0091579C" w:rsidP="0091579C">
            <w:pPr>
              <w:widowControl/>
              <w:spacing w:afterLines="25" w:after="60" w:line="220" w:lineRule="exact"/>
              <w:jc w:val="both"/>
              <w:rPr>
                <w:rFonts w:ascii="標楷體" w:eastAsia="標楷體" w:hAnsi="標楷體" w:cs="Arial"/>
                <w:color w:val="000000"/>
                <w:spacing w:val="-2"/>
                <w:sz w:val="18"/>
                <w:szCs w:val="18"/>
              </w:rPr>
            </w:pPr>
            <w:r w:rsidRPr="00E520D4">
              <w:rPr>
                <w:rFonts w:ascii="標楷體" w:eastAsia="標楷體" w:hAnsi="標楷體" w:cs="Arial" w:hint="eastAsia"/>
                <w:color w:val="000000"/>
                <w:spacing w:val="-2"/>
                <w:sz w:val="18"/>
                <w:szCs w:val="18"/>
              </w:rPr>
              <w:t>本年度增加</w:t>
            </w:r>
            <w:r>
              <w:rPr>
                <w:rFonts w:ascii="標楷體" w:eastAsia="標楷體" w:hAnsi="標楷體" w:cs="Arial" w:hint="eastAsia"/>
                <w:color w:val="000000"/>
                <w:spacing w:val="-2"/>
                <w:sz w:val="18"/>
                <w:szCs w:val="18"/>
              </w:rPr>
              <w:t>2</w:t>
            </w:r>
            <w:r w:rsidRPr="00E520D4">
              <w:rPr>
                <w:rFonts w:ascii="標楷體" w:eastAsia="標楷體" w:hAnsi="標楷體" w:cs="Arial" w:hint="eastAsia"/>
                <w:color w:val="000000"/>
                <w:spacing w:val="-2"/>
                <w:sz w:val="18"/>
                <w:szCs w:val="18"/>
              </w:rPr>
              <w:t>4億元，主要係國防部重新辦理精算，調整精算假設（如志願役人數由原1</w:t>
            </w:r>
            <w:r>
              <w:rPr>
                <w:rFonts w:ascii="標楷體" w:eastAsia="標楷體" w:hAnsi="標楷體" w:cs="Arial" w:hint="eastAsia"/>
                <w:color w:val="000000"/>
                <w:spacing w:val="-2"/>
                <w:sz w:val="18"/>
                <w:szCs w:val="18"/>
              </w:rPr>
              <w:t>5</w:t>
            </w:r>
            <w:r w:rsidRPr="00E520D4">
              <w:rPr>
                <w:rFonts w:ascii="標楷體" w:eastAsia="標楷體" w:hAnsi="標楷體" w:cs="Arial" w:hint="eastAsia"/>
                <w:color w:val="000000"/>
                <w:spacing w:val="-2"/>
                <w:sz w:val="18"/>
                <w:szCs w:val="18"/>
              </w:rPr>
              <w:t>萬人調整為1</w:t>
            </w:r>
            <w:r>
              <w:rPr>
                <w:rFonts w:ascii="標楷體" w:eastAsia="標楷體" w:hAnsi="標楷體" w:cs="Arial" w:hint="eastAsia"/>
                <w:color w:val="000000"/>
                <w:spacing w:val="-2"/>
                <w:sz w:val="18"/>
                <w:szCs w:val="18"/>
              </w:rPr>
              <w:t>6</w:t>
            </w:r>
            <w:r w:rsidRPr="00E520D4">
              <w:rPr>
                <w:rFonts w:ascii="標楷體" w:eastAsia="標楷體" w:hAnsi="標楷體" w:cs="Arial" w:hint="eastAsia"/>
                <w:color w:val="000000"/>
                <w:spacing w:val="-2"/>
                <w:sz w:val="18"/>
                <w:szCs w:val="18"/>
              </w:rPr>
              <w:t>萬人、義務役人數由</w:t>
            </w:r>
            <w:r>
              <w:rPr>
                <w:rFonts w:ascii="標楷體" w:eastAsia="標楷體" w:hAnsi="標楷體" w:cs="Arial" w:hint="eastAsia"/>
                <w:color w:val="000000"/>
                <w:spacing w:val="-2"/>
                <w:sz w:val="18"/>
                <w:szCs w:val="18"/>
              </w:rPr>
              <w:t>7</w:t>
            </w:r>
            <w:r w:rsidRPr="00E520D4">
              <w:rPr>
                <w:rFonts w:ascii="標楷體" w:eastAsia="標楷體" w:hAnsi="標楷體" w:cs="Arial" w:hint="eastAsia"/>
                <w:color w:val="000000"/>
                <w:spacing w:val="-2"/>
                <w:sz w:val="18"/>
                <w:szCs w:val="18"/>
              </w:rPr>
              <w:t>萬人調整為</w:t>
            </w:r>
            <w:r>
              <w:rPr>
                <w:rFonts w:ascii="標楷體" w:eastAsia="標楷體" w:hAnsi="標楷體" w:cs="Arial" w:hint="eastAsia"/>
                <w:color w:val="000000"/>
                <w:spacing w:val="-2"/>
                <w:sz w:val="18"/>
                <w:szCs w:val="18"/>
              </w:rPr>
              <w:t>5</w:t>
            </w:r>
            <w:r w:rsidRPr="00E520D4">
              <w:rPr>
                <w:rFonts w:ascii="標楷體" w:eastAsia="標楷體" w:hAnsi="標楷體" w:cs="Arial" w:hint="eastAsia"/>
                <w:color w:val="000000"/>
                <w:spacing w:val="-2"/>
                <w:sz w:val="18"/>
                <w:szCs w:val="18"/>
              </w:rPr>
              <w:t>萬人）等所致。</w:t>
            </w:r>
          </w:p>
        </w:tc>
      </w:tr>
      <w:tr w:rsidR="0091579C" w:rsidRPr="00E520D4" w:rsidTr="00C0283A">
        <w:trPr>
          <w:trHeight w:val="340"/>
          <w:jc w:val="center"/>
        </w:trPr>
        <w:tc>
          <w:tcPr>
            <w:tcW w:w="1418" w:type="dxa"/>
            <w:tcBorders>
              <w:top w:val="single" w:sz="4" w:space="0" w:color="auto"/>
              <w:left w:val="single" w:sz="12" w:space="0" w:color="auto"/>
              <w:bottom w:val="single" w:sz="4" w:space="0" w:color="auto"/>
              <w:right w:val="single" w:sz="4" w:space="0" w:color="000000"/>
            </w:tcBorders>
          </w:tcPr>
          <w:p w:rsidR="0091579C" w:rsidRPr="00E520D4" w:rsidRDefault="0091579C" w:rsidP="0091579C">
            <w:pPr>
              <w:widowControl/>
              <w:numPr>
                <w:ilvl w:val="0"/>
                <w:numId w:val="50"/>
              </w:numPr>
              <w:spacing w:line="220" w:lineRule="exact"/>
              <w:ind w:left="181" w:hanging="181"/>
              <w:jc w:val="both"/>
              <w:rPr>
                <w:rFonts w:ascii="標楷體" w:eastAsia="標楷體" w:hAnsi="標楷體" w:cs="Arial"/>
                <w:color w:val="000000"/>
                <w:spacing w:val="-2"/>
                <w:sz w:val="18"/>
                <w:szCs w:val="18"/>
              </w:rPr>
            </w:pPr>
            <w:r w:rsidRPr="00E520D4">
              <w:rPr>
                <w:rFonts w:ascii="標楷體" w:eastAsia="標楷體" w:hAnsi="標楷體" w:cs="Arial"/>
                <w:color w:val="000000"/>
                <w:spacing w:val="-8"/>
                <w:sz w:val="18"/>
                <w:szCs w:val="18"/>
              </w:rPr>
              <w:t>農民健康</w:t>
            </w:r>
            <w:r w:rsidRPr="001077D9">
              <w:rPr>
                <w:rFonts w:ascii="標楷體" w:eastAsia="標楷體" w:hAnsi="標楷體" w:cs="Arial"/>
                <w:color w:val="000000"/>
                <w:spacing w:val="-4"/>
                <w:sz w:val="18"/>
                <w:szCs w:val="18"/>
              </w:rPr>
              <w:t>保險</w:t>
            </w:r>
          </w:p>
        </w:tc>
        <w:tc>
          <w:tcPr>
            <w:tcW w:w="731" w:type="dxa"/>
            <w:tcBorders>
              <w:top w:val="single" w:sz="4" w:space="0" w:color="auto"/>
              <w:left w:val="nil"/>
              <w:bottom w:val="single" w:sz="4" w:space="0" w:color="auto"/>
              <w:right w:val="single" w:sz="4" w:space="0" w:color="auto"/>
            </w:tcBorders>
          </w:tcPr>
          <w:p w:rsidR="0091579C" w:rsidRPr="00E520D4" w:rsidRDefault="0091579C" w:rsidP="0091579C">
            <w:pPr>
              <w:spacing w:line="220" w:lineRule="exact"/>
              <w:jc w:val="right"/>
              <w:rPr>
                <w:rFonts w:ascii="標楷體" w:eastAsia="標楷體" w:hAnsi="標楷體" w:cs="Arial"/>
                <w:color w:val="000000"/>
                <w:sz w:val="18"/>
                <w:szCs w:val="18"/>
              </w:rPr>
            </w:pPr>
            <w:r>
              <w:rPr>
                <w:rFonts w:ascii="標楷體" w:eastAsia="標楷體" w:hAnsi="標楷體" w:cs="Arial" w:hint="eastAsia"/>
                <w:color w:val="000000"/>
                <w:sz w:val="18"/>
                <w:szCs w:val="18"/>
              </w:rPr>
              <w:t>837</w:t>
            </w:r>
          </w:p>
        </w:tc>
        <w:tc>
          <w:tcPr>
            <w:tcW w:w="728" w:type="dxa"/>
            <w:tcBorders>
              <w:top w:val="single" w:sz="4" w:space="0" w:color="auto"/>
              <w:left w:val="nil"/>
              <w:bottom w:val="single" w:sz="4" w:space="0" w:color="auto"/>
              <w:right w:val="single" w:sz="4" w:space="0" w:color="auto"/>
            </w:tcBorders>
          </w:tcPr>
          <w:p w:rsidR="0091579C" w:rsidRPr="00E520D4" w:rsidRDefault="0091579C" w:rsidP="0091579C">
            <w:pPr>
              <w:spacing w:line="220" w:lineRule="exact"/>
              <w:jc w:val="right"/>
              <w:rPr>
                <w:rFonts w:ascii="標楷體" w:eastAsia="標楷體" w:hAnsi="標楷體" w:cs="Arial"/>
                <w:color w:val="000000"/>
                <w:sz w:val="18"/>
                <w:szCs w:val="18"/>
              </w:rPr>
            </w:pPr>
            <w:r>
              <w:rPr>
                <w:rFonts w:ascii="標楷體" w:eastAsia="標楷體" w:hAnsi="標楷體" w:cs="Arial" w:hint="eastAsia"/>
                <w:color w:val="000000"/>
                <w:sz w:val="18"/>
                <w:szCs w:val="18"/>
              </w:rPr>
              <w:t>837</w:t>
            </w:r>
          </w:p>
        </w:tc>
        <w:tc>
          <w:tcPr>
            <w:tcW w:w="625" w:type="dxa"/>
            <w:tcBorders>
              <w:top w:val="single" w:sz="4" w:space="0" w:color="auto"/>
              <w:left w:val="nil"/>
              <w:bottom w:val="single" w:sz="4" w:space="0" w:color="auto"/>
              <w:right w:val="single" w:sz="4" w:space="0" w:color="auto"/>
            </w:tcBorders>
          </w:tcPr>
          <w:p w:rsidR="0091579C" w:rsidRPr="00E520D4" w:rsidRDefault="0091579C" w:rsidP="0091579C">
            <w:pPr>
              <w:spacing w:line="220" w:lineRule="exact"/>
              <w:jc w:val="right"/>
              <w:rPr>
                <w:rFonts w:ascii="標楷體" w:eastAsia="標楷體" w:hAnsi="標楷體" w:cs="Arial"/>
                <w:color w:val="000000"/>
                <w:sz w:val="18"/>
                <w:szCs w:val="18"/>
              </w:rPr>
            </w:pPr>
            <w:r>
              <w:rPr>
                <w:rFonts w:ascii="標楷體" w:eastAsia="標楷體" w:hAnsi="標楷體" w:cs="Arial" w:hint="eastAsia"/>
                <w:color w:val="000000"/>
                <w:sz w:val="18"/>
                <w:szCs w:val="18"/>
              </w:rPr>
              <w:t>-</w:t>
            </w:r>
          </w:p>
        </w:tc>
        <w:tc>
          <w:tcPr>
            <w:tcW w:w="728" w:type="dxa"/>
            <w:tcBorders>
              <w:top w:val="single" w:sz="4" w:space="0" w:color="auto"/>
              <w:left w:val="nil"/>
              <w:bottom w:val="single" w:sz="4" w:space="0" w:color="auto"/>
              <w:right w:val="single" w:sz="4" w:space="0" w:color="auto"/>
            </w:tcBorders>
          </w:tcPr>
          <w:p w:rsidR="0091579C" w:rsidRPr="00E520D4" w:rsidRDefault="0091579C" w:rsidP="0091579C">
            <w:pPr>
              <w:spacing w:line="220" w:lineRule="exact"/>
              <w:jc w:val="right"/>
              <w:rPr>
                <w:rFonts w:ascii="標楷體" w:eastAsia="標楷體" w:hAnsi="標楷體" w:cs="Arial"/>
                <w:color w:val="000000"/>
                <w:sz w:val="18"/>
                <w:szCs w:val="18"/>
              </w:rPr>
            </w:pPr>
            <w:r w:rsidRPr="00E520D4">
              <w:rPr>
                <w:rFonts w:ascii="標楷體" w:eastAsia="標楷體" w:hAnsi="標楷體" w:cs="Arial" w:hint="eastAsia"/>
                <w:color w:val="000000"/>
                <w:sz w:val="18"/>
                <w:szCs w:val="18"/>
              </w:rPr>
              <w:t>1,015</w:t>
            </w:r>
          </w:p>
        </w:tc>
        <w:tc>
          <w:tcPr>
            <w:tcW w:w="728" w:type="dxa"/>
            <w:tcBorders>
              <w:top w:val="single" w:sz="4" w:space="0" w:color="auto"/>
              <w:left w:val="nil"/>
              <w:bottom w:val="single" w:sz="4" w:space="0" w:color="auto"/>
              <w:right w:val="single" w:sz="4" w:space="0" w:color="auto"/>
            </w:tcBorders>
          </w:tcPr>
          <w:p w:rsidR="0091579C" w:rsidRPr="00E520D4" w:rsidRDefault="0091579C" w:rsidP="0091579C">
            <w:pPr>
              <w:spacing w:line="220" w:lineRule="exact"/>
              <w:jc w:val="right"/>
              <w:rPr>
                <w:rFonts w:ascii="標楷體" w:eastAsia="標楷體" w:hAnsi="標楷體" w:cs="Arial"/>
                <w:color w:val="000000"/>
                <w:sz w:val="18"/>
                <w:szCs w:val="18"/>
              </w:rPr>
            </w:pPr>
            <w:r w:rsidRPr="00E520D4">
              <w:rPr>
                <w:rFonts w:ascii="標楷體" w:eastAsia="標楷體" w:hAnsi="標楷體" w:cs="Arial" w:hint="eastAsia"/>
                <w:color w:val="000000"/>
                <w:sz w:val="18"/>
                <w:szCs w:val="18"/>
              </w:rPr>
              <w:t>1,015</w:t>
            </w:r>
          </w:p>
        </w:tc>
        <w:tc>
          <w:tcPr>
            <w:tcW w:w="625" w:type="dxa"/>
            <w:tcBorders>
              <w:top w:val="single" w:sz="4" w:space="0" w:color="auto"/>
              <w:left w:val="nil"/>
              <w:bottom w:val="single" w:sz="4" w:space="0" w:color="auto"/>
              <w:right w:val="single" w:sz="4" w:space="0" w:color="auto"/>
            </w:tcBorders>
          </w:tcPr>
          <w:p w:rsidR="0091579C" w:rsidRPr="00E520D4" w:rsidRDefault="0091579C" w:rsidP="0091579C">
            <w:pPr>
              <w:spacing w:line="220" w:lineRule="exact"/>
              <w:jc w:val="right"/>
              <w:rPr>
                <w:rFonts w:ascii="標楷體" w:eastAsia="標楷體" w:hAnsi="標楷體" w:cs="Arial"/>
                <w:color w:val="000000"/>
                <w:sz w:val="18"/>
                <w:szCs w:val="18"/>
              </w:rPr>
            </w:pPr>
            <w:r w:rsidRPr="00E520D4">
              <w:rPr>
                <w:rFonts w:ascii="標楷體" w:eastAsia="標楷體" w:hAnsi="標楷體" w:cs="Arial" w:hint="eastAsia"/>
                <w:color w:val="000000"/>
                <w:sz w:val="18"/>
                <w:szCs w:val="18"/>
              </w:rPr>
              <w:t>-</w:t>
            </w:r>
          </w:p>
        </w:tc>
        <w:tc>
          <w:tcPr>
            <w:tcW w:w="728" w:type="dxa"/>
            <w:tcBorders>
              <w:top w:val="single" w:sz="4" w:space="0" w:color="auto"/>
              <w:left w:val="nil"/>
              <w:bottom w:val="single" w:sz="4" w:space="0" w:color="auto"/>
              <w:right w:val="single" w:sz="4" w:space="0" w:color="auto"/>
            </w:tcBorders>
          </w:tcPr>
          <w:p w:rsidR="0091579C" w:rsidRPr="00E520D4" w:rsidRDefault="0091579C" w:rsidP="0091579C">
            <w:pPr>
              <w:spacing w:line="220" w:lineRule="exact"/>
              <w:jc w:val="right"/>
              <w:rPr>
                <w:rFonts w:ascii="標楷體" w:eastAsia="標楷體" w:hAnsi="標楷體" w:cs="Arial"/>
                <w:color w:val="000000"/>
                <w:sz w:val="18"/>
                <w:szCs w:val="18"/>
              </w:rPr>
            </w:pPr>
            <w:r>
              <w:rPr>
                <w:rFonts w:ascii="標楷體" w:eastAsia="標楷體" w:hAnsi="標楷體" w:cs="Arial" w:hint="eastAsia"/>
                <w:color w:val="000000"/>
                <w:sz w:val="18"/>
                <w:szCs w:val="18"/>
              </w:rPr>
              <w:t>-178</w:t>
            </w:r>
          </w:p>
        </w:tc>
        <w:tc>
          <w:tcPr>
            <w:tcW w:w="617" w:type="dxa"/>
            <w:tcBorders>
              <w:top w:val="single" w:sz="4" w:space="0" w:color="auto"/>
              <w:left w:val="nil"/>
              <w:bottom w:val="single" w:sz="4" w:space="0" w:color="auto"/>
              <w:right w:val="single" w:sz="4" w:space="0" w:color="auto"/>
            </w:tcBorders>
          </w:tcPr>
          <w:p w:rsidR="0091579C" w:rsidRPr="00E520D4" w:rsidRDefault="0091579C" w:rsidP="0091579C">
            <w:pPr>
              <w:spacing w:line="220" w:lineRule="exact"/>
              <w:jc w:val="right"/>
              <w:rPr>
                <w:rFonts w:ascii="標楷體" w:eastAsia="標楷體" w:hAnsi="標楷體" w:cs="Arial"/>
                <w:color w:val="000000"/>
                <w:sz w:val="18"/>
                <w:szCs w:val="18"/>
              </w:rPr>
            </w:pPr>
            <w:r>
              <w:rPr>
                <w:rFonts w:ascii="標楷體" w:eastAsia="標楷體" w:hAnsi="標楷體" w:cs="Arial" w:hint="eastAsia"/>
                <w:color w:val="000000"/>
                <w:sz w:val="18"/>
                <w:szCs w:val="18"/>
              </w:rPr>
              <w:t>-178</w:t>
            </w:r>
          </w:p>
        </w:tc>
        <w:tc>
          <w:tcPr>
            <w:tcW w:w="618" w:type="dxa"/>
            <w:tcBorders>
              <w:top w:val="single" w:sz="4" w:space="0" w:color="auto"/>
              <w:left w:val="nil"/>
              <w:bottom w:val="single" w:sz="4" w:space="0" w:color="auto"/>
              <w:right w:val="single" w:sz="4" w:space="0" w:color="auto"/>
            </w:tcBorders>
          </w:tcPr>
          <w:p w:rsidR="0091579C" w:rsidRPr="00E520D4" w:rsidRDefault="0091579C" w:rsidP="0091579C">
            <w:pPr>
              <w:spacing w:line="220" w:lineRule="exact"/>
              <w:jc w:val="right"/>
              <w:rPr>
                <w:rFonts w:ascii="標楷體" w:eastAsia="標楷體" w:hAnsi="標楷體" w:cs="Arial"/>
                <w:color w:val="000000"/>
                <w:sz w:val="18"/>
                <w:szCs w:val="18"/>
              </w:rPr>
            </w:pPr>
            <w:r>
              <w:rPr>
                <w:rFonts w:ascii="標楷體" w:eastAsia="標楷體" w:hAnsi="標楷體" w:cs="Arial" w:hint="eastAsia"/>
                <w:color w:val="000000"/>
                <w:sz w:val="18"/>
                <w:szCs w:val="18"/>
              </w:rPr>
              <w:t>-</w:t>
            </w:r>
          </w:p>
        </w:tc>
        <w:tc>
          <w:tcPr>
            <w:tcW w:w="2067" w:type="dxa"/>
            <w:tcBorders>
              <w:top w:val="single" w:sz="4" w:space="0" w:color="auto"/>
              <w:left w:val="nil"/>
              <w:bottom w:val="single" w:sz="4" w:space="0" w:color="auto"/>
              <w:right w:val="single" w:sz="12" w:space="0" w:color="auto"/>
            </w:tcBorders>
          </w:tcPr>
          <w:p w:rsidR="0091579C" w:rsidRPr="00E520D4" w:rsidRDefault="0091579C" w:rsidP="0091579C">
            <w:pPr>
              <w:widowControl/>
              <w:spacing w:afterLines="25" w:after="60" w:line="220" w:lineRule="exact"/>
              <w:jc w:val="both"/>
              <w:rPr>
                <w:rFonts w:ascii="標楷體" w:eastAsia="標楷體" w:hAnsi="標楷體" w:cs="Arial"/>
                <w:color w:val="000000"/>
                <w:spacing w:val="-2"/>
                <w:sz w:val="18"/>
                <w:szCs w:val="18"/>
              </w:rPr>
            </w:pPr>
            <w:r w:rsidRPr="00E520D4">
              <w:rPr>
                <w:rFonts w:ascii="標楷體" w:eastAsia="標楷體" w:hAnsi="標楷體" w:cs="Arial" w:hint="eastAsia"/>
                <w:color w:val="000000"/>
                <w:spacing w:val="-2"/>
                <w:sz w:val="18"/>
                <w:szCs w:val="18"/>
              </w:rPr>
              <w:t>本年度減少</w:t>
            </w:r>
            <w:r>
              <w:rPr>
                <w:rFonts w:ascii="標楷體" w:eastAsia="標楷體" w:hAnsi="標楷體" w:cs="Arial" w:hint="eastAsia"/>
                <w:color w:val="000000"/>
                <w:spacing w:val="-2"/>
                <w:sz w:val="18"/>
                <w:szCs w:val="18"/>
              </w:rPr>
              <w:t>178</w:t>
            </w:r>
            <w:r w:rsidRPr="00E520D4">
              <w:rPr>
                <w:rFonts w:ascii="標楷體" w:eastAsia="標楷體" w:hAnsi="標楷體" w:cs="Arial" w:hint="eastAsia"/>
                <w:color w:val="000000"/>
                <w:spacing w:val="-2"/>
                <w:sz w:val="18"/>
                <w:szCs w:val="18"/>
              </w:rPr>
              <w:t>億元，主要係內政部重新辦理精算，並調整精算假設（如投保人數由原12</w:t>
            </w:r>
            <w:r>
              <w:rPr>
                <w:rFonts w:ascii="標楷體" w:eastAsia="標楷體" w:hAnsi="標楷體" w:cs="Arial" w:hint="eastAsia"/>
                <w:color w:val="000000"/>
                <w:spacing w:val="-2"/>
                <w:sz w:val="18"/>
                <w:szCs w:val="18"/>
              </w:rPr>
              <w:t>3</w:t>
            </w:r>
            <w:r w:rsidRPr="00E520D4">
              <w:rPr>
                <w:rFonts w:ascii="標楷體" w:eastAsia="標楷體" w:hAnsi="標楷體" w:cs="Arial" w:hint="eastAsia"/>
                <w:color w:val="000000"/>
                <w:spacing w:val="-2"/>
                <w:sz w:val="18"/>
                <w:szCs w:val="18"/>
              </w:rPr>
              <w:t>萬人調整為1</w:t>
            </w:r>
            <w:r>
              <w:rPr>
                <w:rFonts w:ascii="標楷體" w:eastAsia="標楷體" w:hAnsi="標楷體" w:cs="Arial" w:hint="eastAsia"/>
                <w:color w:val="000000"/>
                <w:spacing w:val="-2"/>
                <w:sz w:val="18"/>
                <w:szCs w:val="18"/>
              </w:rPr>
              <w:t>17</w:t>
            </w:r>
            <w:r w:rsidRPr="00E520D4">
              <w:rPr>
                <w:rFonts w:ascii="標楷體" w:eastAsia="標楷體" w:hAnsi="標楷體" w:cs="Arial" w:hint="eastAsia"/>
                <w:color w:val="000000"/>
                <w:spacing w:val="-2"/>
                <w:sz w:val="18"/>
                <w:szCs w:val="18"/>
              </w:rPr>
              <w:t>萬人</w:t>
            </w:r>
            <w:r>
              <w:rPr>
                <w:rFonts w:ascii="標楷體" w:eastAsia="標楷體" w:hAnsi="標楷體" w:cs="Arial" w:hint="eastAsia"/>
                <w:color w:val="000000"/>
                <w:spacing w:val="-2"/>
                <w:sz w:val="18"/>
                <w:szCs w:val="18"/>
              </w:rPr>
              <w:t>，另折現率由</w:t>
            </w:r>
            <w:r>
              <w:rPr>
                <w:rFonts w:ascii="標楷體" w:eastAsia="標楷體" w:hAnsi="標楷體" w:cs="Arial" w:hint="eastAsia"/>
                <w:color w:val="000000"/>
                <w:spacing w:val="-2"/>
                <w:sz w:val="18"/>
                <w:szCs w:val="18"/>
              </w:rPr>
              <w:lastRenderedPageBreak/>
              <w:t>原2.75％調整為3％</w:t>
            </w:r>
            <w:r w:rsidRPr="00E520D4">
              <w:rPr>
                <w:rFonts w:ascii="標楷體" w:eastAsia="標楷體" w:hAnsi="標楷體" w:cs="Arial" w:hint="eastAsia"/>
                <w:color w:val="000000"/>
                <w:spacing w:val="-2"/>
                <w:sz w:val="18"/>
                <w:szCs w:val="18"/>
              </w:rPr>
              <w:t>）等所致。</w:t>
            </w:r>
          </w:p>
        </w:tc>
      </w:tr>
      <w:tr w:rsidR="0091579C" w:rsidRPr="00E520D4" w:rsidTr="00C0283A">
        <w:trPr>
          <w:trHeight w:val="240"/>
          <w:jc w:val="center"/>
        </w:trPr>
        <w:tc>
          <w:tcPr>
            <w:tcW w:w="1418" w:type="dxa"/>
            <w:tcBorders>
              <w:top w:val="single" w:sz="4" w:space="0" w:color="auto"/>
              <w:left w:val="single" w:sz="12" w:space="0" w:color="auto"/>
              <w:bottom w:val="single" w:sz="12" w:space="0" w:color="auto"/>
              <w:right w:val="single" w:sz="4" w:space="0" w:color="000000"/>
            </w:tcBorders>
          </w:tcPr>
          <w:p w:rsidR="0091579C" w:rsidRPr="00E520D4" w:rsidRDefault="0091579C" w:rsidP="0091579C">
            <w:pPr>
              <w:widowControl/>
              <w:numPr>
                <w:ilvl w:val="0"/>
                <w:numId w:val="50"/>
              </w:numPr>
              <w:spacing w:line="220" w:lineRule="exact"/>
              <w:ind w:left="181" w:hanging="181"/>
              <w:jc w:val="both"/>
              <w:rPr>
                <w:rFonts w:ascii="標楷體" w:eastAsia="標楷體" w:hAnsi="標楷體" w:cs="Arial"/>
                <w:color w:val="000000"/>
                <w:spacing w:val="-4"/>
                <w:sz w:val="18"/>
                <w:szCs w:val="18"/>
              </w:rPr>
            </w:pPr>
            <w:r w:rsidRPr="00E520D4">
              <w:rPr>
                <w:rFonts w:ascii="標楷體" w:eastAsia="標楷體" w:hAnsi="標楷體" w:cs="Arial"/>
                <w:color w:val="000000"/>
                <w:spacing w:val="-4"/>
                <w:sz w:val="18"/>
                <w:szCs w:val="18"/>
              </w:rPr>
              <w:lastRenderedPageBreak/>
              <w:t>地方政府等積欠健保等保險費</w:t>
            </w:r>
            <w:proofErr w:type="gramStart"/>
            <w:r w:rsidRPr="00E520D4">
              <w:rPr>
                <w:rFonts w:ascii="標楷體" w:eastAsia="標楷體" w:hAnsi="標楷體" w:cs="Arial"/>
                <w:color w:val="000000"/>
                <w:spacing w:val="-4"/>
                <w:sz w:val="18"/>
                <w:szCs w:val="18"/>
              </w:rPr>
              <w:t>補助款暨退休</w:t>
            </w:r>
            <w:proofErr w:type="gramEnd"/>
            <w:r w:rsidRPr="00E520D4">
              <w:rPr>
                <w:rFonts w:ascii="標楷體" w:eastAsia="標楷體" w:hAnsi="標楷體" w:cs="Arial"/>
                <w:color w:val="000000"/>
                <w:spacing w:val="-4"/>
                <w:sz w:val="18"/>
                <w:szCs w:val="18"/>
              </w:rPr>
              <w:t>公教人員優惠存款差額利息</w:t>
            </w:r>
          </w:p>
        </w:tc>
        <w:tc>
          <w:tcPr>
            <w:tcW w:w="731" w:type="dxa"/>
            <w:tcBorders>
              <w:top w:val="single" w:sz="4" w:space="0" w:color="auto"/>
              <w:left w:val="nil"/>
              <w:bottom w:val="single" w:sz="12" w:space="0" w:color="auto"/>
              <w:right w:val="single" w:sz="4" w:space="0" w:color="auto"/>
            </w:tcBorders>
          </w:tcPr>
          <w:p w:rsidR="0091579C" w:rsidRPr="00E520D4" w:rsidRDefault="0091579C" w:rsidP="0091579C">
            <w:pPr>
              <w:spacing w:line="220" w:lineRule="exact"/>
              <w:jc w:val="right"/>
              <w:rPr>
                <w:rFonts w:ascii="標楷體" w:eastAsia="標楷體" w:hAnsi="標楷體" w:cs="Arial"/>
                <w:color w:val="000000"/>
                <w:sz w:val="18"/>
                <w:szCs w:val="18"/>
              </w:rPr>
            </w:pPr>
            <w:r>
              <w:rPr>
                <w:rFonts w:ascii="標楷體" w:eastAsia="標楷體" w:hAnsi="標楷體" w:cs="Arial" w:hint="eastAsia"/>
                <w:color w:val="000000"/>
                <w:sz w:val="18"/>
                <w:szCs w:val="18"/>
              </w:rPr>
              <w:t>442</w:t>
            </w:r>
          </w:p>
        </w:tc>
        <w:tc>
          <w:tcPr>
            <w:tcW w:w="728" w:type="dxa"/>
            <w:tcBorders>
              <w:top w:val="single" w:sz="4" w:space="0" w:color="auto"/>
              <w:left w:val="nil"/>
              <w:bottom w:val="single" w:sz="12" w:space="0" w:color="auto"/>
              <w:right w:val="single" w:sz="4" w:space="0" w:color="auto"/>
            </w:tcBorders>
          </w:tcPr>
          <w:p w:rsidR="0091579C" w:rsidRPr="00E520D4" w:rsidRDefault="0091579C" w:rsidP="0091579C">
            <w:pPr>
              <w:spacing w:line="220" w:lineRule="exact"/>
              <w:jc w:val="right"/>
              <w:rPr>
                <w:rFonts w:ascii="標楷體" w:eastAsia="標楷體" w:hAnsi="標楷體" w:cs="Arial"/>
                <w:color w:val="000000"/>
                <w:sz w:val="18"/>
                <w:szCs w:val="18"/>
              </w:rPr>
            </w:pPr>
            <w:r>
              <w:rPr>
                <w:rFonts w:ascii="標楷體" w:eastAsia="標楷體" w:hAnsi="標楷體" w:cs="Arial" w:hint="eastAsia"/>
                <w:color w:val="000000"/>
                <w:sz w:val="18"/>
                <w:szCs w:val="18"/>
              </w:rPr>
              <w:t>-</w:t>
            </w:r>
          </w:p>
        </w:tc>
        <w:tc>
          <w:tcPr>
            <w:tcW w:w="625" w:type="dxa"/>
            <w:tcBorders>
              <w:top w:val="single" w:sz="4" w:space="0" w:color="auto"/>
              <w:left w:val="nil"/>
              <w:bottom w:val="single" w:sz="12" w:space="0" w:color="auto"/>
              <w:right w:val="single" w:sz="4" w:space="0" w:color="auto"/>
            </w:tcBorders>
          </w:tcPr>
          <w:p w:rsidR="0091579C" w:rsidRPr="00E520D4" w:rsidRDefault="0091579C" w:rsidP="0091579C">
            <w:pPr>
              <w:spacing w:line="220" w:lineRule="exact"/>
              <w:jc w:val="right"/>
              <w:rPr>
                <w:rFonts w:ascii="標楷體" w:eastAsia="標楷體" w:hAnsi="標楷體" w:cs="Arial"/>
                <w:color w:val="000000"/>
                <w:sz w:val="18"/>
                <w:szCs w:val="18"/>
              </w:rPr>
            </w:pPr>
            <w:r>
              <w:rPr>
                <w:rFonts w:ascii="標楷體" w:eastAsia="標楷體" w:hAnsi="標楷體" w:cs="Arial" w:hint="eastAsia"/>
                <w:color w:val="000000"/>
                <w:sz w:val="18"/>
                <w:szCs w:val="18"/>
              </w:rPr>
              <w:t>442</w:t>
            </w:r>
          </w:p>
        </w:tc>
        <w:tc>
          <w:tcPr>
            <w:tcW w:w="728" w:type="dxa"/>
            <w:tcBorders>
              <w:top w:val="single" w:sz="4" w:space="0" w:color="auto"/>
              <w:left w:val="nil"/>
              <w:bottom w:val="single" w:sz="12" w:space="0" w:color="auto"/>
              <w:right w:val="single" w:sz="4" w:space="0" w:color="auto"/>
            </w:tcBorders>
          </w:tcPr>
          <w:p w:rsidR="0091579C" w:rsidRPr="00E520D4" w:rsidRDefault="0091579C" w:rsidP="0091579C">
            <w:pPr>
              <w:spacing w:line="220" w:lineRule="exact"/>
              <w:jc w:val="right"/>
              <w:rPr>
                <w:rFonts w:ascii="標楷體" w:eastAsia="標楷體" w:hAnsi="標楷體" w:cs="Arial"/>
                <w:color w:val="000000"/>
                <w:sz w:val="18"/>
                <w:szCs w:val="18"/>
              </w:rPr>
            </w:pPr>
            <w:r w:rsidRPr="00E520D4">
              <w:rPr>
                <w:rFonts w:ascii="標楷體" w:eastAsia="標楷體" w:hAnsi="標楷體" w:cs="Arial" w:hint="eastAsia"/>
                <w:color w:val="000000"/>
                <w:sz w:val="18"/>
                <w:szCs w:val="18"/>
              </w:rPr>
              <w:t>523</w:t>
            </w:r>
          </w:p>
        </w:tc>
        <w:tc>
          <w:tcPr>
            <w:tcW w:w="728" w:type="dxa"/>
            <w:tcBorders>
              <w:top w:val="single" w:sz="4" w:space="0" w:color="auto"/>
              <w:left w:val="nil"/>
              <w:bottom w:val="single" w:sz="12" w:space="0" w:color="auto"/>
              <w:right w:val="single" w:sz="4" w:space="0" w:color="auto"/>
            </w:tcBorders>
          </w:tcPr>
          <w:p w:rsidR="0091579C" w:rsidRPr="00E520D4" w:rsidRDefault="0091579C" w:rsidP="0091579C">
            <w:pPr>
              <w:spacing w:line="220" w:lineRule="exact"/>
              <w:jc w:val="right"/>
              <w:rPr>
                <w:rFonts w:ascii="標楷體" w:eastAsia="標楷體" w:hAnsi="標楷體" w:cs="Arial"/>
                <w:color w:val="000000"/>
                <w:sz w:val="18"/>
                <w:szCs w:val="18"/>
              </w:rPr>
            </w:pPr>
            <w:r w:rsidRPr="00E520D4">
              <w:rPr>
                <w:rFonts w:ascii="標楷體" w:eastAsia="標楷體" w:hAnsi="標楷體" w:cs="Arial" w:hint="eastAsia"/>
                <w:color w:val="000000"/>
                <w:sz w:val="18"/>
                <w:szCs w:val="18"/>
              </w:rPr>
              <w:t>-</w:t>
            </w:r>
          </w:p>
        </w:tc>
        <w:tc>
          <w:tcPr>
            <w:tcW w:w="625" w:type="dxa"/>
            <w:tcBorders>
              <w:top w:val="single" w:sz="4" w:space="0" w:color="auto"/>
              <w:left w:val="nil"/>
              <w:bottom w:val="single" w:sz="12" w:space="0" w:color="auto"/>
              <w:right w:val="single" w:sz="4" w:space="0" w:color="auto"/>
            </w:tcBorders>
          </w:tcPr>
          <w:p w:rsidR="0091579C" w:rsidRPr="00E520D4" w:rsidRDefault="0091579C" w:rsidP="0091579C">
            <w:pPr>
              <w:spacing w:line="220" w:lineRule="exact"/>
              <w:jc w:val="right"/>
              <w:rPr>
                <w:rFonts w:ascii="標楷體" w:eastAsia="標楷體" w:hAnsi="標楷體" w:cs="Arial"/>
                <w:color w:val="000000"/>
                <w:sz w:val="18"/>
                <w:szCs w:val="18"/>
              </w:rPr>
            </w:pPr>
            <w:r w:rsidRPr="00E520D4">
              <w:rPr>
                <w:rFonts w:ascii="標楷體" w:eastAsia="標楷體" w:hAnsi="標楷體" w:cs="Arial" w:hint="eastAsia"/>
                <w:color w:val="000000"/>
                <w:sz w:val="18"/>
                <w:szCs w:val="18"/>
              </w:rPr>
              <w:t>523</w:t>
            </w:r>
          </w:p>
        </w:tc>
        <w:tc>
          <w:tcPr>
            <w:tcW w:w="728" w:type="dxa"/>
            <w:tcBorders>
              <w:top w:val="single" w:sz="4" w:space="0" w:color="auto"/>
              <w:left w:val="nil"/>
              <w:bottom w:val="single" w:sz="12" w:space="0" w:color="auto"/>
              <w:right w:val="single" w:sz="4" w:space="0" w:color="auto"/>
            </w:tcBorders>
          </w:tcPr>
          <w:p w:rsidR="0091579C" w:rsidRPr="00E520D4" w:rsidRDefault="0091579C" w:rsidP="0091579C">
            <w:pPr>
              <w:spacing w:line="220" w:lineRule="exact"/>
              <w:jc w:val="right"/>
              <w:rPr>
                <w:rFonts w:ascii="標楷體" w:eastAsia="標楷體" w:hAnsi="標楷體" w:cs="Arial"/>
                <w:color w:val="000000"/>
                <w:sz w:val="18"/>
                <w:szCs w:val="18"/>
              </w:rPr>
            </w:pPr>
            <w:r>
              <w:rPr>
                <w:rFonts w:ascii="標楷體" w:eastAsia="標楷體" w:hAnsi="標楷體" w:cs="Arial" w:hint="eastAsia"/>
                <w:color w:val="000000"/>
                <w:sz w:val="18"/>
                <w:szCs w:val="18"/>
              </w:rPr>
              <w:t>-81</w:t>
            </w:r>
          </w:p>
        </w:tc>
        <w:tc>
          <w:tcPr>
            <w:tcW w:w="617" w:type="dxa"/>
            <w:tcBorders>
              <w:top w:val="single" w:sz="4" w:space="0" w:color="auto"/>
              <w:left w:val="nil"/>
              <w:bottom w:val="single" w:sz="12" w:space="0" w:color="auto"/>
              <w:right w:val="single" w:sz="4" w:space="0" w:color="auto"/>
            </w:tcBorders>
          </w:tcPr>
          <w:p w:rsidR="0091579C" w:rsidRPr="00E520D4" w:rsidRDefault="0091579C" w:rsidP="0091579C">
            <w:pPr>
              <w:spacing w:line="220" w:lineRule="exact"/>
              <w:jc w:val="right"/>
              <w:rPr>
                <w:rFonts w:ascii="標楷體" w:eastAsia="標楷體" w:hAnsi="標楷體" w:cs="Arial"/>
                <w:color w:val="000000"/>
                <w:sz w:val="18"/>
                <w:szCs w:val="18"/>
              </w:rPr>
            </w:pPr>
            <w:r>
              <w:rPr>
                <w:rFonts w:ascii="標楷體" w:eastAsia="標楷體" w:hAnsi="標楷體" w:cs="Arial" w:hint="eastAsia"/>
                <w:color w:val="000000"/>
                <w:sz w:val="18"/>
                <w:szCs w:val="18"/>
              </w:rPr>
              <w:t>-</w:t>
            </w:r>
          </w:p>
        </w:tc>
        <w:tc>
          <w:tcPr>
            <w:tcW w:w="618" w:type="dxa"/>
            <w:tcBorders>
              <w:top w:val="single" w:sz="4" w:space="0" w:color="auto"/>
              <w:left w:val="nil"/>
              <w:bottom w:val="single" w:sz="12" w:space="0" w:color="auto"/>
              <w:right w:val="single" w:sz="4" w:space="0" w:color="auto"/>
            </w:tcBorders>
          </w:tcPr>
          <w:p w:rsidR="0091579C" w:rsidRPr="00E520D4" w:rsidRDefault="0091579C" w:rsidP="0091579C">
            <w:pPr>
              <w:spacing w:line="220" w:lineRule="exact"/>
              <w:jc w:val="right"/>
              <w:rPr>
                <w:rFonts w:ascii="標楷體" w:eastAsia="標楷體" w:hAnsi="標楷體" w:cs="Arial"/>
                <w:color w:val="000000"/>
                <w:sz w:val="18"/>
                <w:szCs w:val="18"/>
              </w:rPr>
            </w:pPr>
            <w:r>
              <w:rPr>
                <w:rFonts w:ascii="標楷體" w:eastAsia="標楷體" w:hAnsi="標楷體" w:cs="Arial" w:hint="eastAsia"/>
                <w:color w:val="000000"/>
                <w:sz w:val="18"/>
                <w:szCs w:val="18"/>
              </w:rPr>
              <w:t>-81</w:t>
            </w:r>
          </w:p>
        </w:tc>
        <w:tc>
          <w:tcPr>
            <w:tcW w:w="2067" w:type="dxa"/>
            <w:tcBorders>
              <w:top w:val="single" w:sz="4" w:space="0" w:color="auto"/>
              <w:left w:val="nil"/>
              <w:bottom w:val="single" w:sz="12" w:space="0" w:color="auto"/>
              <w:right w:val="single" w:sz="12" w:space="0" w:color="auto"/>
            </w:tcBorders>
          </w:tcPr>
          <w:p w:rsidR="0091579C" w:rsidRPr="00E520D4" w:rsidRDefault="0091579C" w:rsidP="0091579C">
            <w:pPr>
              <w:widowControl/>
              <w:spacing w:afterLines="25" w:after="60" w:line="220" w:lineRule="exact"/>
              <w:jc w:val="both"/>
              <w:rPr>
                <w:rFonts w:ascii="標楷體" w:eastAsia="標楷體" w:hAnsi="標楷體" w:cs="Arial"/>
                <w:color w:val="000000"/>
                <w:spacing w:val="-2"/>
                <w:sz w:val="18"/>
                <w:szCs w:val="18"/>
              </w:rPr>
            </w:pPr>
            <w:r w:rsidRPr="00E520D4">
              <w:rPr>
                <w:rFonts w:ascii="標楷體" w:eastAsia="標楷體" w:hAnsi="標楷體" w:cs="Arial" w:hint="eastAsia"/>
                <w:color w:val="000000"/>
                <w:spacing w:val="-2"/>
                <w:sz w:val="18"/>
                <w:szCs w:val="18"/>
              </w:rPr>
              <w:t>本年度減少</w:t>
            </w:r>
            <w:r>
              <w:rPr>
                <w:rFonts w:ascii="標楷體" w:eastAsia="標楷體" w:hAnsi="標楷體" w:cs="Arial" w:hint="eastAsia"/>
                <w:color w:val="000000"/>
                <w:spacing w:val="-2"/>
                <w:sz w:val="18"/>
                <w:szCs w:val="18"/>
              </w:rPr>
              <w:t>81</w:t>
            </w:r>
            <w:r w:rsidRPr="00E520D4">
              <w:rPr>
                <w:rFonts w:ascii="標楷體" w:eastAsia="標楷體" w:hAnsi="標楷體" w:cs="Arial" w:hint="eastAsia"/>
                <w:color w:val="000000"/>
                <w:spacing w:val="-2"/>
                <w:sz w:val="18"/>
                <w:szCs w:val="18"/>
              </w:rPr>
              <w:t>億元，主要係各級政府持續償還欠款所致</w:t>
            </w:r>
            <w:r w:rsidRPr="00E520D4">
              <w:rPr>
                <w:rFonts w:ascii="新細明體" w:eastAsia="新細明體" w:hAnsi="新細明體" w:cs="Arial" w:hint="eastAsia"/>
                <w:color w:val="000000"/>
                <w:spacing w:val="-2"/>
                <w:sz w:val="18"/>
                <w:szCs w:val="18"/>
              </w:rPr>
              <w:t>。</w:t>
            </w:r>
          </w:p>
        </w:tc>
      </w:tr>
    </w:tbl>
    <w:p w:rsidR="0091579C" w:rsidRDefault="0091579C" w:rsidP="0091579C">
      <w:pPr>
        <w:pStyle w:val="5"/>
        <w:spacing w:line="240" w:lineRule="exact"/>
        <w:ind w:left="475" w:hangingChars="264" w:hanging="475"/>
        <w:rPr>
          <w:rFonts w:ascii="標楷體" w:eastAsia="標楷體" w:hAnsi="標楷體"/>
          <w:color w:val="000000"/>
          <w:sz w:val="18"/>
          <w:szCs w:val="18"/>
        </w:rPr>
      </w:pPr>
      <w:proofErr w:type="gramStart"/>
      <w:r>
        <w:rPr>
          <w:rFonts w:ascii="標楷體" w:eastAsia="標楷體" w:hAnsi="標楷體" w:hint="eastAsia"/>
          <w:color w:val="000000"/>
          <w:sz w:val="18"/>
          <w:szCs w:val="18"/>
        </w:rPr>
        <w:t>註</w:t>
      </w:r>
      <w:proofErr w:type="gramEnd"/>
      <w:r>
        <w:rPr>
          <w:rFonts w:ascii="標楷體" w:eastAsia="標楷體" w:hAnsi="標楷體" w:hint="eastAsia"/>
          <w:color w:val="000000"/>
          <w:sz w:val="18"/>
          <w:szCs w:val="18"/>
        </w:rPr>
        <w:t>1：因軍人年金改革方案尚未經立法院審議，</w:t>
      </w:r>
      <w:proofErr w:type="gramStart"/>
      <w:r>
        <w:rPr>
          <w:rFonts w:ascii="標楷體" w:eastAsia="標楷體" w:hAnsi="標楷體" w:hint="eastAsia"/>
          <w:color w:val="000000"/>
          <w:sz w:val="18"/>
          <w:szCs w:val="18"/>
        </w:rPr>
        <w:t>爰</w:t>
      </w:r>
      <w:proofErr w:type="gramEnd"/>
      <w:r>
        <w:rPr>
          <w:rFonts w:ascii="標楷體" w:eastAsia="標楷體" w:hAnsi="標楷體" w:hint="eastAsia"/>
          <w:color w:val="000000"/>
          <w:sz w:val="18"/>
          <w:szCs w:val="18"/>
        </w:rPr>
        <w:t>表列舊制軍公教人員退休金及公務人員退休撫卹金有關軍人退休金之未來或有給付責任仍依現行法令基礎精算。</w:t>
      </w:r>
    </w:p>
    <w:p w:rsidR="0091579C" w:rsidRDefault="0091579C" w:rsidP="0091579C">
      <w:pPr>
        <w:pStyle w:val="5"/>
        <w:spacing w:line="240" w:lineRule="exact"/>
        <w:ind w:left="475" w:hangingChars="264" w:hanging="475"/>
        <w:rPr>
          <w:rFonts w:ascii="標楷體" w:eastAsia="標楷體" w:hAnsi="標楷體"/>
          <w:color w:val="000000"/>
          <w:sz w:val="18"/>
          <w:szCs w:val="18"/>
        </w:rPr>
      </w:pPr>
      <w:proofErr w:type="gramStart"/>
      <w:r>
        <w:rPr>
          <w:rFonts w:ascii="標楷體" w:eastAsia="標楷體" w:hAnsi="標楷體" w:hint="eastAsia"/>
          <w:color w:val="000000"/>
          <w:sz w:val="18"/>
          <w:szCs w:val="18"/>
        </w:rPr>
        <w:t>註</w:t>
      </w:r>
      <w:proofErr w:type="gramEnd"/>
      <w:r>
        <w:rPr>
          <w:rFonts w:ascii="標楷體" w:eastAsia="標楷體" w:hAnsi="標楷體" w:hint="eastAsia"/>
          <w:color w:val="000000"/>
          <w:sz w:val="18"/>
          <w:szCs w:val="18"/>
        </w:rPr>
        <w:t>2：依公務人員退休資遣撫</w:t>
      </w:r>
      <w:proofErr w:type="gramStart"/>
      <w:r>
        <w:rPr>
          <w:rFonts w:ascii="標楷體" w:eastAsia="標楷體" w:hAnsi="標楷體" w:hint="eastAsia"/>
          <w:color w:val="000000"/>
          <w:sz w:val="18"/>
          <w:szCs w:val="18"/>
        </w:rPr>
        <w:t>卹</w:t>
      </w:r>
      <w:proofErr w:type="gramEnd"/>
      <w:r>
        <w:rPr>
          <w:rFonts w:ascii="標楷體" w:eastAsia="標楷體" w:hAnsi="標楷體" w:hint="eastAsia"/>
          <w:color w:val="000000"/>
          <w:sz w:val="18"/>
          <w:szCs w:val="18"/>
        </w:rPr>
        <w:t>法第40條及</w:t>
      </w:r>
      <w:r w:rsidRPr="005511B7">
        <w:rPr>
          <w:rFonts w:ascii="標楷體" w:eastAsia="標楷體" w:hAnsi="標楷體" w:hint="eastAsia"/>
          <w:color w:val="000000"/>
          <w:sz w:val="18"/>
          <w:szCs w:val="18"/>
        </w:rPr>
        <w:t>公立學校教職員退休資遣撫</w:t>
      </w:r>
      <w:proofErr w:type="gramStart"/>
      <w:r w:rsidRPr="005511B7">
        <w:rPr>
          <w:rFonts w:ascii="標楷體" w:eastAsia="標楷體" w:hAnsi="標楷體" w:hint="eastAsia"/>
          <w:color w:val="000000"/>
          <w:sz w:val="18"/>
          <w:szCs w:val="18"/>
        </w:rPr>
        <w:t>卹</w:t>
      </w:r>
      <w:proofErr w:type="gramEnd"/>
      <w:r w:rsidRPr="005511B7">
        <w:rPr>
          <w:rFonts w:ascii="標楷體" w:eastAsia="標楷體" w:hAnsi="標楷體" w:hint="eastAsia"/>
          <w:color w:val="000000"/>
          <w:sz w:val="18"/>
          <w:szCs w:val="18"/>
        </w:rPr>
        <w:t>條例</w:t>
      </w:r>
      <w:r>
        <w:rPr>
          <w:rFonts w:ascii="標楷體" w:eastAsia="標楷體" w:hAnsi="標楷體" w:hint="eastAsia"/>
          <w:color w:val="000000"/>
          <w:sz w:val="18"/>
          <w:szCs w:val="18"/>
        </w:rPr>
        <w:t>第40條規定，各級政府應將退休公、教人員退休所得調降金額編列預算撥付退撫基金，惟因上開法令自107年7月1日起施行，各級政府尚未編列預算提存基金，</w:t>
      </w:r>
      <w:proofErr w:type="gramStart"/>
      <w:r>
        <w:rPr>
          <w:rFonts w:ascii="標楷體" w:eastAsia="標楷體" w:hAnsi="標楷體" w:hint="eastAsia"/>
          <w:color w:val="000000"/>
          <w:sz w:val="18"/>
          <w:szCs w:val="18"/>
        </w:rPr>
        <w:t>爰</w:t>
      </w:r>
      <w:proofErr w:type="gramEnd"/>
      <w:r>
        <w:rPr>
          <w:rFonts w:ascii="標楷體" w:eastAsia="標楷體" w:hAnsi="標楷體" w:hint="eastAsia"/>
          <w:color w:val="000000"/>
          <w:sz w:val="18"/>
          <w:szCs w:val="18"/>
        </w:rPr>
        <w:t>表列</w:t>
      </w:r>
      <w:r w:rsidRPr="009C612B">
        <w:rPr>
          <w:rFonts w:ascii="標楷體" w:eastAsia="標楷體" w:hAnsi="標楷體" w:hint="eastAsia"/>
          <w:color w:val="000000"/>
          <w:sz w:val="18"/>
          <w:szCs w:val="18"/>
        </w:rPr>
        <w:t>公務人員退休撫卹金</w:t>
      </w:r>
      <w:r>
        <w:rPr>
          <w:rFonts w:ascii="標楷體" w:eastAsia="標楷體" w:hAnsi="標楷體" w:hint="eastAsia"/>
          <w:color w:val="000000"/>
          <w:sz w:val="18"/>
          <w:szCs w:val="18"/>
        </w:rPr>
        <w:t>之未來或有給付責任尚未扣除。</w:t>
      </w:r>
    </w:p>
    <w:p w:rsidR="0091579C" w:rsidRPr="00E520D4" w:rsidRDefault="0091579C" w:rsidP="0091579C">
      <w:pPr>
        <w:pStyle w:val="5"/>
        <w:spacing w:line="240" w:lineRule="exact"/>
        <w:ind w:left="0" w:firstLine="0"/>
        <w:rPr>
          <w:rFonts w:ascii="標楷體" w:eastAsia="標楷體" w:hAnsi="標楷體"/>
          <w:color w:val="000000"/>
          <w:sz w:val="18"/>
          <w:szCs w:val="18"/>
        </w:rPr>
      </w:pPr>
      <w:proofErr w:type="gramStart"/>
      <w:r>
        <w:rPr>
          <w:rFonts w:ascii="標楷體" w:eastAsia="標楷體" w:hAnsi="標楷體" w:hint="eastAsia"/>
          <w:color w:val="000000"/>
          <w:sz w:val="18"/>
          <w:szCs w:val="18"/>
        </w:rPr>
        <w:t>註</w:t>
      </w:r>
      <w:proofErr w:type="gramEnd"/>
      <w:r>
        <w:rPr>
          <w:rFonts w:ascii="標楷體" w:eastAsia="標楷體" w:hAnsi="標楷體" w:hint="eastAsia"/>
          <w:color w:val="000000"/>
          <w:sz w:val="18"/>
          <w:szCs w:val="18"/>
        </w:rPr>
        <w:t>3：</w:t>
      </w:r>
      <w:r w:rsidRPr="00E520D4">
        <w:rPr>
          <w:rFonts w:ascii="標楷體" w:eastAsia="標楷體" w:hAnsi="標楷體"/>
          <w:color w:val="000000"/>
          <w:sz w:val="18"/>
          <w:szCs w:val="18"/>
        </w:rPr>
        <w:t>資料來源</w:t>
      </w:r>
      <w:r>
        <w:rPr>
          <w:rFonts w:ascii="標楷體" w:eastAsia="標楷體" w:hAnsi="標楷體" w:hint="eastAsia"/>
          <w:color w:val="000000"/>
          <w:sz w:val="18"/>
          <w:szCs w:val="18"/>
        </w:rPr>
        <w:t>：</w:t>
      </w:r>
      <w:proofErr w:type="gramStart"/>
      <w:r w:rsidRPr="00E520D4">
        <w:rPr>
          <w:rFonts w:ascii="標楷體" w:eastAsia="標楷體" w:hAnsi="標楷體" w:hint="eastAsia"/>
          <w:color w:val="000000"/>
          <w:sz w:val="18"/>
          <w:szCs w:val="18"/>
        </w:rPr>
        <w:t>均</w:t>
      </w:r>
      <w:r w:rsidRPr="00E520D4">
        <w:rPr>
          <w:rFonts w:ascii="標楷體" w:eastAsia="標楷體" w:hAnsi="標楷體"/>
          <w:color w:val="000000"/>
          <w:sz w:val="18"/>
          <w:szCs w:val="18"/>
        </w:rPr>
        <w:t>係依據</w:t>
      </w:r>
      <w:proofErr w:type="gramEnd"/>
      <w:r w:rsidRPr="00E520D4">
        <w:rPr>
          <w:rFonts w:ascii="標楷體" w:eastAsia="標楷體" w:hAnsi="標楷體"/>
          <w:color w:val="000000"/>
          <w:sz w:val="18"/>
          <w:szCs w:val="18"/>
        </w:rPr>
        <w:t>各</w:t>
      </w:r>
      <w:r w:rsidRPr="00E520D4">
        <w:rPr>
          <w:rFonts w:ascii="標楷體" w:eastAsia="標楷體" w:hAnsi="標楷體" w:hint="eastAsia"/>
          <w:color w:val="000000"/>
          <w:sz w:val="18"/>
          <w:szCs w:val="18"/>
        </w:rPr>
        <w:t>主管</w:t>
      </w:r>
      <w:r w:rsidRPr="00E520D4">
        <w:rPr>
          <w:rFonts w:ascii="標楷體" w:eastAsia="標楷體" w:hAnsi="標楷體"/>
          <w:color w:val="000000"/>
          <w:sz w:val="18"/>
          <w:szCs w:val="18"/>
        </w:rPr>
        <w:t>機關提供之精(估)算等資料。</w:t>
      </w:r>
    </w:p>
    <w:p w:rsidR="0091579C" w:rsidRPr="00E520D4" w:rsidRDefault="0091579C" w:rsidP="0091579C">
      <w:pPr>
        <w:pStyle w:val="5"/>
        <w:spacing w:before="60" w:line="480" w:lineRule="exact"/>
        <w:ind w:left="0" w:firstLine="567"/>
        <w:rPr>
          <w:rFonts w:ascii="標楷體" w:eastAsia="標楷體" w:hAnsi="標楷體"/>
          <w:color w:val="000000"/>
          <w:sz w:val="28"/>
          <w:szCs w:val="28"/>
        </w:rPr>
      </w:pPr>
      <w:r w:rsidRPr="00E520D4">
        <w:rPr>
          <w:rFonts w:ascii="標楷體" w:eastAsia="標楷體" w:hAnsi="標楷體" w:hint="eastAsia"/>
          <w:color w:val="000000"/>
          <w:sz w:val="28"/>
          <w:szCs w:val="28"/>
        </w:rPr>
        <w:t>上述</w:t>
      </w:r>
      <w:r w:rsidRPr="00E520D4">
        <w:rPr>
          <w:rFonts w:ascii="標楷體" w:eastAsia="標楷體" w:hAnsi="標楷體" w:hint="eastAsia"/>
          <w:color w:val="000000"/>
          <w:kern w:val="2"/>
          <w:sz w:val="28"/>
          <w:szCs w:val="28"/>
        </w:rPr>
        <w:t>揭露</w:t>
      </w:r>
      <w:r w:rsidRPr="00E520D4">
        <w:rPr>
          <w:rFonts w:ascii="標楷體" w:eastAsia="標楷體" w:hAnsi="標楷體" w:hint="eastAsia"/>
          <w:color w:val="000000"/>
          <w:sz w:val="28"/>
          <w:szCs w:val="28"/>
        </w:rPr>
        <w:t>事項，或因屬政府未來應負擔之法定給付義務，以編列年度預算方式支應；或因屬</w:t>
      </w:r>
      <w:r w:rsidRPr="00E520D4">
        <w:rPr>
          <w:rFonts w:eastAsia="標楷體" w:hAnsi="標楷體" w:hint="eastAsia"/>
          <w:color w:val="000000"/>
          <w:sz w:val="28"/>
          <w:szCs w:val="28"/>
        </w:rPr>
        <w:t>未來</w:t>
      </w:r>
      <w:r w:rsidRPr="00E520D4">
        <w:rPr>
          <w:rFonts w:ascii="標楷體" w:eastAsia="標楷體" w:hAnsi="標楷體" w:hint="eastAsia"/>
          <w:color w:val="000000"/>
          <w:sz w:val="28"/>
          <w:szCs w:val="28"/>
        </w:rPr>
        <w:t>社會安全給付事項，可藉由費率調整機制等</w:t>
      </w:r>
      <w:proofErr w:type="gramStart"/>
      <w:r w:rsidRPr="00E520D4">
        <w:rPr>
          <w:rFonts w:ascii="標楷體" w:eastAsia="標楷體" w:hAnsi="標楷體" w:hint="eastAsia"/>
          <w:color w:val="000000"/>
          <w:sz w:val="28"/>
          <w:szCs w:val="28"/>
        </w:rPr>
        <w:t>挹</w:t>
      </w:r>
      <w:proofErr w:type="gramEnd"/>
      <w:r w:rsidRPr="00E520D4">
        <w:rPr>
          <w:rFonts w:ascii="標楷體" w:eastAsia="標楷體" w:hAnsi="標楷體" w:hint="eastAsia"/>
          <w:color w:val="000000"/>
          <w:sz w:val="28"/>
          <w:szCs w:val="28"/>
        </w:rPr>
        <w:t>注，故與公共債務法管制政府融資行為所舉借之債務不同。</w:t>
      </w:r>
      <w:proofErr w:type="gramStart"/>
      <w:r w:rsidRPr="00E520D4">
        <w:rPr>
          <w:rFonts w:ascii="標楷體" w:eastAsia="標楷體" w:hAnsi="標楷體" w:hint="eastAsia"/>
          <w:color w:val="000000"/>
          <w:sz w:val="28"/>
          <w:szCs w:val="28"/>
        </w:rPr>
        <w:t>茲逐項</w:t>
      </w:r>
      <w:proofErr w:type="gramEnd"/>
      <w:r w:rsidRPr="00E520D4">
        <w:rPr>
          <w:rFonts w:ascii="標楷體" w:eastAsia="標楷體" w:hAnsi="標楷體" w:hint="eastAsia"/>
          <w:color w:val="000000"/>
          <w:sz w:val="28"/>
          <w:szCs w:val="28"/>
        </w:rPr>
        <w:t>說明如下：</w:t>
      </w:r>
    </w:p>
    <w:p w:rsidR="0091579C" w:rsidRPr="00E520D4" w:rsidRDefault="0091579C" w:rsidP="0091579C">
      <w:pPr>
        <w:pStyle w:val="14"/>
        <w:spacing w:line="480" w:lineRule="exact"/>
        <w:ind w:left="574" w:hangingChars="205" w:hanging="574"/>
        <w:rPr>
          <w:rFonts w:hAnsi="標楷體"/>
          <w:color w:val="000000"/>
          <w:szCs w:val="28"/>
        </w:rPr>
      </w:pPr>
      <w:r w:rsidRPr="00E520D4">
        <w:rPr>
          <w:rFonts w:hAnsi="標楷體" w:hint="eastAsia"/>
          <w:color w:val="000000"/>
          <w:szCs w:val="28"/>
        </w:rPr>
        <w:t>一、未來30年需由政府編列預算支應之舊制</w:t>
      </w:r>
      <w:smartTag w:uri="urn:schemas-microsoft-com:office:smarttags" w:element="chsdate">
        <w:smartTagPr>
          <w:attr w:name="Year" w:val="1984"/>
          <w:attr w:name="Month" w:val="7"/>
          <w:attr w:name="Day" w:val="1"/>
          <w:attr w:name="IsLunarDate" w:val="False"/>
          <w:attr w:name="IsROCDate" w:val="False"/>
        </w:smartTagPr>
        <w:r w:rsidRPr="00E520D4">
          <w:rPr>
            <w:rFonts w:hAnsi="標楷體" w:hint="eastAsia"/>
            <w:color w:val="000000"/>
            <w:szCs w:val="28"/>
          </w:rPr>
          <w:t>（</w:t>
        </w:r>
        <w:smartTag w:uri="urn:schemas-microsoft-com:office:smarttags" w:element="chsdate">
          <w:smartTagPr>
            <w:attr w:name="IsROCDate" w:val="False"/>
            <w:attr w:name="IsLunarDate" w:val="False"/>
            <w:attr w:name="Day" w:val="1"/>
            <w:attr w:name="Month" w:val="7"/>
            <w:attr w:name="Year" w:val="1984"/>
          </w:smartTagPr>
          <w:r w:rsidRPr="00E520D4">
            <w:rPr>
              <w:rFonts w:hAnsi="標楷體" w:hint="eastAsia"/>
              <w:color w:val="000000"/>
              <w:szCs w:val="28"/>
            </w:rPr>
            <w:t>84年7月1日</w:t>
          </w:r>
        </w:smartTag>
      </w:smartTag>
      <w:r w:rsidRPr="00E520D4">
        <w:rPr>
          <w:rFonts w:hAnsi="標楷體" w:hint="eastAsia"/>
          <w:color w:val="000000"/>
          <w:szCs w:val="28"/>
        </w:rPr>
        <w:t>實施公務人員退休撫</w:t>
      </w:r>
      <w:proofErr w:type="gramStart"/>
      <w:r w:rsidRPr="00E520D4">
        <w:rPr>
          <w:rFonts w:hAnsi="標楷體" w:hint="eastAsia"/>
          <w:color w:val="000000"/>
          <w:szCs w:val="28"/>
        </w:rPr>
        <w:t>卹</w:t>
      </w:r>
      <w:proofErr w:type="gramEnd"/>
      <w:r w:rsidRPr="00E520D4">
        <w:rPr>
          <w:rFonts w:hAnsi="標楷體" w:hint="eastAsia"/>
          <w:color w:val="000000"/>
          <w:szCs w:val="28"/>
        </w:rPr>
        <w:t>新制）軍公教人員退休金</w:t>
      </w:r>
    </w:p>
    <w:p w:rsidR="0091579C" w:rsidRPr="00E520D4" w:rsidRDefault="0091579C" w:rsidP="00C0283A">
      <w:pPr>
        <w:pStyle w:val="7"/>
        <w:spacing w:line="480" w:lineRule="exact"/>
        <w:ind w:leftChars="-13" w:left="801" w:hangingChars="297" w:hanging="832"/>
        <w:textAlignment w:val="auto"/>
        <w:rPr>
          <w:rFonts w:ascii="標楷體" w:eastAsia="標楷體" w:hAnsi="標楷體"/>
          <w:color w:val="000000"/>
          <w:sz w:val="28"/>
          <w:szCs w:val="28"/>
        </w:rPr>
      </w:pPr>
      <w:r w:rsidRPr="00E520D4">
        <w:rPr>
          <w:rFonts w:ascii="標楷體" w:eastAsia="標楷體" w:hAnsi="標楷體" w:hint="eastAsia"/>
          <w:color w:val="000000"/>
          <w:sz w:val="28"/>
          <w:szCs w:val="28"/>
        </w:rPr>
        <w:t>（一）法令依據：公務人員退休法</w:t>
      </w:r>
      <w:r>
        <w:rPr>
          <w:rFonts w:ascii="標楷體" w:eastAsia="標楷體" w:hAnsi="標楷體" w:hint="eastAsia"/>
          <w:color w:val="000000"/>
          <w:sz w:val="28"/>
          <w:szCs w:val="28"/>
        </w:rPr>
        <w:t>（以下簡稱退休法）</w:t>
      </w:r>
      <w:r w:rsidRPr="00E520D4">
        <w:rPr>
          <w:rFonts w:ascii="標楷體" w:eastAsia="標楷體" w:hAnsi="標楷體" w:hint="eastAsia"/>
          <w:color w:val="000000"/>
          <w:sz w:val="28"/>
          <w:szCs w:val="28"/>
        </w:rPr>
        <w:t>第29條及其施行細則第30條</w:t>
      </w:r>
      <w:r>
        <w:rPr>
          <w:rFonts w:ascii="標楷體" w:eastAsia="標楷體" w:hAnsi="標楷體" w:hint="eastAsia"/>
          <w:color w:val="000000"/>
          <w:sz w:val="28"/>
          <w:szCs w:val="28"/>
        </w:rPr>
        <w:t>、公務人員退休資遣撫卹法（自107年7月1日起施行，</w:t>
      </w:r>
      <w:r w:rsidRPr="00474784">
        <w:rPr>
          <w:rFonts w:ascii="標楷體" w:eastAsia="標楷體" w:hAnsi="標楷體" w:hint="eastAsia"/>
          <w:color w:val="000000"/>
          <w:sz w:val="28"/>
          <w:szCs w:val="28"/>
        </w:rPr>
        <w:t>以下簡稱退</w:t>
      </w:r>
      <w:r>
        <w:rPr>
          <w:rFonts w:ascii="標楷體" w:eastAsia="標楷體" w:hAnsi="標楷體" w:hint="eastAsia"/>
          <w:color w:val="000000"/>
          <w:sz w:val="28"/>
          <w:szCs w:val="28"/>
        </w:rPr>
        <w:t>撫</w:t>
      </w:r>
      <w:r w:rsidRPr="00474784">
        <w:rPr>
          <w:rFonts w:ascii="標楷體" w:eastAsia="標楷體" w:hAnsi="標楷體" w:hint="eastAsia"/>
          <w:color w:val="000000"/>
          <w:sz w:val="28"/>
          <w:szCs w:val="28"/>
        </w:rPr>
        <w:t>法</w:t>
      </w:r>
      <w:r>
        <w:rPr>
          <w:rFonts w:ascii="標楷體" w:eastAsia="標楷體" w:hAnsi="標楷體" w:hint="eastAsia"/>
          <w:color w:val="000000"/>
          <w:sz w:val="28"/>
          <w:szCs w:val="28"/>
        </w:rPr>
        <w:t>）第6條</w:t>
      </w:r>
      <w:r w:rsidRPr="00E520D4">
        <w:rPr>
          <w:rFonts w:ascii="標楷體" w:eastAsia="標楷體" w:hAnsi="標楷體" w:hint="eastAsia"/>
          <w:color w:val="000000"/>
          <w:sz w:val="28"/>
          <w:szCs w:val="28"/>
        </w:rPr>
        <w:t>、</w:t>
      </w:r>
      <w:r w:rsidRPr="005511B7">
        <w:rPr>
          <w:rFonts w:ascii="標楷體" w:eastAsia="標楷體" w:hAnsi="標楷體" w:hint="eastAsia"/>
          <w:color w:val="000000"/>
          <w:sz w:val="28"/>
          <w:szCs w:val="28"/>
        </w:rPr>
        <w:t>公立學校教職員退休資遣撫卹條例</w:t>
      </w:r>
      <w:r>
        <w:rPr>
          <w:rFonts w:ascii="標楷體" w:eastAsia="標楷體" w:hAnsi="標楷體" w:hint="eastAsia"/>
          <w:color w:val="000000"/>
          <w:sz w:val="28"/>
          <w:szCs w:val="28"/>
        </w:rPr>
        <w:t>（自107年7月1日起施行，</w:t>
      </w:r>
      <w:r w:rsidRPr="00474784">
        <w:rPr>
          <w:rFonts w:ascii="標楷體" w:eastAsia="標楷體" w:hAnsi="標楷體" w:hint="eastAsia"/>
          <w:color w:val="000000"/>
          <w:sz w:val="28"/>
          <w:szCs w:val="28"/>
        </w:rPr>
        <w:t>以下簡稱退</w:t>
      </w:r>
      <w:r>
        <w:rPr>
          <w:rFonts w:ascii="標楷體" w:eastAsia="標楷體" w:hAnsi="標楷體" w:hint="eastAsia"/>
          <w:color w:val="000000"/>
          <w:sz w:val="28"/>
          <w:szCs w:val="28"/>
        </w:rPr>
        <w:t>撫條例）第6條</w:t>
      </w:r>
      <w:r w:rsidRPr="00E520D4">
        <w:rPr>
          <w:rFonts w:ascii="標楷體" w:eastAsia="標楷體" w:hAnsi="標楷體" w:hint="eastAsia"/>
          <w:color w:val="000000"/>
          <w:sz w:val="28"/>
          <w:szCs w:val="28"/>
        </w:rPr>
        <w:t>、學校教職員退休條例第21條之1</w:t>
      </w:r>
      <w:r>
        <w:rPr>
          <w:rFonts w:ascii="標楷體" w:eastAsia="標楷體" w:hAnsi="標楷體" w:hint="eastAsia"/>
          <w:color w:val="000000"/>
          <w:sz w:val="28"/>
          <w:szCs w:val="28"/>
        </w:rPr>
        <w:t>及其施行細則第33條</w:t>
      </w:r>
      <w:r w:rsidRPr="00E520D4">
        <w:rPr>
          <w:rFonts w:ascii="標楷體" w:eastAsia="標楷體" w:hAnsi="標楷體" w:hint="eastAsia"/>
          <w:color w:val="000000"/>
          <w:sz w:val="28"/>
          <w:szCs w:val="28"/>
        </w:rPr>
        <w:t>、陸海空軍軍官士官服役條例第43條及其施行細則第34條等</w:t>
      </w:r>
      <w:r>
        <w:rPr>
          <w:rFonts w:ascii="標楷體" w:eastAsia="標楷體" w:hAnsi="標楷體" w:hint="eastAsia"/>
          <w:color w:val="000000"/>
          <w:sz w:val="28"/>
          <w:szCs w:val="28"/>
        </w:rPr>
        <w:t>規定</w:t>
      </w:r>
      <w:r w:rsidRPr="00E520D4">
        <w:rPr>
          <w:rFonts w:ascii="標楷體" w:eastAsia="標楷體" w:hAnsi="標楷體" w:hint="eastAsia"/>
          <w:color w:val="000000"/>
          <w:sz w:val="28"/>
          <w:szCs w:val="28"/>
        </w:rPr>
        <w:t>。</w:t>
      </w:r>
    </w:p>
    <w:p w:rsidR="0091579C" w:rsidRPr="00E520D4" w:rsidRDefault="0091579C" w:rsidP="0091579C">
      <w:pPr>
        <w:pStyle w:val="7"/>
        <w:spacing w:line="480" w:lineRule="exact"/>
        <w:ind w:leftChars="-17" w:left="824" w:hangingChars="309" w:hanging="865"/>
        <w:textAlignment w:val="auto"/>
        <w:rPr>
          <w:rFonts w:ascii="標楷體" w:eastAsia="標楷體" w:hAnsi="標楷體"/>
          <w:color w:val="000000"/>
          <w:sz w:val="28"/>
          <w:szCs w:val="28"/>
        </w:rPr>
      </w:pPr>
      <w:r w:rsidRPr="00E520D4">
        <w:rPr>
          <w:rFonts w:ascii="標楷體" w:eastAsia="標楷體" w:hAnsi="標楷體" w:hint="eastAsia"/>
          <w:color w:val="000000"/>
          <w:sz w:val="28"/>
          <w:szCs w:val="28"/>
        </w:rPr>
        <w:t>（二）依據各權責機關精（估）算報告，精（估）算未來30年需由中央政府負擔之舊制軍公教人員退休金為</w:t>
      </w:r>
      <w:r w:rsidRPr="00C0283A">
        <w:rPr>
          <w:rFonts w:ascii="標楷體" w:eastAsia="標楷體" w:hAnsi="標楷體" w:hint="eastAsia"/>
          <w:color w:val="000000"/>
          <w:sz w:val="28"/>
          <w:szCs w:val="28"/>
        </w:rPr>
        <w:t>2兆990</w:t>
      </w:r>
      <w:r w:rsidRPr="00E520D4">
        <w:rPr>
          <w:rFonts w:ascii="標楷體" w:eastAsia="標楷體" w:hAnsi="標楷體" w:hint="eastAsia"/>
          <w:color w:val="000000"/>
          <w:sz w:val="28"/>
          <w:szCs w:val="28"/>
        </w:rPr>
        <w:t>億元（另地方政府為</w:t>
      </w:r>
      <w:r>
        <w:rPr>
          <w:rFonts w:ascii="標楷體" w:eastAsia="標楷體" w:hAnsi="標楷體" w:hint="eastAsia"/>
          <w:color w:val="000000"/>
          <w:sz w:val="28"/>
          <w:szCs w:val="28"/>
        </w:rPr>
        <w:t>1</w:t>
      </w:r>
      <w:r w:rsidRPr="00C0283A">
        <w:rPr>
          <w:rFonts w:ascii="標楷體" w:eastAsia="標楷體" w:hAnsi="標楷體" w:hint="eastAsia"/>
          <w:color w:val="000000"/>
          <w:sz w:val="28"/>
          <w:szCs w:val="28"/>
        </w:rPr>
        <w:t>兆3,595</w:t>
      </w:r>
      <w:r w:rsidRPr="00E520D4">
        <w:rPr>
          <w:rFonts w:ascii="標楷體" w:eastAsia="標楷體" w:hAnsi="標楷體" w:hint="eastAsia"/>
          <w:color w:val="000000"/>
          <w:sz w:val="28"/>
          <w:szCs w:val="28"/>
        </w:rPr>
        <w:t>億元）。本項法定義務負擔依法由各級政府估算各年請領額，逐年編列預算支應，尚未有積欠情事。相關精（估）算條件如下：</w:t>
      </w:r>
    </w:p>
    <w:p w:rsidR="0091579C" w:rsidRPr="00E520D4" w:rsidRDefault="0091579C" w:rsidP="0091579C">
      <w:pPr>
        <w:pStyle w:val="7"/>
        <w:spacing w:line="480" w:lineRule="exact"/>
        <w:ind w:leftChars="215" w:left="810" w:hangingChars="105" w:hanging="294"/>
        <w:textAlignment w:val="auto"/>
        <w:rPr>
          <w:rFonts w:ascii="標楷體" w:eastAsia="標楷體" w:hAnsi="標楷體"/>
          <w:color w:val="000000"/>
          <w:spacing w:val="-2"/>
          <w:sz w:val="28"/>
          <w:szCs w:val="28"/>
        </w:rPr>
      </w:pPr>
      <w:r w:rsidRPr="00C0283A">
        <w:rPr>
          <w:rFonts w:ascii="標楷體" w:eastAsia="標楷體" w:hAnsi="標楷體" w:hint="eastAsia"/>
          <w:color w:val="000000"/>
          <w:sz w:val="28"/>
          <w:szCs w:val="28"/>
        </w:rPr>
        <w:t>1.公務人員</w:t>
      </w:r>
      <w:r w:rsidRPr="00E520D4">
        <w:rPr>
          <w:rFonts w:ascii="標楷體" w:eastAsia="標楷體" w:hAnsi="標楷體" w:hint="eastAsia"/>
          <w:color w:val="000000"/>
          <w:spacing w:val="-2"/>
          <w:sz w:val="28"/>
          <w:szCs w:val="28"/>
        </w:rPr>
        <w:t>：依據銓敘部以本年12月31日為基準日，具有退撫舊制年資且領取定期給付之公務人員及遺族計1</w:t>
      </w:r>
      <w:r>
        <w:rPr>
          <w:rFonts w:ascii="標楷體" w:eastAsia="標楷體" w:hAnsi="標楷體" w:hint="eastAsia"/>
          <w:color w:val="000000"/>
          <w:spacing w:val="-2"/>
          <w:sz w:val="28"/>
          <w:szCs w:val="28"/>
        </w:rPr>
        <w:t>7</w:t>
      </w:r>
      <w:r w:rsidRPr="00E520D4">
        <w:rPr>
          <w:rFonts w:ascii="標楷體" w:eastAsia="標楷體" w:hAnsi="標楷體" w:hint="eastAsia"/>
          <w:color w:val="000000"/>
          <w:spacing w:val="-2"/>
          <w:sz w:val="28"/>
          <w:szCs w:val="28"/>
        </w:rPr>
        <w:t>萬</w:t>
      </w:r>
      <w:r>
        <w:rPr>
          <w:rFonts w:ascii="標楷體" w:eastAsia="標楷體" w:hAnsi="標楷體" w:hint="eastAsia"/>
          <w:color w:val="000000"/>
          <w:spacing w:val="-2"/>
          <w:sz w:val="28"/>
          <w:szCs w:val="28"/>
        </w:rPr>
        <w:t>4,169</w:t>
      </w:r>
      <w:r w:rsidRPr="00E520D4">
        <w:rPr>
          <w:rFonts w:ascii="標楷體" w:eastAsia="標楷體" w:hAnsi="標楷體" w:hint="eastAsia"/>
          <w:color w:val="000000"/>
          <w:spacing w:val="-2"/>
          <w:sz w:val="28"/>
          <w:szCs w:val="28"/>
        </w:rPr>
        <w:t>人，現職人員中具有</w:t>
      </w:r>
      <w:r w:rsidRPr="00474784">
        <w:rPr>
          <w:rFonts w:ascii="標楷體" w:eastAsia="標楷體" w:hAnsi="標楷體" w:hint="eastAsia"/>
          <w:color w:val="000000"/>
          <w:spacing w:val="-2"/>
          <w:sz w:val="28"/>
          <w:szCs w:val="28"/>
        </w:rPr>
        <w:t>退撫</w:t>
      </w:r>
      <w:r w:rsidRPr="00E520D4">
        <w:rPr>
          <w:rFonts w:ascii="標楷體" w:eastAsia="標楷體" w:hAnsi="標楷體" w:hint="eastAsia"/>
          <w:color w:val="000000"/>
          <w:spacing w:val="-2"/>
          <w:sz w:val="28"/>
          <w:szCs w:val="28"/>
        </w:rPr>
        <w:t>舊制年資之公務人員計</w:t>
      </w:r>
      <w:r>
        <w:rPr>
          <w:rFonts w:ascii="標楷體" w:eastAsia="標楷體" w:hAnsi="標楷體" w:hint="eastAsia"/>
          <w:color w:val="000000"/>
          <w:spacing w:val="-2"/>
          <w:sz w:val="28"/>
          <w:szCs w:val="28"/>
        </w:rPr>
        <w:t>10</w:t>
      </w:r>
      <w:r w:rsidRPr="00E520D4">
        <w:rPr>
          <w:rFonts w:ascii="標楷體" w:eastAsia="標楷體" w:hAnsi="標楷體" w:hint="eastAsia"/>
          <w:color w:val="000000"/>
          <w:spacing w:val="-2"/>
          <w:sz w:val="28"/>
          <w:szCs w:val="28"/>
        </w:rPr>
        <w:t>萬</w:t>
      </w:r>
      <w:r>
        <w:rPr>
          <w:rFonts w:ascii="標楷體" w:eastAsia="標楷體" w:hAnsi="標楷體" w:hint="eastAsia"/>
          <w:color w:val="000000"/>
          <w:spacing w:val="-2"/>
          <w:sz w:val="28"/>
          <w:szCs w:val="28"/>
        </w:rPr>
        <w:t>651</w:t>
      </w:r>
      <w:r w:rsidRPr="00E520D4">
        <w:rPr>
          <w:rFonts w:ascii="標楷體" w:eastAsia="標楷體" w:hAnsi="標楷體" w:hint="eastAsia"/>
          <w:color w:val="000000"/>
          <w:spacing w:val="-2"/>
          <w:sz w:val="28"/>
          <w:szCs w:val="28"/>
        </w:rPr>
        <w:t>人，平均退撫舊制年資為</w:t>
      </w:r>
      <w:r>
        <w:rPr>
          <w:rFonts w:ascii="標楷體" w:eastAsia="標楷體" w:hAnsi="標楷體" w:hint="eastAsia"/>
          <w:color w:val="000000"/>
          <w:spacing w:val="-2"/>
          <w:sz w:val="28"/>
          <w:szCs w:val="28"/>
        </w:rPr>
        <w:t>6.18</w:t>
      </w:r>
      <w:r w:rsidRPr="00E520D4">
        <w:rPr>
          <w:rFonts w:ascii="標楷體" w:eastAsia="標楷體" w:hAnsi="標楷體" w:hint="eastAsia"/>
          <w:color w:val="000000"/>
          <w:spacing w:val="-2"/>
          <w:sz w:val="28"/>
          <w:szCs w:val="28"/>
        </w:rPr>
        <w:t>年，</w:t>
      </w:r>
      <w:r w:rsidRPr="0096546A">
        <w:rPr>
          <w:rFonts w:ascii="標楷體" w:eastAsia="標楷體" w:hAnsi="標楷體" w:hint="eastAsia"/>
          <w:sz w:val="28"/>
          <w:szCs w:val="28"/>
        </w:rPr>
        <w:t>支領一次退休金與月退休金（含兼領）之比率分別為</w:t>
      </w:r>
      <w:r>
        <w:rPr>
          <w:rFonts w:ascii="標楷體" w:eastAsia="標楷體" w:hAnsi="標楷體" w:hint="eastAsia"/>
          <w:sz w:val="28"/>
          <w:szCs w:val="28"/>
        </w:rPr>
        <w:t>3</w:t>
      </w:r>
      <w:r w:rsidRPr="0096546A">
        <w:rPr>
          <w:rFonts w:ascii="標楷體" w:eastAsia="標楷體" w:hAnsi="標楷體" w:hint="eastAsia"/>
          <w:sz w:val="28"/>
          <w:szCs w:val="28"/>
        </w:rPr>
        <w:t>％及</w:t>
      </w:r>
      <w:r w:rsidRPr="0096546A">
        <w:rPr>
          <w:rFonts w:ascii="標楷體" w:eastAsia="標楷體" w:hAnsi="標楷體"/>
          <w:sz w:val="28"/>
          <w:szCs w:val="28"/>
        </w:rPr>
        <w:t>9</w:t>
      </w:r>
      <w:r>
        <w:rPr>
          <w:rFonts w:ascii="標楷體" w:eastAsia="標楷體" w:hAnsi="標楷體" w:hint="eastAsia"/>
          <w:sz w:val="28"/>
          <w:szCs w:val="28"/>
        </w:rPr>
        <w:t>7</w:t>
      </w:r>
      <w:r w:rsidRPr="0096546A">
        <w:rPr>
          <w:rFonts w:ascii="標楷體" w:eastAsia="標楷體" w:hAnsi="標楷體" w:hint="eastAsia"/>
          <w:sz w:val="28"/>
          <w:szCs w:val="28"/>
        </w:rPr>
        <w:t>％，</w:t>
      </w:r>
      <w:r w:rsidRPr="00E520D4">
        <w:rPr>
          <w:rFonts w:ascii="標楷體" w:eastAsia="標楷體" w:hAnsi="標楷體" w:hint="eastAsia"/>
          <w:color w:val="000000"/>
          <w:spacing w:val="-2"/>
          <w:sz w:val="28"/>
          <w:szCs w:val="28"/>
        </w:rPr>
        <w:t>折現率1.64％等</w:t>
      </w:r>
      <w:r w:rsidRPr="00E520D4">
        <w:rPr>
          <w:rFonts w:ascii="標楷體" w:eastAsia="標楷體" w:hAnsi="標楷體" w:hint="eastAsia"/>
          <w:color w:val="000000"/>
          <w:sz w:val="28"/>
          <w:szCs w:val="28"/>
        </w:rPr>
        <w:t>假設條件</w:t>
      </w:r>
      <w:r w:rsidRPr="00E520D4">
        <w:rPr>
          <w:rFonts w:ascii="標楷體" w:eastAsia="標楷體" w:hAnsi="標楷體" w:hint="eastAsia"/>
          <w:color w:val="000000"/>
          <w:spacing w:val="-2"/>
          <w:sz w:val="28"/>
          <w:szCs w:val="28"/>
        </w:rPr>
        <w:t>，</w:t>
      </w:r>
      <w:r>
        <w:rPr>
          <w:rFonts w:ascii="標楷體" w:eastAsia="標楷體" w:hAnsi="標楷體" w:hint="eastAsia"/>
          <w:color w:val="000000"/>
          <w:spacing w:val="-2"/>
          <w:sz w:val="28"/>
          <w:szCs w:val="28"/>
        </w:rPr>
        <w:t>並依前開規定（107年6月30日以前依退休</w:t>
      </w:r>
      <w:r>
        <w:rPr>
          <w:rFonts w:ascii="標楷體" w:eastAsia="標楷體" w:hAnsi="標楷體" w:hint="eastAsia"/>
          <w:color w:val="000000"/>
          <w:spacing w:val="-2"/>
          <w:sz w:val="28"/>
          <w:szCs w:val="28"/>
        </w:rPr>
        <w:lastRenderedPageBreak/>
        <w:t>法規定辦理；107年7月1日以後依退撫法規定辦理），</w:t>
      </w:r>
      <w:r w:rsidRPr="00E520D4">
        <w:rPr>
          <w:rFonts w:ascii="標楷體" w:eastAsia="標楷體" w:hAnsi="標楷體" w:hint="eastAsia"/>
          <w:color w:val="000000"/>
          <w:spacing w:val="-2"/>
          <w:sz w:val="28"/>
          <w:szCs w:val="28"/>
        </w:rPr>
        <w:t>估算未來30年（10</w:t>
      </w:r>
      <w:r>
        <w:rPr>
          <w:rFonts w:ascii="標楷體" w:eastAsia="標楷體" w:hAnsi="標楷體" w:hint="eastAsia"/>
          <w:color w:val="000000"/>
          <w:spacing w:val="-2"/>
          <w:sz w:val="28"/>
          <w:szCs w:val="28"/>
        </w:rPr>
        <w:t>7</w:t>
      </w:r>
      <w:r w:rsidRPr="00E520D4">
        <w:rPr>
          <w:rFonts w:ascii="標楷體" w:eastAsia="標楷體" w:hAnsi="標楷體" w:hint="eastAsia"/>
          <w:color w:val="000000"/>
          <w:spacing w:val="-2"/>
          <w:sz w:val="28"/>
          <w:szCs w:val="28"/>
        </w:rPr>
        <w:t>年至13</w:t>
      </w:r>
      <w:r>
        <w:rPr>
          <w:rFonts w:ascii="標楷體" w:eastAsia="標楷體" w:hAnsi="標楷體" w:hint="eastAsia"/>
          <w:color w:val="000000"/>
          <w:spacing w:val="-2"/>
          <w:sz w:val="28"/>
          <w:szCs w:val="28"/>
        </w:rPr>
        <w:t>6</w:t>
      </w:r>
      <w:r w:rsidRPr="00E520D4">
        <w:rPr>
          <w:rFonts w:ascii="標楷體" w:eastAsia="標楷體" w:hAnsi="標楷體" w:hint="eastAsia"/>
          <w:color w:val="000000"/>
          <w:spacing w:val="-2"/>
          <w:sz w:val="28"/>
          <w:szCs w:val="28"/>
        </w:rPr>
        <w:t>年）中央政府應負擔之支出為</w:t>
      </w:r>
      <w:r>
        <w:rPr>
          <w:rFonts w:ascii="標楷體" w:eastAsia="標楷體" w:hAnsi="標楷體" w:hint="eastAsia"/>
          <w:color w:val="000000"/>
          <w:spacing w:val="-2"/>
          <w:sz w:val="28"/>
          <w:szCs w:val="28"/>
        </w:rPr>
        <w:t>5,072</w:t>
      </w:r>
      <w:r w:rsidRPr="00E520D4">
        <w:rPr>
          <w:rFonts w:ascii="標楷體" w:eastAsia="標楷體" w:hAnsi="標楷體" w:hint="eastAsia"/>
          <w:color w:val="000000"/>
          <w:spacing w:val="-2"/>
          <w:sz w:val="28"/>
          <w:szCs w:val="28"/>
        </w:rPr>
        <w:t>億元（另地方政府為</w:t>
      </w:r>
      <w:r>
        <w:rPr>
          <w:rFonts w:ascii="標楷體" w:eastAsia="標楷體" w:hAnsi="標楷體" w:hint="eastAsia"/>
          <w:color w:val="000000"/>
          <w:spacing w:val="-2"/>
          <w:sz w:val="28"/>
          <w:szCs w:val="28"/>
        </w:rPr>
        <w:t>4,481</w:t>
      </w:r>
      <w:r w:rsidRPr="00E520D4">
        <w:rPr>
          <w:rFonts w:ascii="標楷體" w:eastAsia="標楷體" w:hAnsi="標楷體" w:hint="eastAsia"/>
          <w:color w:val="000000"/>
          <w:spacing w:val="-2"/>
          <w:sz w:val="28"/>
          <w:szCs w:val="28"/>
        </w:rPr>
        <w:t>億元），相關精算資訊及說明業於考試院主管決算書中揭露。</w:t>
      </w:r>
    </w:p>
    <w:p w:rsidR="0091579C" w:rsidRPr="0096546A" w:rsidRDefault="0091579C" w:rsidP="0091579C">
      <w:pPr>
        <w:pStyle w:val="7"/>
        <w:spacing w:line="480" w:lineRule="exact"/>
        <w:ind w:leftChars="228" w:left="823" w:hangingChars="100" w:hanging="276"/>
        <w:textAlignment w:val="auto"/>
        <w:rPr>
          <w:rFonts w:ascii="標楷體" w:eastAsia="標楷體" w:hAnsi="標楷體"/>
          <w:spacing w:val="-2"/>
          <w:sz w:val="28"/>
          <w:szCs w:val="28"/>
        </w:rPr>
      </w:pPr>
      <w:r w:rsidRPr="0096546A">
        <w:rPr>
          <w:rFonts w:ascii="標楷體" w:eastAsia="標楷體" w:hAnsi="標楷體" w:hint="eastAsia"/>
          <w:spacing w:val="-2"/>
          <w:sz w:val="28"/>
          <w:szCs w:val="28"/>
        </w:rPr>
        <w:t>2.教職人員：</w:t>
      </w:r>
      <w:r w:rsidRPr="0096546A">
        <w:rPr>
          <w:rFonts w:ascii="標楷體" w:eastAsia="標楷體" w:hAnsi="標楷體" w:hint="eastAsia"/>
          <w:sz w:val="28"/>
          <w:szCs w:val="28"/>
        </w:rPr>
        <w:t>依據教育部以本年12月31日為基準日，具有退撫舊制年資且領取定期給付之教育人員及遺族計</w:t>
      </w:r>
      <w:r w:rsidRPr="0096546A">
        <w:rPr>
          <w:rFonts w:ascii="標楷體" w:eastAsia="標楷體" w:hAnsi="標楷體"/>
          <w:sz w:val="28"/>
          <w:szCs w:val="28"/>
        </w:rPr>
        <w:t>1</w:t>
      </w:r>
      <w:r>
        <w:rPr>
          <w:rFonts w:ascii="標楷體" w:eastAsia="標楷體" w:hAnsi="標楷體" w:hint="eastAsia"/>
          <w:sz w:val="28"/>
          <w:szCs w:val="28"/>
        </w:rPr>
        <w:t>6</w:t>
      </w:r>
      <w:r w:rsidRPr="0096546A">
        <w:rPr>
          <w:rFonts w:ascii="標楷體" w:eastAsia="標楷體" w:hAnsi="標楷體" w:hint="eastAsia"/>
          <w:sz w:val="28"/>
          <w:szCs w:val="28"/>
        </w:rPr>
        <w:t>萬</w:t>
      </w:r>
      <w:r>
        <w:rPr>
          <w:rFonts w:ascii="標楷體" w:eastAsia="標楷體" w:hAnsi="標楷體" w:hint="eastAsia"/>
          <w:sz w:val="28"/>
          <w:szCs w:val="28"/>
        </w:rPr>
        <w:t>5,506</w:t>
      </w:r>
      <w:r w:rsidRPr="0096546A">
        <w:rPr>
          <w:rFonts w:ascii="標楷體" w:eastAsia="標楷體" w:hAnsi="標楷體" w:hint="eastAsia"/>
          <w:sz w:val="28"/>
          <w:szCs w:val="28"/>
        </w:rPr>
        <w:t>人，現職人員中具有舊制年資之教育人員計6萬6</w:t>
      </w:r>
      <w:r>
        <w:rPr>
          <w:rFonts w:ascii="標楷體" w:eastAsia="標楷體" w:hAnsi="標楷體" w:hint="eastAsia"/>
          <w:sz w:val="28"/>
          <w:szCs w:val="28"/>
        </w:rPr>
        <w:t>95</w:t>
      </w:r>
      <w:r w:rsidRPr="0096546A">
        <w:rPr>
          <w:rFonts w:ascii="標楷體" w:eastAsia="標楷體" w:hAnsi="標楷體" w:hint="eastAsia"/>
          <w:sz w:val="28"/>
          <w:szCs w:val="28"/>
        </w:rPr>
        <w:t>人，平均退撫舊制年資為4.</w:t>
      </w:r>
      <w:r>
        <w:rPr>
          <w:rFonts w:ascii="標楷體" w:eastAsia="標楷體" w:hAnsi="標楷體" w:hint="eastAsia"/>
          <w:sz w:val="28"/>
          <w:szCs w:val="28"/>
        </w:rPr>
        <w:t>54</w:t>
      </w:r>
      <w:r w:rsidRPr="0096546A">
        <w:rPr>
          <w:rFonts w:ascii="標楷體" w:eastAsia="標楷體" w:hAnsi="標楷體" w:hint="eastAsia"/>
          <w:sz w:val="28"/>
          <w:szCs w:val="28"/>
        </w:rPr>
        <w:t>年，支領一次退休金與月退休金（含兼領）之比率分別為2％及</w:t>
      </w:r>
      <w:r w:rsidRPr="0096546A">
        <w:rPr>
          <w:rFonts w:ascii="標楷體" w:eastAsia="標楷體" w:hAnsi="標楷體"/>
          <w:sz w:val="28"/>
          <w:szCs w:val="28"/>
        </w:rPr>
        <w:t>9</w:t>
      </w:r>
      <w:r w:rsidRPr="0096546A">
        <w:rPr>
          <w:rFonts w:ascii="標楷體" w:eastAsia="標楷體" w:hAnsi="標楷體" w:hint="eastAsia"/>
          <w:sz w:val="28"/>
          <w:szCs w:val="28"/>
        </w:rPr>
        <w:t>8％，折現率</w:t>
      </w:r>
      <w:r w:rsidRPr="0096546A">
        <w:rPr>
          <w:rFonts w:ascii="標楷體" w:eastAsia="標楷體" w:hAnsi="標楷體"/>
          <w:sz w:val="28"/>
          <w:szCs w:val="28"/>
        </w:rPr>
        <w:t>1.64</w:t>
      </w:r>
      <w:r w:rsidRPr="0096546A">
        <w:rPr>
          <w:rFonts w:ascii="標楷體" w:eastAsia="標楷體" w:hAnsi="標楷體" w:hint="eastAsia"/>
          <w:sz w:val="28"/>
          <w:szCs w:val="28"/>
        </w:rPr>
        <w:t>％等假設條件，估算未來30年（</w:t>
      </w:r>
      <w:r w:rsidRPr="0096546A">
        <w:rPr>
          <w:rFonts w:ascii="標楷體" w:eastAsia="標楷體" w:hAnsi="標楷體"/>
          <w:sz w:val="28"/>
          <w:szCs w:val="28"/>
        </w:rPr>
        <w:t>10</w:t>
      </w:r>
      <w:r>
        <w:rPr>
          <w:rFonts w:ascii="標楷體" w:eastAsia="標楷體" w:hAnsi="標楷體" w:hint="eastAsia"/>
          <w:sz w:val="28"/>
          <w:szCs w:val="28"/>
        </w:rPr>
        <w:t>7</w:t>
      </w:r>
      <w:r w:rsidRPr="0096546A">
        <w:rPr>
          <w:rFonts w:ascii="標楷體" w:eastAsia="標楷體" w:hAnsi="標楷體" w:hint="eastAsia"/>
          <w:sz w:val="28"/>
          <w:szCs w:val="28"/>
        </w:rPr>
        <w:t>年至</w:t>
      </w:r>
      <w:r w:rsidRPr="0096546A">
        <w:rPr>
          <w:rFonts w:ascii="標楷體" w:eastAsia="標楷體" w:hAnsi="標楷體"/>
          <w:sz w:val="28"/>
          <w:szCs w:val="28"/>
        </w:rPr>
        <w:t>1</w:t>
      </w:r>
      <w:r w:rsidRPr="0096546A">
        <w:rPr>
          <w:rFonts w:ascii="標楷體" w:eastAsia="標楷體" w:hAnsi="標楷體" w:hint="eastAsia"/>
          <w:sz w:val="28"/>
          <w:szCs w:val="28"/>
        </w:rPr>
        <w:t>3</w:t>
      </w:r>
      <w:r>
        <w:rPr>
          <w:rFonts w:ascii="標楷體" w:eastAsia="標楷體" w:hAnsi="標楷體" w:hint="eastAsia"/>
          <w:sz w:val="28"/>
          <w:szCs w:val="28"/>
        </w:rPr>
        <w:t>6</w:t>
      </w:r>
      <w:r w:rsidRPr="0096546A">
        <w:rPr>
          <w:rFonts w:ascii="標楷體" w:eastAsia="標楷體" w:hAnsi="標楷體" w:hint="eastAsia"/>
          <w:sz w:val="28"/>
          <w:szCs w:val="28"/>
        </w:rPr>
        <w:t>年）中央政府應負擔之支出為</w:t>
      </w:r>
      <w:r>
        <w:rPr>
          <w:rFonts w:ascii="標楷體" w:eastAsia="標楷體" w:hAnsi="標楷體" w:hint="eastAsia"/>
          <w:sz w:val="28"/>
          <w:szCs w:val="28"/>
        </w:rPr>
        <w:t>2,126</w:t>
      </w:r>
      <w:r w:rsidRPr="0096546A">
        <w:rPr>
          <w:rFonts w:ascii="標楷體" w:eastAsia="標楷體" w:hAnsi="標楷體" w:hint="eastAsia"/>
          <w:sz w:val="28"/>
          <w:szCs w:val="28"/>
        </w:rPr>
        <w:t>億元（另地方政府為</w:t>
      </w:r>
      <w:r>
        <w:rPr>
          <w:rFonts w:ascii="標楷體" w:eastAsia="標楷體" w:hAnsi="標楷體" w:hint="eastAsia"/>
          <w:sz w:val="28"/>
          <w:szCs w:val="28"/>
        </w:rPr>
        <w:t>9,114</w:t>
      </w:r>
      <w:r w:rsidRPr="0096546A">
        <w:rPr>
          <w:rFonts w:ascii="標楷體" w:eastAsia="標楷體" w:hAnsi="標楷體" w:hint="eastAsia"/>
          <w:sz w:val="28"/>
          <w:szCs w:val="28"/>
        </w:rPr>
        <w:t>億元）</w:t>
      </w:r>
      <w:r w:rsidRPr="0096546A">
        <w:rPr>
          <w:rFonts w:ascii="標楷體" w:eastAsia="標楷體" w:hAnsi="標楷體" w:hint="eastAsia"/>
          <w:spacing w:val="-2"/>
          <w:sz w:val="28"/>
          <w:szCs w:val="28"/>
        </w:rPr>
        <w:t>，相關精算資訊及說明業於教育部主管決算書中揭露。</w:t>
      </w:r>
    </w:p>
    <w:p w:rsidR="0091579C" w:rsidRPr="00E520D4" w:rsidRDefault="0091579C" w:rsidP="0091579C">
      <w:pPr>
        <w:pStyle w:val="7"/>
        <w:spacing w:line="480" w:lineRule="exact"/>
        <w:ind w:leftChars="221" w:left="824" w:hangingChars="105" w:hanging="294"/>
        <w:textAlignment w:val="auto"/>
        <w:rPr>
          <w:rFonts w:ascii="標楷體" w:eastAsia="標楷體" w:hAnsi="標楷體"/>
          <w:color w:val="000000"/>
          <w:sz w:val="28"/>
          <w:szCs w:val="28"/>
        </w:rPr>
      </w:pPr>
      <w:r w:rsidRPr="00E520D4">
        <w:rPr>
          <w:rFonts w:ascii="標楷體" w:eastAsia="標楷體" w:hAnsi="標楷體" w:hint="eastAsia"/>
          <w:color w:val="000000"/>
          <w:sz w:val="28"/>
          <w:szCs w:val="28"/>
        </w:rPr>
        <w:t>3.</w:t>
      </w:r>
      <w:r w:rsidRPr="00E520D4">
        <w:rPr>
          <w:rFonts w:ascii="標楷體" w:eastAsia="標楷體" w:hAnsi="標楷體" w:hint="eastAsia"/>
          <w:color w:val="000000"/>
          <w:spacing w:val="-2"/>
          <w:sz w:val="28"/>
          <w:szCs w:val="28"/>
        </w:rPr>
        <w:t>退伍軍人：依據國軍退除役官兵輔導委員會以10</w:t>
      </w:r>
      <w:r>
        <w:rPr>
          <w:rFonts w:ascii="標楷體" w:eastAsia="標楷體" w:hAnsi="標楷體" w:hint="eastAsia"/>
          <w:color w:val="000000"/>
          <w:spacing w:val="-2"/>
          <w:sz w:val="28"/>
          <w:szCs w:val="28"/>
        </w:rPr>
        <w:t>5</w:t>
      </w:r>
      <w:r w:rsidRPr="00E520D4">
        <w:rPr>
          <w:rFonts w:ascii="標楷體" w:eastAsia="標楷體" w:hAnsi="標楷體" w:hint="eastAsia"/>
          <w:color w:val="000000"/>
          <w:spacing w:val="-2"/>
          <w:sz w:val="28"/>
          <w:szCs w:val="28"/>
        </w:rPr>
        <w:t>年12月31日為基準日，軍職退伍人員平均死亡年齡87歲（配偶89歲），支領一次退休金與月退休金之比率分別為1％</w:t>
      </w:r>
      <w:r>
        <w:rPr>
          <w:rFonts w:ascii="標楷體" w:eastAsia="標楷體" w:hAnsi="標楷體" w:hint="eastAsia"/>
          <w:color w:val="000000"/>
          <w:spacing w:val="-2"/>
          <w:sz w:val="28"/>
          <w:szCs w:val="28"/>
        </w:rPr>
        <w:t>及</w:t>
      </w:r>
      <w:r w:rsidRPr="00E520D4">
        <w:rPr>
          <w:rFonts w:ascii="標楷體" w:eastAsia="標楷體" w:hAnsi="標楷體" w:hint="eastAsia"/>
          <w:color w:val="000000"/>
          <w:spacing w:val="-2"/>
          <w:sz w:val="28"/>
          <w:szCs w:val="28"/>
        </w:rPr>
        <w:t>99％</w:t>
      </w:r>
      <w:r>
        <w:rPr>
          <w:rFonts w:ascii="標楷體" w:eastAsia="標楷體" w:hAnsi="標楷體" w:hint="eastAsia"/>
          <w:color w:val="000000"/>
          <w:spacing w:val="-2"/>
          <w:sz w:val="28"/>
          <w:szCs w:val="28"/>
        </w:rPr>
        <w:t>，</w:t>
      </w:r>
      <w:r w:rsidRPr="00E520D4">
        <w:rPr>
          <w:rFonts w:ascii="標楷體" w:eastAsia="標楷體" w:hAnsi="標楷體" w:hint="eastAsia"/>
          <w:color w:val="000000"/>
          <w:spacing w:val="-2"/>
          <w:sz w:val="28"/>
          <w:szCs w:val="28"/>
        </w:rPr>
        <w:t>俸額調增率每6年調增3％，折現率1.84％等</w:t>
      </w:r>
      <w:r w:rsidRPr="00E520D4">
        <w:rPr>
          <w:rFonts w:ascii="標楷體" w:eastAsia="標楷體" w:hAnsi="標楷體" w:hint="eastAsia"/>
          <w:color w:val="000000"/>
          <w:sz w:val="28"/>
          <w:szCs w:val="28"/>
        </w:rPr>
        <w:t>假設條件</w:t>
      </w:r>
      <w:r w:rsidRPr="00E520D4">
        <w:rPr>
          <w:rFonts w:ascii="標楷體" w:eastAsia="標楷體" w:hAnsi="標楷體" w:hint="eastAsia"/>
          <w:color w:val="000000"/>
          <w:spacing w:val="-2"/>
          <w:sz w:val="28"/>
          <w:szCs w:val="28"/>
        </w:rPr>
        <w:t>，精算未來30年（本年至13</w:t>
      </w:r>
      <w:r>
        <w:rPr>
          <w:rFonts w:ascii="標楷體" w:eastAsia="標楷體" w:hAnsi="標楷體" w:hint="eastAsia"/>
          <w:color w:val="000000"/>
          <w:spacing w:val="-2"/>
          <w:sz w:val="28"/>
          <w:szCs w:val="28"/>
        </w:rPr>
        <w:t>5</w:t>
      </w:r>
      <w:r w:rsidRPr="00E520D4">
        <w:rPr>
          <w:rFonts w:ascii="標楷體" w:eastAsia="標楷體" w:hAnsi="標楷體" w:hint="eastAsia"/>
          <w:color w:val="000000"/>
          <w:spacing w:val="-2"/>
          <w:sz w:val="28"/>
          <w:szCs w:val="28"/>
        </w:rPr>
        <w:t>年）中央政府應負擔之支出為1兆</w:t>
      </w:r>
      <w:r>
        <w:rPr>
          <w:rFonts w:ascii="標楷體" w:eastAsia="標楷體" w:hAnsi="標楷體" w:hint="eastAsia"/>
          <w:color w:val="000000"/>
          <w:spacing w:val="-2"/>
          <w:sz w:val="28"/>
          <w:szCs w:val="28"/>
        </w:rPr>
        <w:t>4,671</w:t>
      </w:r>
      <w:r w:rsidRPr="00E520D4">
        <w:rPr>
          <w:rFonts w:ascii="標楷體" w:eastAsia="標楷體" w:hAnsi="標楷體" w:hint="eastAsia"/>
          <w:color w:val="000000"/>
          <w:spacing w:val="-2"/>
          <w:sz w:val="28"/>
          <w:szCs w:val="28"/>
        </w:rPr>
        <w:t>億元，扣除本</w:t>
      </w:r>
      <w:r w:rsidRPr="00E520D4">
        <w:rPr>
          <w:rFonts w:ascii="標楷體" w:eastAsia="標楷體" w:hAnsi="標楷體" w:hint="eastAsia"/>
          <w:color w:val="000000"/>
          <w:sz w:val="28"/>
          <w:szCs w:val="28"/>
        </w:rPr>
        <w:t>年度</w:t>
      </w:r>
      <w:r w:rsidRPr="00E520D4">
        <w:rPr>
          <w:rFonts w:ascii="標楷體" w:eastAsia="標楷體" w:hAnsi="標楷體" w:hint="eastAsia"/>
          <w:color w:val="000000"/>
          <w:spacing w:val="-2"/>
          <w:sz w:val="28"/>
          <w:szCs w:val="28"/>
        </w:rPr>
        <w:t>已支付數</w:t>
      </w:r>
      <w:r w:rsidRPr="00494A7D">
        <w:rPr>
          <w:rFonts w:ascii="標楷體" w:eastAsia="標楷體" w:hAnsi="標楷體" w:hint="eastAsia"/>
          <w:color w:val="000000"/>
          <w:spacing w:val="-2"/>
          <w:sz w:val="28"/>
          <w:szCs w:val="28"/>
        </w:rPr>
        <w:t>879</w:t>
      </w:r>
      <w:r w:rsidRPr="00E520D4">
        <w:rPr>
          <w:rFonts w:ascii="標楷體" w:eastAsia="標楷體" w:hAnsi="標楷體" w:hint="eastAsia"/>
          <w:color w:val="000000"/>
          <w:spacing w:val="-2"/>
          <w:sz w:val="28"/>
          <w:szCs w:val="28"/>
        </w:rPr>
        <w:t>億元後，未來應負擔約1兆</w:t>
      </w:r>
      <w:r w:rsidRPr="00494A7D">
        <w:rPr>
          <w:rFonts w:ascii="標楷體" w:eastAsia="標楷體" w:hAnsi="標楷體" w:hint="eastAsia"/>
          <w:color w:val="000000"/>
          <w:spacing w:val="-2"/>
          <w:sz w:val="28"/>
          <w:szCs w:val="28"/>
        </w:rPr>
        <w:t>3,792</w:t>
      </w:r>
      <w:r w:rsidRPr="00E520D4">
        <w:rPr>
          <w:rFonts w:ascii="標楷體" w:eastAsia="標楷體" w:hAnsi="標楷體" w:hint="eastAsia"/>
          <w:color w:val="000000"/>
          <w:spacing w:val="-2"/>
          <w:sz w:val="28"/>
          <w:szCs w:val="28"/>
        </w:rPr>
        <w:t>億元，相關精算資訊及說明業於國軍退除役官兵輔導委員會決算書中揭露</w:t>
      </w:r>
      <w:r>
        <w:rPr>
          <w:rFonts w:ascii="標楷體" w:eastAsia="標楷體" w:hAnsi="標楷體" w:hint="eastAsia"/>
          <w:color w:val="000000"/>
          <w:spacing w:val="-2"/>
          <w:sz w:val="28"/>
          <w:szCs w:val="28"/>
        </w:rPr>
        <w:t>（因</w:t>
      </w:r>
      <w:r w:rsidRPr="00AB5111">
        <w:rPr>
          <w:rFonts w:ascii="標楷體" w:eastAsia="標楷體" w:hAnsi="標楷體" w:hint="eastAsia"/>
          <w:color w:val="000000"/>
          <w:spacing w:val="-2"/>
          <w:sz w:val="28"/>
          <w:szCs w:val="28"/>
        </w:rPr>
        <w:t>陸海空軍軍官士官服役條例部分條文修正草案，</w:t>
      </w:r>
      <w:r>
        <w:rPr>
          <w:rFonts w:ascii="標楷體" w:eastAsia="標楷體" w:hAnsi="標楷體" w:hint="eastAsia"/>
          <w:color w:val="000000"/>
          <w:spacing w:val="-2"/>
          <w:sz w:val="28"/>
          <w:szCs w:val="28"/>
        </w:rPr>
        <w:t>尚未經立法院審議通過，爰有關退伍軍人舊制退伍金仍依現行規定基礎辦理精算）</w:t>
      </w:r>
      <w:r w:rsidRPr="00E520D4">
        <w:rPr>
          <w:rFonts w:ascii="標楷體" w:eastAsia="標楷體" w:hAnsi="標楷體" w:hint="eastAsia"/>
          <w:color w:val="000000"/>
          <w:spacing w:val="-2"/>
          <w:sz w:val="28"/>
          <w:szCs w:val="28"/>
        </w:rPr>
        <w:t>。</w:t>
      </w:r>
    </w:p>
    <w:p w:rsidR="0091579C" w:rsidRPr="005476A6" w:rsidRDefault="0091579C" w:rsidP="0091579C">
      <w:pPr>
        <w:pStyle w:val="14"/>
        <w:spacing w:line="480" w:lineRule="exact"/>
        <w:ind w:left="518" w:hangingChars="185" w:hanging="518"/>
        <w:rPr>
          <w:rFonts w:hAnsi="標楷體"/>
          <w:szCs w:val="28"/>
        </w:rPr>
      </w:pPr>
      <w:r w:rsidRPr="005476A6">
        <w:rPr>
          <w:rFonts w:hAnsi="標楷體" w:hint="eastAsia"/>
          <w:szCs w:val="28"/>
        </w:rPr>
        <w:t>二、公務人員退休撫卹基金新制未來給付精算現值</w:t>
      </w:r>
    </w:p>
    <w:p w:rsidR="0091579C" w:rsidRPr="005476A6" w:rsidRDefault="0091579C" w:rsidP="0091579C">
      <w:pPr>
        <w:pStyle w:val="7"/>
        <w:spacing w:line="480" w:lineRule="exact"/>
        <w:ind w:left="854" w:hangingChars="305" w:hanging="854"/>
        <w:textAlignment w:val="auto"/>
        <w:rPr>
          <w:rFonts w:ascii="標楷體" w:eastAsia="標楷體" w:hAnsi="標楷體"/>
          <w:sz w:val="28"/>
          <w:szCs w:val="28"/>
        </w:rPr>
      </w:pPr>
      <w:r w:rsidRPr="005476A6">
        <w:rPr>
          <w:rFonts w:ascii="標楷體" w:eastAsia="標楷體" w:hAnsi="標楷體" w:hint="eastAsia"/>
          <w:sz w:val="28"/>
          <w:szCs w:val="28"/>
        </w:rPr>
        <w:t>（一）法令依據：公務人員退休撫卹基金管理條例第8條。</w:t>
      </w:r>
    </w:p>
    <w:p w:rsidR="0091579C" w:rsidRDefault="0091579C" w:rsidP="0091579C">
      <w:pPr>
        <w:pStyle w:val="7"/>
        <w:spacing w:line="480" w:lineRule="exact"/>
        <w:ind w:left="854" w:hangingChars="305" w:hanging="854"/>
        <w:textAlignment w:val="auto"/>
        <w:rPr>
          <w:rFonts w:ascii="標楷體" w:eastAsia="標楷體" w:hAnsi="標楷體"/>
          <w:color w:val="000000"/>
          <w:spacing w:val="-2"/>
          <w:sz w:val="28"/>
          <w:szCs w:val="28"/>
        </w:rPr>
      </w:pPr>
      <w:r w:rsidRPr="005476A6">
        <w:rPr>
          <w:rFonts w:ascii="標楷體" w:eastAsia="標楷體" w:hAnsi="標楷體" w:hint="eastAsia"/>
          <w:sz w:val="28"/>
          <w:szCs w:val="28"/>
        </w:rPr>
        <w:t>（二）依據公務人員退休撫卹基金管理委員會以本年</w:t>
      </w:r>
      <w:smartTag w:uri="urn:schemas-microsoft-com:office:smarttags" w:element="chsdate">
        <w:smartTagPr>
          <w:attr w:name="IsROCDate" w:val="False"/>
          <w:attr w:name="IsLunarDate" w:val="False"/>
          <w:attr w:name="Day" w:val="31"/>
          <w:attr w:name="Month" w:val="12"/>
          <w:attr w:name="Year" w:val="2017"/>
        </w:smartTagPr>
        <w:r w:rsidRPr="005476A6">
          <w:rPr>
            <w:rFonts w:ascii="標楷體" w:eastAsia="標楷體" w:hAnsi="標楷體" w:hint="eastAsia"/>
            <w:sz w:val="28"/>
            <w:szCs w:val="28"/>
          </w:rPr>
          <w:t>12月31日</w:t>
        </w:r>
      </w:smartTag>
      <w:r w:rsidRPr="005476A6">
        <w:rPr>
          <w:rFonts w:ascii="標楷體" w:eastAsia="標楷體" w:hAnsi="標楷體" w:hint="eastAsia"/>
          <w:sz w:val="28"/>
          <w:szCs w:val="28"/>
        </w:rPr>
        <w:t>為基準日，參加基金人數63萬人，精算50年，折現率4％，通膨相關調薪率0.5％等假設條件，採加入年齡精算成本法評價，精算中央政府應負擔之支出為1兆</w:t>
      </w:r>
      <w:r>
        <w:rPr>
          <w:rFonts w:ascii="標楷體" w:eastAsia="標楷體" w:hAnsi="標楷體" w:hint="eastAsia"/>
          <w:sz w:val="28"/>
          <w:szCs w:val="28"/>
        </w:rPr>
        <w:t>3,048</w:t>
      </w:r>
      <w:r w:rsidRPr="005476A6">
        <w:rPr>
          <w:rFonts w:ascii="標楷體" w:eastAsia="標楷體" w:hAnsi="標楷體" w:hint="eastAsia"/>
          <w:sz w:val="28"/>
          <w:szCs w:val="28"/>
        </w:rPr>
        <w:t>億元（另地方政府為1兆7,8</w:t>
      </w:r>
      <w:r>
        <w:rPr>
          <w:rFonts w:ascii="標楷體" w:eastAsia="標楷體" w:hAnsi="標楷體" w:hint="eastAsia"/>
          <w:sz w:val="28"/>
          <w:szCs w:val="28"/>
        </w:rPr>
        <w:t>52</w:t>
      </w:r>
      <w:r w:rsidRPr="005476A6">
        <w:rPr>
          <w:rFonts w:ascii="標楷體" w:eastAsia="標楷體" w:hAnsi="標楷體" w:hint="eastAsia"/>
          <w:sz w:val="28"/>
          <w:szCs w:val="28"/>
        </w:rPr>
        <w:t>億元），扣除已提存基金數1,8</w:t>
      </w:r>
      <w:r>
        <w:rPr>
          <w:rFonts w:ascii="標楷體" w:eastAsia="標楷體" w:hAnsi="標楷體" w:hint="eastAsia"/>
          <w:sz w:val="28"/>
          <w:szCs w:val="28"/>
        </w:rPr>
        <w:t>56</w:t>
      </w:r>
      <w:r w:rsidRPr="005476A6">
        <w:rPr>
          <w:rFonts w:ascii="標楷體" w:eastAsia="標楷體" w:hAnsi="標楷體" w:hint="eastAsia"/>
          <w:sz w:val="28"/>
          <w:szCs w:val="28"/>
        </w:rPr>
        <w:t>億元（另地方政府為</w:t>
      </w:r>
      <w:r>
        <w:rPr>
          <w:rFonts w:ascii="標楷體" w:eastAsia="標楷體" w:hAnsi="標楷體" w:hint="eastAsia"/>
          <w:sz w:val="28"/>
          <w:szCs w:val="28"/>
        </w:rPr>
        <w:t>4,057</w:t>
      </w:r>
      <w:r w:rsidRPr="005476A6">
        <w:rPr>
          <w:rFonts w:ascii="標楷體" w:eastAsia="標楷體" w:hAnsi="標楷體" w:hint="eastAsia"/>
          <w:sz w:val="28"/>
          <w:szCs w:val="28"/>
        </w:rPr>
        <w:t>億元）後，未提存金額為1兆</w:t>
      </w:r>
      <w:r>
        <w:rPr>
          <w:rFonts w:ascii="標楷體" w:eastAsia="標楷體" w:hAnsi="標楷體" w:hint="eastAsia"/>
          <w:sz w:val="28"/>
          <w:szCs w:val="28"/>
        </w:rPr>
        <w:t>1,192</w:t>
      </w:r>
      <w:r w:rsidRPr="005476A6">
        <w:rPr>
          <w:rFonts w:ascii="標楷體" w:eastAsia="標楷體" w:hAnsi="標楷體" w:hint="eastAsia"/>
          <w:sz w:val="28"/>
          <w:szCs w:val="28"/>
        </w:rPr>
        <w:t>億元（另地方政府為1兆</w:t>
      </w:r>
      <w:r>
        <w:rPr>
          <w:rFonts w:ascii="標楷體" w:eastAsia="標楷體" w:hAnsi="標楷體" w:hint="eastAsia"/>
          <w:sz w:val="28"/>
          <w:szCs w:val="28"/>
        </w:rPr>
        <w:t>3,795</w:t>
      </w:r>
      <w:r w:rsidRPr="005476A6">
        <w:rPr>
          <w:rFonts w:ascii="標楷體" w:eastAsia="標楷體" w:hAnsi="標楷體" w:hint="eastAsia"/>
          <w:sz w:val="28"/>
          <w:szCs w:val="28"/>
        </w:rPr>
        <w:t>億元）</w:t>
      </w:r>
      <w:r w:rsidRPr="005476A6">
        <w:rPr>
          <w:rFonts w:ascii="標楷體" w:eastAsia="標楷體" w:hAnsi="標楷體" w:hint="eastAsia"/>
          <w:spacing w:val="-2"/>
          <w:sz w:val="28"/>
          <w:szCs w:val="28"/>
        </w:rPr>
        <w:t>，相關精算資訊及說明業於考試院主管決算書中揭露</w:t>
      </w:r>
      <w:r>
        <w:rPr>
          <w:rFonts w:ascii="標楷體" w:eastAsia="標楷體" w:hAnsi="標楷體" w:hint="eastAsia"/>
          <w:color w:val="000000"/>
          <w:spacing w:val="-2"/>
          <w:sz w:val="28"/>
          <w:szCs w:val="28"/>
        </w:rPr>
        <w:t>（因</w:t>
      </w:r>
      <w:r w:rsidRPr="00AB5111">
        <w:rPr>
          <w:rFonts w:ascii="標楷體" w:eastAsia="標楷體" w:hAnsi="標楷體" w:hint="eastAsia"/>
          <w:color w:val="000000"/>
          <w:spacing w:val="-2"/>
          <w:sz w:val="28"/>
          <w:szCs w:val="28"/>
        </w:rPr>
        <w:t>陸海空軍軍官士官服役條例部分條文修正草案，</w:t>
      </w:r>
      <w:r>
        <w:rPr>
          <w:rFonts w:ascii="標楷體" w:eastAsia="標楷體" w:hAnsi="標楷體" w:hint="eastAsia"/>
          <w:color w:val="000000"/>
          <w:spacing w:val="-2"/>
          <w:sz w:val="28"/>
          <w:szCs w:val="28"/>
        </w:rPr>
        <w:t>尚未經立法院審議通過，爰有關</w:t>
      </w:r>
      <w:r w:rsidRPr="00B06738">
        <w:rPr>
          <w:rFonts w:ascii="標楷體" w:eastAsia="標楷體" w:hAnsi="標楷體" w:hint="eastAsia"/>
          <w:color w:val="000000"/>
          <w:spacing w:val="-2"/>
          <w:sz w:val="28"/>
          <w:szCs w:val="28"/>
        </w:rPr>
        <w:t>軍人退撫新制</w:t>
      </w:r>
      <w:r>
        <w:rPr>
          <w:rFonts w:ascii="標楷體" w:eastAsia="標楷體" w:hAnsi="標楷體" w:hint="eastAsia"/>
          <w:color w:val="000000"/>
          <w:spacing w:val="-2"/>
          <w:sz w:val="28"/>
          <w:szCs w:val="28"/>
        </w:rPr>
        <w:t>退伍金仍依</w:t>
      </w:r>
      <w:r>
        <w:rPr>
          <w:rFonts w:ascii="標楷體" w:eastAsia="標楷體" w:hAnsi="標楷體" w:hint="eastAsia"/>
          <w:color w:val="000000"/>
          <w:spacing w:val="-2"/>
          <w:sz w:val="28"/>
          <w:szCs w:val="28"/>
        </w:rPr>
        <w:lastRenderedPageBreak/>
        <w:t>現行規定基礎辦理精算）。</w:t>
      </w:r>
    </w:p>
    <w:p w:rsidR="0091579C" w:rsidRPr="005476A6" w:rsidRDefault="0091579C" w:rsidP="0091579C">
      <w:pPr>
        <w:pStyle w:val="7"/>
        <w:spacing w:line="480" w:lineRule="exact"/>
        <w:ind w:left="854" w:hangingChars="305" w:hanging="854"/>
        <w:textAlignment w:val="auto"/>
        <w:rPr>
          <w:rFonts w:ascii="標楷體" w:eastAsia="標楷體" w:hAnsi="標楷體"/>
          <w:sz w:val="28"/>
          <w:szCs w:val="28"/>
        </w:rPr>
      </w:pPr>
      <w:r w:rsidRPr="005476A6">
        <w:rPr>
          <w:rFonts w:ascii="標楷體" w:eastAsia="標楷體" w:hAnsi="標楷體" w:hint="eastAsia"/>
          <w:sz w:val="28"/>
          <w:szCs w:val="28"/>
        </w:rPr>
        <w:t>（</w:t>
      </w:r>
      <w:r>
        <w:rPr>
          <w:rFonts w:ascii="標楷體" w:eastAsia="標楷體" w:hAnsi="標楷體" w:hint="eastAsia"/>
          <w:sz w:val="28"/>
          <w:szCs w:val="28"/>
        </w:rPr>
        <w:t>三</w:t>
      </w:r>
      <w:r w:rsidRPr="005476A6">
        <w:rPr>
          <w:rFonts w:ascii="標楷體" w:eastAsia="標楷體" w:hAnsi="標楷體" w:hint="eastAsia"/>
          <w:sz w:val="28"/>
          <w:szCs w:val="28"/>
        </w:rPr>
        <w:t>）</w:t>
      </w:r>
      <w:r>
        <w:rPr>
          <w:rFonts w:ascii="標楷體" w:eastAsia="標楷體" w:hAnsi="標楷體" w:hint="eastAsia"/>
          <w:color w:val="000000"/>
          <w:spacing w:val="-2"/>
          <w:sz w:val="28"/>
          <w:szCs w:val="28"/>
        </w:rPr>
        <w:t>另</w:t>
      </w:r>
      <w:r>
        <w:rPr>
          <w:rFonts w:ascii="標楷體" w:eastAsia="標楷體" w:hAnsi="標楷體" w:hint="eastAsia"/>
          <w:sz w:val="28"/>
          <w:szCs w:val="28"/>
        </w:rPr>
        <w:t>依退撫法第40條及退撫條例第40條</w:t>
      </w:r>
      <w:r w:rsidRPr="004112AF">
        <w:rPr>
          <w:rFonts w:ascii="標楷體" w:eastAsia="標楷體" w:hAnsi="標楷體" w:hint="eastAsia"/>
          <w:color w:val="000000"/>
          <w:spacing w:val="-2"/>
          <w:sz w:val="28"/>
          <w:szCs w:val="28"/>
        </w:rPr>
        <w:t>規定</w:t>
      </w:r>
      <w:r>
        <w:rPr>
          <w:rFonts w:ascii="標楷體" w:eastAsia="標楷體" w:hAnsi="標楷體" w:hint="eastAsia"/>
          <w:sz w:val="28"/>
          <w:szCs w:val="28"/>
        </w:rPr>
        <w:t>，退休公、教人員退休所得依該法及該條例第36條至第38條規定扣減後，各級政府每年所節省之退撫經費支出，應全數挹注退撫基金，不得挪作他用。挹注退撫基金之金額，由考試院會同行政院於退休公務人員每月退休所得調降後之次年三月一日前確定，再依預算程序編列為下年度預算並由各級政府於年度預算完成立法程序後撥付。茲因退撫法及退撫條例係於107年7月1日起施行，爰有關退休公、教人員退休所得調降挹注退撫基金之金額，因各級政府尚未編列預算提存基金，故未扣除</w:t>
      </w:r>
      <w:r w:rsidRPr="005476A6">
        <w:rPr>
          <w:rFonts w:ascii="標楷體" w:eastAsia="標楷體" w:hAnsi="標楷體" w:hint="eastAsia"/>
          <w:sz w:val="28"/>
          <w:szCs w:val="28"/>
        </w:rPr>
        <w:t>。</w:t>
      </w:r>
    </w:p>
    <w:p w:rsidR="0091579C" w:rsidRPr="00E520D4" w:rsidRDefault="0091579C" w:rsidP="0091579C">
      <w:pPr>
        <w:pStyle w:val="14"/>
        <w:spacing w:line="480" w:lineRule="exact"/>
        <w:ind w:left="518" w:hangingChars="185" w:hanging="518"/>
        <w:rPr>
          <w:rFonts w:hAnsi="標楷體"/>
          <w:color w:val="000000"/>
          <w:szCs w:val="28"/>
        </w:rPr>
      </w:pPr>
      <w:r w:rsidRPr="00E520D4">
        <w:rPr>
          <w:rFonts w:hAnsi="標楷體" w:hint="eastAsia"/>
          <w:color w:val="000000"/>
          <w:szCs w:val="28"/>
        </w:rPr>
        <w:t>三、勞工保險（普通事故老年、失能及死亡給付）過去服務應計給付精算現值</w:t>
      </w:r>
    </w:p>
    <w:p w:rsidR="0091579C" w:rsidRPr="00E520D4" w:rsidRDefault="0091579C" w:rsidP="0091579C">
      <w:pPr>
        <w:pStyle w:val="7"/>
        <w:spacing w:line="480" w:lineRule="exact"/>
        <w:ind w:left="991" w:hangingChars="354" w:hanging="991"/>
        <w:textAlignment w:val="auto"/>
        <w:rPr>
          <w:rFonts w:ascii="標楷體" w:eastAsia="標楷體" w:hAnsi="標楷體"/>
          <w:color w:val="000000"/>
          <w:sz w:val="28"/>
          <w:szCs w:val="28"/>
        </w:rPr>
      </w:pPr>
      <w:r w:rsidRPr="00E520D4">
        <w:rPr>
          <w:rFonts w:ascii="標楷體" w:eastAsia="標楷體" w:hAnsi="標楷體" w:hint="eastAsia"/>
          <w:color w:val="000000"/>
          <w:sz w:val="28"/>
          <w:szCs w:val="28"/>
        </w:rPr>
        <w:t>（一）法令依據：勞工保險條例第</w:t>
      </w:r>
      <w:r>
        <w:rPr>
          <w:rFonts w:ascii="標楷體" w:eastAsia="標楷體" w:hAnsi="標楷體" w:hint="eastAsia"/>
          <w:color w:val="000000"/>
          <w:sz w:val="28"/>
          <w:szCs w:val="28"/>
        </w:rPr>
        <w:t>13條、第</w:t>
      </w:r>
      <w:r w:rsidRPr="00E520D4">
        <w:rPr>
          <w:rFonts w:ascii="標楷體" w:eastAsia="標楷體" w:hAnsi="標楷體" w:hint="eastAsia"/>
          <w:color w:val="000000"/>
          <w:sz w:val="28"/>
          <w:szCs w:val="28"/>
        </w:rPr>
        <w:t>15</w:t>
      </w:r>
      <w:r>
        <w:rPr>
          <w:rFonts w:ascii="標楷體" w:eastAsia="標楷體" w:hAnsi="標楷體" w:hint="eastAsia"/>
          <w:color w:val="000000"/>
          <w:sz w:val="28"/>
          <w:szCs w:val="28"/>
        </w:rPr>
        <w:t>條</w:t>
      </w:r>
      <w:r w:rsidRPr="00E520D4">
        <w:rPr>
          <w:rFonts w:ascii="標楷體" w:eastAsia="標楷體" w:hAnsi="標楷體" w:hint="eastAsia"/>
          <w:color w:val="000000"/>
          <w:sz w:val="28"/>
          <w:szCs w:val="28"/>
        </w:rPr>
        <w:t>、</w:t>
      </w:r>
      <w:r>
        <w:rPr>
          <w:rFonts w:ascii="標楷體" w:eastAsia="標楷體" w:hAnsi="標楷體" w:hint="eastAsia"/>
          <w:color w:val="000000"/>
          <w:sz w:val="28"/>
          <w:szCs w:val="28"/>
        </w:rPr>
        <w:t>第</w:t>
      </w:r>
      <w:r w:rsidRPr="00E520D4">
        <w:rPr>
          <w:rFonts w:ascii="標楷體" w:eastAsia="標楷體" w:hAnsi="標楷體" w:hint="eastAsia"/>
          <w:color w:val="000000"/>
          <w:sz w:val="28"/>
          <w:szCs w:val="28"/>
        </w:rPr>
        <w:t>66</w:t>
      </w:r>
      <w:r>
        <w:rPr>
          <w:rFonts w:ascii="標楷體" w:eastAsia="標楷體" w:hAnsi="標楷體" w:hint="eastAsia"/>
          <w:color w:val="000000"/>
          <w:sz w:val="28"/>
          <w:szCs w:val="28"/>
        </w:rPr>
        <w:t>條及第</w:t>
      </w:r>
      <w:r w:rsidRPr="00E520D4">
        <w:rPr>
          <w:rFonts w:ascii="標楷體" w:eastAsia="標楷體" w:hAnsi="標楷體" w:hint="eastAsia"/>
          <w:color w:val="000000"/>
          <w:sz w:val="28"/>
          <w:szCs w:val="28"/>
        </w:rPr>
        <w:t>69條。</w:t>
      </w:r>
    </w:p>
    <w:p w:rsidR="0091579C" w:rsidRPr="00E520D4" w:rsidRDefault="0091579C" w:rsidP="0091579C">
      <w:pPr>
        <w:pStyle w:val="7"/>
        <w:spacing w:line="480" w:lineRule="exact"/>
        <w:ind w:leftChars="-5" w:left="853" w:hangingChars="309" w:hanging="865"/>
        <w:textAlignment w:val="auto"/>
        <w:rPr>
          <w:rFonts w:ascii="標楷體" w:eastAsia="標楷體" w:hAnsi="標楷體"/>
          <w:color w:val="000000"/>
          <w:sz w:val="28"/>
          <w:szCs w:val="28"/>
        </w:rPr>
      </w:pPr>
      <w:r w:rsidRPr="00E520D4">
        <w:rPr>
          <w:rFonts w:ascii="標楷體" w:eastAsia="標楷體" w:hAnsi="標楷體" w:hint="eastAsia"/>
          <w:color w:val="000000"/>
          <w:sz w:val="28"/>
          <w:szCs w:val="28"/>
        </w:rPr>
        <w:t>（二）依據勞工保險局以本年</w:t>
      </w:r>
      <w:smartTag w:uri="urn:schemas-microsoft-com:office:smarttags" w:element="chsdate">
        <w:smartTagPr>
          <w:attr w:name="IsROCDate" w:val="False"/>
          <w:attr w:name="IsLunarDate" w:val="False"/>
          <w:attr w:name="Day" w:val="31"/>
          <w:attr w:name="Month" w:val="12"/>
          <w:attr w:name="Year" w:val="2017"/>
        </w:smartTagPr>
        <w:r w:rsidRPr="00E520D4">
          <w:rPr>
            <w:rFonts w:ascii="標楷體" w:eastAsia="標楷體" w:hAnsi="標楷體" w:hint="eastAsia"/>
            <w:color w:val="000000"/>
            <w:sz w:val="28"/>
            <w:szCs w:val="28"/>
          </w:rPr>
          <w:t>12月31日</w:t>
        </w:r>
      </w:smartTag>
      <w:r w:rsidRPr="00E520D4">
        <w:rPr>
          <w:rFonts w:ascii="標楷體" w:eastAsia="標楷體" w:hAnsi="標楷體" w:hint="eastAsia"/>
          <w:color w:val="000000"/>
          <w:sz w:val="28"/>
          <w:szCs w:val="28"/>
        </w:rPr>
        <w:t>為基準日，投保人數98</w:t>
      </w:r>
      <w:r>
        <w:rPr>
          <w:rFonts w:ascii="標楷體" w:eastAsia="標楷體" w:hAnsi="標楷體" w:hint="eastAsia"/>
          <w:color w:val="000000"/>
          <w:sz w:val="28"/>
          <w:szCs w:val="28"/>
        </w:rPr>
        <w:t>5</w:t>
      </w:r>
      <w:r w:rsidRPr="00E520D4">
        <w:rPr>
          <w:rFonts w:ascii="標楷體" w:eastAsia="標楷體" w:hAnsi="標楷體" w:hint="eastAsia"/>
          <w:color w:val="000000"/>
          <w:sz w:val="28"/>
          <w:szCs w:val="28"/>
        </w:rPr>
        <w:t>萬人，折現率3.5％與投保薪資調整率1.4％等假設條件，精算本年12月底勞保普通事故老年、失能及死亡給付之過去服務應計給付精算現值約1</w:t>
      </w:r>
      <w:r>
        <w:rPr>
          <w:rFonts w:ascii="標楷體" w:eastAsia="標楷體" w:hAnsi="標楷體" w:hint="eastAsia"/>
          <w:color w:val="000000"/>
          <w:sz w:val="28"/>
          <w:szCs w:val="28"/>
        </w:rPr>
        <w:t>1</w:t>
      </w:r>
      <w:r w:rsidRPr="00E520D4">
        <w:rPr>
          <w:rFonts w:ascii="標楷體" w:eastAsia="標楷體" w:hAnsi="標楷體" w:hint="eastAsia"/>
          <w:color w:val="000000"/>
          <w:sz w:val="28"/>
          <w:szCs w:val="28"/>
        </w:rPr>
        <w:t>兆</w:t>
      </w:r>
      <w:r>
        <w:rPr>
          <w:rFonts w:ascii="標楷體" w:eastAsia="標楷體" w:hAnsi="標楷體" w:hint="eastAsia"/>
          <w:color w:val="000000"/>
          <w:sz w:val="28"/>
          <w:szCs w:val="28"/>
        </w:rPr>
        <w:t>119</w:t>
      </w:r>
      <w:r w:rsidRPr="00E520D4">
        <w:rPr>
          <w:rFonts w:ascii="標楷體" w:eastAsia="標楷體" w:hAnsi="標楷體" w:hint="eastAsia"/>
          <w:color w:val="000000"/>
          <w:sz w:val="28"/>
          <w:szCs w:val="28"/>
        </w:rPr>
        <w:t>億元，扣除截至本年12月底止已提存普通事故責任準備</w:t>
      </w:r>
      <w:r w:rsidRPr="00E520D4">
        <w:rPr>
          <w:rFonts w:ascii="標楷體" w:eastAsia="標楷體" w:hAnsi="標楷體"/>
          <w:color w:val="000000"/>
          <w:sz w:val="28"/>
          <w:szCs w:val="28"/>
        </w:rPr>
        <w:t>7,</w:t>
      </w:r>
      <w:r>
        <w:rPr>
          <w:rFonts w:ascii="標楷體" w:eastAsia="標楷體" w:hAnsi="標楷體" w:hint="eastAsia"/>
          <w:color w:val="000000"/>
          <w:sz w:val="28"/>
          <w:szCs w:val="28"/>
        </w:rPr>
        <w:t>787</w:t>
      </w:r>
      <w:r w:rsidRPr="00E520D4">
        <w:rPr>
          <w:rFonts w:ascii="標楷體" w:eastAsia="標楷體" w:hAnsi="標楷體" w:hint="eastAsia"/>
          <w:color w:val="000000"/>
          <w:sz w:val="28"/>
          <w:szCs w:val="28"/>
        </w:rPr>
        <w:t>億元，未提存金額為</w:t>
      </w:r>
      <w:r>
        <w:rPr>
          <w:rFonts w:ascii="標楷體" w:eastAsia="標楷體" w:hAnsi="標楷體" w:hint="eastAsia"/>
          <w:color w:val="000000"/>
          <w:sz w:val="28"/>
          <w:szCs w:val="28"/>
        </w:rPr>
        <w:t>10</w:t>
      </w:r>
      <w:r w:rsidRPr="00E520D4">
        <w:rPr>
          <w:rFonts w:ascii="標楷體" w:eastAsia="標楷體" w:hAnsi="標楷體" w:hint="eastAsia"/>
          <w:color w:val="000000"/>
          <w:sz w:val="28"/>
          <w:szCs w:val="28"/>
        </w:rPr>
        <w:t>兆</w:t>
      </w:r>
      <w:r>
        <w:rPr>
          <w:rFonts w:ascii="標楷體" w:eastAsia="標楷體" w:hAnsi="標楷體" w:hint="eastAsia"/>
          <w:color w:val="000000"/>
          <w:sz w:val="28"/>
          <w:szCs w:val="28"/>
        </w:rPr>
        <w:t>2,332</w:t>
      </w:r>
      <w:r w:rsidRPr="00E520D4">
        <w:rPr>
          <w:rFonts w:ascii="標楷體" w:eastAsia="標楷體" w:hAnsi="標楷體" w:hint="eastAsia"/>
          <w:color w:val="000000"/>
          <w:sz w:val="28"/>
          <w:szCs w:val="28"/>
        </w:rPr>
        <w:t>億元</w:t>
      </w:r>
      <w:r w:rsidRPr="00E520D4">
        <w:rPr>
          <w:rFonts w:ascii="標楷體" w:eastAsia="標楷體" w:hAnsi="標楷體" w:hint="eastAsia"/>
          <w:color w:val="000000"/>
          <w:spacing w:val="-2"/>
          <w:sz w:val="28"/>
          <w:szCs w:val="28"/>
        </w:rPr>
        <w:t>，相關精算資訊及說明業於勞動部主管決算書中揭露</w:t>
      </w:r>
      <w:r w:rsidRPr="00E520D4">
        <w:rPr>
          <w:rFonts w:ascii="標楷體" w:eastAsia="標楷體" w:hAnsi="標楷體" w:hint="eastAsia"/>
          <w:color w:val="000000"/>
          <w:sz w:val="28"/>
          <w:szCs w:val="28"/>
        </w:rPr>
        <w:t>。</w:t>
      </w:r>
    </w:p>
    <w:p w:rsidR="0091579C" w:rsidRPr="00E520D4" w:rsidRDefault="0091579C" w:rsidP="0091579C">
      <w:pPr>
        <w:pStyle w:val="14"/>
        <w:spacing w:line="480" w:lineRule="exact"/>
        <w:ind w:left="518" w:hangingChars="185" w:hanging="518"/>
        <w:rPr>
          <w:rFonts w:hAnsi="標楷體"/>
          <w:color w:val="000000"/>
          <w:szCs w:val="28"/>
        </w:rPr>
      </w:pPr>
      <w:r w:rsidRPr="00E520D4">
        <w:rPr>
          <w:rFonts w:hAnsi="標楷體" w:hint="eastAsia"/>
          <w:color w:val="000000"/>
          <w:szCs w:val="28"/>
        </w:rPr>
        <w:t>四、政府應負擔公教人員保險</w:t>
      </w:r>
      <w:smartTag w:uri="urn:schemas-microsoft-com:office:smarttags" w:element="chsdate">
        <w:smartTagPr>
          <w:attr w:name="Year" w:val="1988"/>
          <w:attr w:name="Month" w:val="5"/>
          <w:attr w:name="Day" w:val="30"/>
          <w:attr w:name="IsLunarDate" w:val="False"/>
          <w:attr w:name="IsROCDate" w:val="False"/>
        </w:smartTagPr>
        <w:r w:rsidRPr="00E520D4">
          <w:rPr>
            <w:rFonts w:hAnsi="標楷體" w:hint="eastAsia"/>
            <w:color w:val="000000"/>
            <w:szCs w:val="28"/>
          </w:rPr>
          <w:t>（</w:t>
        </w:r>
        <w:smartTag w:uri="urn:schemas-microsoft-com:office:smarttags" w:element="chsdate">
          <w:smartTagPr>
            <w:attr w:name="IsROCDate" w:val="False"/>
            <w:attr w:name="IsLunarDate" w:val="False"/>
            <w:attr w:name="Day" w:val="30"/>
            <w:attr w:name="Month" w:val="5"/>
            <w:attr w:name="Year" w:val="1988"/>
          </w:smartTagPr>
          <w:r w:rsidRPr="00E520D4">
            <w:rPr>
              <w:rFonts w:hAnsi="標楷體" w:hint="eastAsia"/>
              <w:color w:val="000000"/>
              <w:szCs w:val="28"/>
            </w:rPr>
            <w:t>88年5月30日</w:t>
          </w:r>
        </w:smartTag>
      </w:smartTag>
      <w:r w:rsidRPr="00E520D4">
        <w:rPr>
          <w:rFonts w:hAnsi="標楷體" w:hint="eastAsia"/>
          <w:color w:val="000000"/>
          <w:szCs w:val="28"/>
        </w:rPr>
        <w:t>以前）之給付義務現值</w:t>
      </w:r>
    </w:p>
    <w:p w:rsidR="0091579C" w:rsidRPr="00E520D4" w:rsidRDefault="0091579C" w:rsidP="0091579C">
      <w:pPr>
        <w:pStyle w:val="7"/>
        <w:spacing w:line="480" w:lineRule="exact"/>
        <w:ind w:left="991" w:hangingChars="354" w:hanging="991"/>
        <w:textAlignment w:val="auto"/>
        <w:rPr>
          <w:rFonts w:ascii="標楷體" w:eastAsia="標楷體" w:hAnsi="標楷體"/>
          <w:color w:val="000000"/>
          <w:sz w:val="28"/>
          <w:szCs w:val="28"/>
        </w:rPr>
      </w:pPr>
      <w:r w:rsidRPr="00E520D4">
        <w:rPr>
          <w:rFonts w:ascii="標楷體" w:eastAsia="標楷體" w:hAnsi="標楷體" w:hint="eastAsia"/>
          <w:color w:val="000000"/>
          <w:sz w:val="28"/>
          <w:szCs w:val="28"/>
        </w:rPr>
        <w:t>（一）法令依據：公教人員保險法第5條及其施行細則第3條。</w:t>
      </w:r>
    </w:p>
    <w:p w:rsidR="0091579C" w:rsidRPr="00E520D4" w:rsidRDefault="0091579C" w:rsidP="0091579C">
      <w:pPr>
        <w:pStyle w:val="7"/>
        <w:spacing w:line="480" w:lineRule="exact"/>
        <w:ind w:leftChars="3" w:left="867" w:hangingChars="307" w:hanging="860"/>
        <w:textAlignment w:val="auto"/>
        <w:rPr>
          <w:rFonts w:ascii="標楷體" w:eastAsia="標楷體" w:hAnsi="標楷體"/>
          <w:color w:val="000000"/>
          <w:sz w:val="28"/>
          <w:szCs w:val="28"/>
        </w:rPr>
      </w:pPr>
      <w:r w:rsidRPr="00E520D4">
        <w:rPr>
          <w:rFonts w:ascii="標楷體" w:eastAsia="標楷體" w:hAnsi="標楷體" w:hint="eastAsia"/>
          <w:color w:val="000000"/>
          <w:sz w:val="28"/>
          <w:szCs w:val="28"/>
        </w:rPr>
        <w:t>（二）依據臺灣銀行以本年</w:t>
      </w:r>
      <w:smartTag w:uri="urn:schemas-microsoft-com:office:smarttags" w:element="chsdate">
        <w:smartTagPr>
          <w:attr w:name="IsROCDate" w:val="False"/>
          <w:attr w:name="IsLunarDate" w:val="False"/>
          <w:attr w:name="Day" w:val="31"/>
          <w:attr w:name="Month" w:val="12"/>
          <w:attr w:name="Year" w:val="2017"/>
        </w:smartTagPr>
        <w:r w:rsidRPr="00E520D4">
          <w:rPr>
            <w:rFonts w:ascii="標楷體" w:eastAsia="標楷體" w:hAnsi="標楷體" w:hint="eastAsia"/>
            <w:color w:val="000000"/>
            <w:sz w:val="28"/>
            <w:szCs w:val="28"/>
          </w:rPr>
          <w:t>12月31日</w:t>
        </w:r>
      </w:smartTag>
      <w:r w:rsidRPr="00E520D4">
        <w:rPr>
          <w:rFonts w:ascii="標楷體" w:eastAsia="標楷體" w:hAnsi="標楷體" w:hint="eastAsia"/>
          <w:color w:val="000000"/>
          <w:sz w:val="28"/>
          <w:szCs w:val="28"/>
        </w:rPr>
        <w:t>為基準日，折現率</w:t>
      </w:r>
      <w:r>
        <w:rPr>
          <w:rFonts w:ascii="標楷體" w:eastAsia="標楷體" w:hAnsi="標楷體" w:hint="eastAsia"/>
          <w:color w:val="000000"/>
          <w:sz w:val="28"/>
          <w:szCs w:val="28"/>
        </w:rPr>
        <w:t>4</w:t>
      </w:r>
      <w:r w:rsidRPr="00E520D4">
        <w:rPr>
          <w:rFonts w:ascii="標楷體" w:eastAsia="標楷體" w:hAnsi="標楷體" w:hint="eastAsia"/>
          <w:color w:val="000000"/>
          <w:sz w:val="28"/>
          <w:szCs w:val="28"/>
        </w:rPr>
        <w:t>％、待遇調整產生之保險俸（薪）給增加率0.</w:t>
      </w:r>
      <w:r>
        <w:rPr>
          <w:rFonts w:ascii="標楷體" w:eastAsia="標楷體" w:hAnsi="標楷體" w:hint="eastAsia"/>
          <w:color w:val="000000"/>
          <w:sz w:val="28"/>
          <w:szCs w:val="28"/>
        </w:rPr>
        <w:t>5</w:t>
      </w:r>
      <w:r w:rsidRPr="00E520D4">
        <w:rPr>
          <w:rFonts w:ascii="標楷體" w:eastAsia="標楷體" w:hAnsi="標楷體" w:hint="eastAsia"/>
          <w:color w:val="000000"/>
          <w:sz w:val="28"/>
          <w:szCs w:val="28"/>
        </w:rPr>
        <w:t>％及職級變動產生之保險俸（薪）給調整率0％至3.6％等假設條件，估算所有在保被保險人屬</w:t>
      </w:r>
      <w:smartTag w:uri="urn:schemas-microsoft-com:office:smarttags" w:element="chsdate">
        <w:smartTagPr>
          <w:attr w:name="IsROCDate" w:val="False"/>
          <w:attr w:name="IsLunarDate" w:val="False"/>
          <w:attr w:name="Day" w:val="30"/>
          <w:attr w:name="Month" w:val="5"/>
          <w:attr w:name="Year" w:val="1988"/>
        </w:smartTagPr>
        <w:r w:rsidRPr="00E520D4">
          <w:rPr>
            <w:rFonts w:ascii="標楷體" w:eastAsia="標楷體" w:hAnsi="標楷體" w:hint="eastAsia"/>
            <w:color w:val="000000"/>
            <w:sz w:val="28"/>
            <w:szCs w:val="28"/>
          </w:rPr>
          <w:t>88年5月30日</w:t>
        </w:r>
      </w:smartTag>
      <w:r w:rsidRPr="00E520D4">
        <w:rPr>
          <w:rFonts w:ascii="標楷體" w:eastAsia="標楷體" w:hAnsi="標楷體" w:hint="eastAsia"/>
          <w:color w:val="000000"/>
          <w:sz w:val="28"/>
          <w:szCs w:val="28"/>
        </w:rPr>
        <w:t>以前保險年資折算至基準日之政府應計給之養老給付金額約</w:t>
      </w:r>
      <w:r>
        <w:rPr>
          <w:rFonts w:ascii="標楷體" w:eastAsia="標楷體" w:hAnsi="標楷體" w:hint="eastAsia"/>
          <w:color w:val="000000"/>
          <w:sz w:val="28"/>
          <w:szCs w:val="28"/>
        </w:rPr>
        <w:t>1,083</w:t>
      </w:r>
      <w:r w:rsidRPr="00E520D4">
        <w:rPr>
          <w:rFonts w:ascii="標楷體" w:eastAsia="標楷體" w:hAnsi="標楷體" w:hint="eastAsia"/>
          <w:color w:val="000000"/>
          <w:sz w:val="28"/>
          <w:szCs w:val="28"/>
        </w:rPr>
        <w:t>億元</w:t>
      </w:r>
      <w:r w:rsidRPr="00E520D4">
        <w:rPr>
          <w:rFonts w:ascii="標楷體" w:eastAsia="標楷體" w:hAnsi="標楷體" w:hint="eastAsia"/>
          <w:color w:val="000000"/>
          <w:spacing w:val="-2"/>
          <w:sz w:val="28"/>
          <w:szCs w:val="28"/>
        </w:rPr>
        <w:t>，相關精算資訊及說明業於財政部主管決算書中揭露</w:t>
      </w:r>
      <w:r w:rsidRPr="00E520D4">
        <w:rPr>
          <w:rFonts w:ascii="標楷體" w:eastAsia="標楷體" w:hAnsi="標楷體" w:hint="eastAsia"/>
          <w:color w:val="000000"/>
          <w:sz w:val="28"/>
          <w:szCs w:val="28"/>
        </w:rPr>
        <w:t>。</w:t>
      </w:r>
    </w:p>
    <w:p w:rsidR="0091579C" w:rsidRPr="00E520D4" w:rsidRDefault="0091579C" w:rsidP="0091579C">
      <w:pPr>
        <w:pStyle w:val="14"/>
        <w:spacing w:line="480" w:lineRule="exact"/>
        <w:ind w:left="518" w:hangingChars="185" w:hanging="518"/>
        <w:rPr>
          <w:rFonts w:hAnsi="標楷體"/>
          <w:color w:val="000000"/>
          <w:szCs w:val="28"/>
        </w:rPr>
      </w:pPr>
      <w:r w:rsidRPr="00E520D4">
        <w:rPr>
          <w:rFonts w:hAnsi="標楷體" w:hint="eastAsia"/>
          <w:color w:val="000000"/>
          <w:szCs w:val="28"/>
        </w:rPr>
        <w:t>五、國民年金保險未來保險給付精算現值</w:t>
      </w:r>
    </w:p>
    <w:p w:rsidR="0091579C" w:rsidRPr="00E520D4" w:rsidRDefault="0091579C" w:rsidP="0091579C">
      <w:pPr>
        <w:pStyle w:val="7"/>
        <w:spacing w:line="480" w:lineRule="exact"/>
        <w:ind w:leftChars="-5" w:left="993" w:hangingChars="359" w:hanging="1005"/>
        <w:textAlignment w:val="auto"/>
        <w:rPr>
          <w:rFonts w:ascii="標楷體" w:eastAsia="標楷體" w:hAnsi="標楷體"/>
          <w:color w:val="000000"/>
          <w:sz w:val="28"/>
          <w:szCs w:val="28"/>
        </w:rPr>
      </w:pPr>
      <w:r w:rsidRPr="00E520D4">
        <w:rPr>
          <w:rFonts w:ascii="標楷體" w:eastAsia="標楷體" w:hAnsi="標楷體" w:hint="eastAsia"/>
          <w:color w:val="000000"/>
          <w:sz w:val="28"/>
          <w:szCs w:val="28"/>
        </w:rPr>
        <w:t>（一）法令依據：國民年金法第12</w:t>
      </w:r>
      <w:r>
        <w:rPr>
          <w:rFonts w:ascii="標楷體" w:eastAsia="標楷體" w:hAnsi="標楷體" w:hint="eastAsia"/>
          <w:color w:val="000000"/>
          <w:sz w:val="28"/>
          <w:szCs w:val="28"/>
        </w:rPr>
        <w:t>條及第</w:t>
      </w:r>
      <w:r w:rsidRPr="00E520D4">
        <w:rPr>
          <w:rFonts w:ascii="標楷體" w:eastAsia="標楷體" w:hAnsi="標楷體" w:hint="eastAsia"/>
          <w:color w:val="000000"/>
          <w:sz w:val="28"/>
          <w:szCs w:val="28"/>
        </w:rPr>
        <w:t>45條。</w:t>
      </w:r>
    </w:p>
    <w:p w:rsidR="0091579C" w:rsidRPr="00E520D4" w:rsidRDefault="0091579C" w:rsidP="0091579C">
      <w:pPr>
        <w:pStyle w:val="7"/>
        <w:spacing w:line="480" w:lineRule="exact"/>
        <w:ind w:leftChars="6" w:left="868" w:hangingChars="305" w:hanging="854"/>
        <w:textAlignment w:val="auto"/>
        <w:rPr>
          <w:rFonts w:ascii="標楷體" w:eastAsia="標楷體" w:hAnsi="標楷體"/>
          <w:color w:val="000000"/>
          <w:sz w:val="28"/>
          <w:szCs w:val="28"/>
        </w:rPr>
      </w:pPr>
      <w:r w:rsidRPr="00E520D4">
        <w:rPr>
          <w:rFonts w:ascii="標楷體" w:eastAsia="標楷體" w:hAnsi="標楷體" w:hint="eastAsia"/>
          <w:color w:val="000000"/>
          <w:sz w:val="28"/>
          <w:szCs w:val="28"/>
        </w:rPr>
        <w:t>（二）依據勞工保險局以本年</w:t>
      </w:r>
      <w:smartTag w:uri="urn:schemas-microsoft-com:office:smarttags" w:element="chsdate">
        <w:smartTagPr>
          <w:attr w:name="IsROCDate" w:val="False"/>
          <w:attr w:name="IsLunarDate" w:val="False"/>
          <w:attr w:name="Day" w:val="31"/>
          <w:attr w:name="Month" w:val="12"/>
          <w:attr w:name="Year" w:val="2017"/>
        </w:smartTagPr>
        <w:r w:rsidRPr="00E520D4">
          <w:rPr>
            <w:rFonts w:ascii="標楷體" w:eastAsia="標楷體" w:hAnsi="標楷體" w:hint="eastAsia"/>
            <w:color w:val="000000"/>
            <w:sz w:val="28"/>
            <w:szCs w:val="28"/>
          </w:rPr>
          <w:t>12月31日</w:t>
        </w:r>
      </w:smartTag>
      <w:r w:rsidRPr="00E520D4">
        <w:rPr>
          <w:rFonts w:ascii="標楷體" w:eastAsia="標楷體" w:hAnsi="標楷體" w:hint="eastAsia"/>
          <w:color w:val="000000"/>
          <w:sz w:val="28"/>
          <w:szCs w:val="28"/>
        </w:rPr>
        <w:t>為基準日，參加人數</w:t>
      </w:r>
      <w:r>
        <w:rPr>
          <w:rFonts w:ascii="標楷體" w:eastAsia="標楷體" w:hAnsi="標楷體" w:hint="eastAsia"/>
          <w:color w:val="000000"/>
          <w:sz w:val="28"/>
          <w:szCs w:val="28"/>
        </w:rPr>
        <w:t>729</w:t>
      </w:r>
      <w:r w:rsidRPr="00E520D4">
        <w:rPr>
          <w:rFonts w:ascii="標楷體" w:eastAsia="標楷體" w:hAnsi="標楷體" w:hint="eastAsia"/>
          <w:color w:val="000000"/>
          <w:sz w:val="28"/>
          <w:szCs w:val="28"/>
        </w:rPr>
        <w:t>萬人，月投保金額1萬8,282元，折現率3.5％，消費者物價指數年增率1.35％等假設條件，精算本年</w:t>
      </w:r>
      <w:smartTag w:uri="urn:schemas-microsoft-com:office:smarttags" w:element="chsdate">
        <w:smartTagPr>
          <w:attr w:name="IsROCDate" w:val="False"/>
          <w:attr w:name="IsLunarDate" w:val="False"/>
          <w:attr w:name="Day" w:val="31"/>
          <w:attr w:name="Month" w:val="12"/>
          <w:attr w:name="Year" w:val="2017"/>
        </w:smartTagPr>
        <w:r w:rsidRPr="00E520D4">
          <w:rPr>
            <w:rFonts w:ascii="標楷體" w:eastAsia="標楷體" w:hAnsi="標楷體" w:hint="eastAsia"/>
            <w:color w:val="000000"/>
            <w:sz w:val="28"/>
            <w:szCs w:val="28"/>
          </w:rPr>
          <w:t>12月31日</w:t>
        </w:r>
      </w:smartTag>
      <w:r w:rsidRPr="00E520D4">
        <w:rPr>
          <w:rFonts w:ascii="標楷體" w:eastAsia="標楷體" w:hAnsi="標楷體" w:hint="eastAsia"/>
          <w:color w:val="000000"/>
          <w:sz w:val="28"/>
          <w:szCs w:val="28"/>
        </w:rPr>
        <w:t>之未來淨保險給付現值約</w:t>
      </w:r>
      <w:r>
        <w:rPr>
          <w:rFonts w:ascii="標楷體" w:eastAsia="標楷體" w:hAnsi="標楷體" w:hint="eastAsia"/>
          <w:color w:val="000000"/>
          <w:sz w:val="28"/>
          <w:szCs w:val="28"/>
        </w:rPr>
        <w:t>1兆</w:t>
      </w:r>
      <w:r w:rsidRPr="00E520D4">
        <w:rPr>
          <w:rFonts w:ascii="標楷體" w:eastAsia="標楷體" w:hAnsi="標楷體" w:hint="eastAsia"/>
          <w:color w:val="000000"/>
          <w:sz w:val="28"/>
          <w:szCs w:val="28"/>
        </w:rPr>
        <w:t>9</w:t>
      </w:r>
      <w:r>
        <w:rPr>
          <w:rFonts w:ascii="標楷體" w:eastAsia="標楷體" w:hAnsi="標楷體" w:hint="eastAsia"/>
          <w:color w:val="000000"/>
          <w:sz w:val="28"/>
          <w:szCs w:val="28"/>
        </w:rPr>
        <w:t>1</w:t>
      </w:r>
      <w:r w:rsidRPr="00E520D4">
        <w:rPr>
          <w:rFonts w:ascii="標楷體" w:eastAsia="標楷體" w:hAnsi="標楷體" w:hint="eastAsia"/>
          <w:color w:val="000000"/>
          <w:sz w:val="28"/>
          <w:szCs w:val="28"/>
        </w:rPr>
        <w:t>8</w:t>
      </w:r>
      <w:r w:rsidRPr="00E520D4">
        <w:rPr>
          <w:rFonts w:ascii="標楷體" w:eastAsia="標楷體" w:hAnsi="標楷體" w:hint="eastAsia"/>
          <w:color w:val="000000"/>
          <w:sz w:val="28"/>
          <w:szCs w:val="28"/>
        </w:rPr>
        <w:lastRenderedPageBreak/>
        <w:t>億元，扣除截至本年12月底止已提存安全準備</w:t>
      </w:r>
      <w:r>
        <w:rPr>
          <w:rFonts w:ascii="標楷體" w:eastAsia="標楷體" w:hAnsi="標楷體" w:hint="eastAsia"/>
          <w:color w:val="000000"/>
          <w:sz w:val="28"/>
          <w:szCs w:val="28"/>
        </w:rPr>
        <w:t>4,150</w:t>
      </w:r>
      <w:r w:rsidRPr="00E520D4">
        <w:rPr>
          <w:rFonts w:ascii="標楷體" w:eastAsia="標楷體" w:hAnsi="標楷體" w:hint="eastAsia"/>
          <w:color w:val="000000"/>
          <w:sz w:val="28"/>
          <w:szCs w:val="28"/>
        </w:rPr>
        <w:t>億元，未提存金額為6,</w:t>
      </w:r>
      <w:r>
        <w:rPr>
          <w:rFonts w:ascii="標楷體" w:eastAsia="標楷體" w:hAnsi="標楷體" w:hint="eastAsia"/>
          <w:color w:val="000000"/>
          <w:sz w:val="28"/>
          <w:szCs w:val="28"/>
        </w:rPr>
        <w:t>768</w:t>
      </w:r>
      <w:r w:rsidRPr="00E520D4">
        <w:rPr>
          <w:rFonts w:ascii="標楷體" w:eastAsia="標楷體" w:hAnsi="標楷體" w:hint="eastAsia"/>
          <w:color w:val="000000"/>
          <w:sz w:val="28"/>
          <w:szCs w:val="28"/>
        </w:rPr>
        <w:t>億元</w:t>
      </w:r>
      <w:r w:rsidRPr="00E520D4">
        <w:rPr>
          <w:rFonts w:ascii="標楷體" w:eastAsia="標楷體" w:hAnsi="標楷體" w:hint="eastAsia"/>
          <w:color w:val="000000"/>
          <w:spacing w:val="-2"/>
          <w:sz w:val="28"/>
          <w:szCs w:val="28"/>
        </w:rPr>
        <w:t>，相關精算資訊及說明業於衛生福利部主管決算書中揭露</w:t>
      </w:r>
      <w:r w:rsidRPr="00E520D4">
        <w:rPr>
          <w:rFonts w:ascii="標楷體" w:eastAsia="標楷體" w:hAnsi="標楷體" w:hint="eastAsia"/>
          <w:color w:val="000000"/>
          <w:sz w:val="28"/>
          <w:szCs w:val="28"/>
        </w:rPr>
        <w:t>。</w:t>
      </w:r>
    </w:p>
    <w:p w:rsidR="0091579C" w:rsidRPr="00E520D4" w:rsidRDefault="0091579C" w:rsidP="0091579C">
      <w:pPr>
        <w:pStyle w:val="14"/>
        <w:spacing w:line="480" w:lineRule="exact"/>
        <w:ind w:left="518" w:hangingChars="185" w:hanging="518"/>
        <w:rPr>
          <w:rFonts w:hAnsi="標楷體"/>
          <w:color w:val="000000"/>
          <w:szCs w:val="28"/>
        </w:rPr>
      </w:pPr>
      <w:r w:rsidRPr="00E520D4">
        <w:rPr>
          <w:rFonts w:hAnsi="標楷體" w:hint="eastAsia"/>
          <w:color w:val="000000"/>
          <w:szCs w:val="28"/>
        </w:rPr>
        <w:t xml:space="preserve"> 六、軍人保險未來保險給付精算現值</w:t>
      </w:r>
    </w:p>
    <w:p w:rsidR="0091579C" w:rsidRPr="00E520D4" w:rsidRDefault="0091579C" w:rsidP="0091579C">
      <w:pPr>
        <w:pStyle w:val="7"/>
        <w:spacing w:line="480" w:lineRule="exact"/>
        <w:ind w:leftChars="18" w:left="992" w:hangingChars="339" w:hanging="949"/>
        <w:textAlignment w:val="auto"/>
        <w:rPr>
          <w:rFonts w:ascii="標楷體" w:eastAsia="標楷體" w:hAnsi="標楷體"/>
          <w:color w:val="000000"/>
          <w:sz w:val="28"/>
          <w:szCs w:val="28"/>
        </w:rPr>
      </w:pPr>
      <w:r w:rsidRPr="00E520D4">
        <w:rPr>
          <w:rFonts w:ascii="標楷體" w:eastAsia="標楷體" w:hAnsi="標楷體" w:hint="eastAsia"/>
          <w:color w:val="000000"/>
          <w:sz w:val="28"/>
          <w:szCs w:val="28"/>
        </w:rPr>
        <w:t>（一）法令依據；軍人保險條例第</w:t>
      </w:r>
      <w:r w:rsidRPr="00E520D4">
        <w:rPr>
          <w:rFonts w:ascii="標楷體" w:eastAsia="標楷體" w:hAnsi="標楷體"/>
          <w:color w:val="000000"/>
          <w:sz w:val="28"/>
          <w:szCs w:val="28"/>
        </w:rPr>
        <w:t>5</w:t>
      </w:r>
      <w:r>
        <w:rPr>
          <w:rFonts w:ascii="標楷體" w:eastAsia="標楷體" w:hAnsi="標楷體" w:hint="eastAsia"/>
          <w:color w:val="000000"/>
          <w:sz w:val="28"/>
          <w:szCs w:val="28"/>
        </w:rPr>
        <w:t>條及第</w:t>
      </w:r>
      <w:r w:rsidRPr="00E520D4">
        <w:rPr>
          <w:rFonts w:ascii="標楷體" w:eastAsia="標楷體" w:hAnsi="標楷體" w:hint="eastAsia"/>
          <w:color w:val="000000"/>
          <w:sz w:val="28"/>
          <w:szCs w:val="28"/>
        </w:rPr>
        <w:t>10條。</w:t>
      </w:r>
    </w:p>
    <w:p w:rsidR="0091579C" w:rsidRPr="00E520D4" w:rsidRDefault="0091579C" w:rsidP="0091579C">
      <w:pPr>
        <w:pStyle w:val="7"/>
        <w:spacing w:line="500" w:lineRule="exact"/>
        <w:ind w:leftChars="24" w:left="906" w:hangingChars="303" w:hanging="848"/>
        <w:textAlignment w:val="auto"/>
        <w:rPr>
          <w:rFonts w:ascii="標楷體" w:eastAsia="標楷體" w:hAnsi="標楷體"/>
          <w:color w:val="000000"/>
          <w:sz w:val="28"/>
          <w:szCs w:val="28"/>
        </w:rPr>
      </w:pPr>
      <w:r w:rsidRPr="00E520D4">
        <w:rPr>
          <w:rFonts w:ascii="標楷體" w:eastAsia="標楷體" w:hAnsi="標楷體" w:hint="eastAsia"/>
          <w:color w:val="000000"/>
          <w:sz w:val="28"/>
          <w:szCs w:val="28"/>
        </w:rPr>
        <w:t>（二）依據臺銀人壽保險股份有限公司以</w:t>
      </w:r>
      <w:r w:rsidRPr="00E520D4">
        <w:rPr>
          <w:rFonts w:ascii="標楷體" w:eastAsia="標楷體" w:hAnsi="標楷體"/>
          <w:color w:val="000000"/>
          <w:sz w:val="28"/>
          <w:szCs w:val="28"/>
        </w:rPr>
        <w:t>10</w:t>
      </w:r>
      <w:r>
        <w:rPr>
          <w:rFonts w:ascii="標楷體" w:eastAsia="標楷體" w:hAnsi="標楷體" w:hint="eastAsia"/>
          <w:color w:val="000000"/>
          <w:sz w:val="28"/>
          <w:szCs w:val="28"/>
        </w:rPr>
        <w:t>5</w:t>
      </w:r>
      <w:r w:rsidRPr="00E520D4">
        <w:rPr>
          <w:rFonts w:ascii="標楷體" w:eastAsia="標楷體" w:hAnsi="標楷體" w:hint="eastAsia"/>
          <w:color w:val="000000"/>
          <w:sz w:val="28"/>
          <w:szCs w:val="28"/>
        </w:rPr>
        <w:t>年</w:t>
      </w:r>
      <w:r w:rsidRPr="00E520D4">
        <w:rPr>
          <w:rFonts w:ascii="標楷體" w:eastAsia="標楷體" w:hAnsi="標楷體"/>
          <w:color w:val="000000"/>
          <w:sz w:val="28"/>
          <w:szCs w:val="28"/>
        </w:rPr>
        <w:t>12</w:t>
      </w:r>
      <w:r w:rsidRPr="00E520D4">
        <w:rPr>
          <w:rFonts w:ascii="標楷體" w:eastAsia="標楷體" w:hAnsi="標楷體" w:hint="eastAsia"/>
          <w:color w:val="000000"/>
          <w:sz w:val="28"/>
          <w:szCs w:val="28"/>
        </w:rPr>
        <w:t>月</w:t>
      </w:r>
      <w:r w:rsidRPr="00E520D4">
        <w:rPr>
          <w:rFonts w:ascii="標楷體" w:eastAsia="標楷體" w:hAnsi="標楷體"/>
          <w:color w:val="000000"/>
          <w:sz w:val="28"/>
          <w:szCs w:val="28"/>
        </w:rPr>
        <w:t>31</w:t>
      </w:r>
      <w:r w:rsidRPr="00E520D4">
        <w:rPr>
          <w:rFonts w:ascii="標楷體" w:eastAsia="標楷體" w:hAnsi="標楷體" w:hint="eastAsia"/>
          <w:color w:val="000000"/>
          <w:sz w:val="28"/>
          <w:szCs w:val="28"/>
        </w:rPr>
        <w:t>日為基準日，投保</w:t>
      </w:r>
      <w:r w:rsidRPr="00E520D4">
        <w:rPr>
          <w:rFonts w:ascii="標楷體" w:eastAsia="標楷體" w:hAnsi="標楷體" w:hint="eastAsia"/>
          <w:color w:val="000000"/>
          <w:spacing w:val="2"/>
          <w:sz w:val="28"/>
          <w:szCs w:val="28"/>
        </w:rPr>
        <w:t>人數</w:t>
      </w:r>
      <w:r w:rsidRPr="00E520D4">
        <w:rPr>
          <w:rFonts w:ascii="標楷體" w:eastAsia="標楷體" w:hAnsi="標楷體"/>
          <w:color w:val="000000"/>
          <w:spacing w:val="2"/>
          <w:sz w:val="28"/>
          <w:szCs w:val="28"/>
        </w:rPr>
        <w:t>2</w:t>
      </w:r>
      <w:r>
        <w:rPr>
          <w:rFonts w:ascii="標楷體" w:eastAsia="標楷體" w:hAnsi="標楷體" w:hint="eastAsia"/>
          <w:color w:val="000000"/>
          <w:spacing w:val="2"/>
          <w:sz w:val="28"/>
          <w:szCs w:val="28"/>
        </w:rPr>
        <w:t>1</w:t>
      </w:r>
      <w:r w:rsidRPr="00E520D4">
        <w:rPr>
          <w:rFonts w:ascii="標楷體" w:eastAsia="標楷體" w:hAnsi="標楷體" w:hint="eastAsia"/>
          <w:color w:val="000000"/>
          <w:spacing w:val="2"/>
          <w:sz w:val="28"/>
          <w:szCs w:val="28"/>
        </w:rPr>
        <w:t>萬人，折現率</w:t>
      </w:r>
      <w:r w:rsidRPr="00E520D4">
        <w:rPr>
          <w:rFonts w:ascii="標楷體" w:eastAsia="標楷體" w:hAnsi="標楷體"/>
          <w:color w:val="000000"/>
          <w:spacing w:val="2"/>
          <w:sz w:val="28"/>
          <w:szCs w:val="28"/>
        </w:rPr>
        <w:t>2.5</w:t>
      </w:r>
      <w:r w:rsidRPr="00E520D4">
        <w:rPr>
          <w:rFonts w:ascii="標楷體" w:eastAsia="標楷體" w:hAnsi="標楷體" w:hint="eastAsia"/>
          <w:color w:val="000000"/>
          <w:spacing w:val="2"/>
          <w:sz w:val="28"/>
          <w:szCs w:val="28"/>
        </w:rPr>
        <w:t>％、投保薪資增長率</w:t>
      </w:r>
      <w:r w:rsidRPr="00E520D4">
        <w:rPr>
          <w:rFonts w:ascii="標楷體" w:eastAsia="標楷體" w:hAnsi="標楷體"/>
          <w:color w:val="000000"/>
          <w:spacing w:val="2"/>
          <w:sz w:val="28"/>
          <w:szCs w:val="28"/>
        </w:rPr>
        <w:t>0.5</w:t>
      </w:r>
      <w:r w:rsidRPr="00E520D4">
        <w:rPr>
          <w:rFonts w:ascii="標楷體" w:eastAsia="標楷體" w:hAnsi="標楷體" w:hint="eastAsia"/>
          <w:color w:val="000000"/>
          <w:spacing w:val="2"/>
          <w:sz w:val="28"/>
          <w:szCs w:val="28"/>
        </w:rPr>
        <w:t>％，並採用</w:t>
      </w:r>
      <w:r>
        <w:rPr>
          <w:rFonts w:ascii="標楷體" w:eastAsia="標楷體" w:hAnsi="標楷體" w:hint="eastAsia"/>
          <w:color w:val="000000"/>
          <w:spacing w:val="2"/>
          <w:sz w:val="28"/>
          <w:szCs w:val="28"/>
        </w:rPr>
        <w:t>加入年齡成本法與預計單位福利法</w:t>
      </w:r>
      <w:r w:rsidRPr="00E520D4">
        <w:rPr>
          <w:rFonts w:ascii="標楷體" w:eastAsia="標楷體" w:hAnsi="標楷體" w:hint="eastAsia"/>
          <w:color w:val="000000"/>
          <w:spacing w:val="2"/>
          <w:sz w:val="28"/>
          <w:szCs w:val="28"/>
        </w:rPr>
        <w:t>等假設條件，精算</w:t>
      </w:r>
      <w:r w:rsidRPr="00E520D4">
        <w:rPr>
          <w:rFonts w:ascii="標楷體" w:eastAsia="標楷體" w:hAnsi="標楷體"/>
          <w:color w:val="000000"/>
          <w:spacing w:val="2"/>
          <w:sz w:val="28"/>
          <w:szCs w:val="28"/>
        </w:rPr>
        <w:t>10</w:t>
      </w:r>
      <w:r>
        <w:rPr>
          <w:rFonts w:ascii="標楷體" w:eastAsia="標楷體" w:hAnsi="標楷體" w:hint="eastAsia"/>
          <w:color w:val="000000"/>
          <w:spacing w:val="2"/>
          <w:sz w:val="28"/>
          <w:szCs w:val="28"/>
        </w:rPr>
        <w:t>5</w:t>
      </w:r>
      <w:r w:rsidRPr="00E520D4">
        <w:rPr>
          <w:rFonts w:ascii="標楷體" w:eastAsia="標楷體" w:hAnsi="標楷體" w:hint="eastAsia"/>
          <w:color w:val="000000"/>
          <w:spacing w:val="2"/>
          <w:sz w:val="28"/>
          <w:szCs w:val="28"/>
        </w:rPr>
        <w:t>年</w:t>
      </w:r>
      <w:r w:rsidRPr="00E520D4">
        <w:rPr>
          <w:rFonts w:ascii="標楷體" w:eastAsia="標楷體" w:hAnsi="標楷體"/>
          <w:color w:val="000000"/>
          <w:spacing w:val="2"/>
          <w:sz w:val="28"/>
          <w:szCs w:val="28"/>
        </w:rPr>
        <w:t>12</w:t>
      </w:r>
      <w:r w:rsidRPr="00E520D4">
        <w:rPr>
          <w:rFonts w:ascii="標楷體" w:eastAsia="標楷體" w:hAnsi="標楷體" w:hint="eastAsia"/>
          <w:color w:val="000000"/>
          <w:spacing w:val="2"/>
          <w:sz w:val="28"/>
          <w:szCs w:val="28"/>
        </w:rPr>
        <w:t>月</w:t>
      </w:r>
      <w:r w:rsidRPr="00E520D4">
        <w:rPr>
          <w:rFonts w:ascii="標楷體" w:eastAsia="標楷體" w:hAnsi="標楷體"/>
          <w:color w:val="000000"/>
          <w:spacing w:val="2"/>
          <w:sz w:val="28"/>
          <w:szCs w:val="28"/>
        </w:rPr>
        <w:t>31</w:t>
      </w:r>
      <w:r w:rsidRPr="00E520D4">
        <w:rPr>
          <w:rFonts w:ascii="標楷體" w:eastAsia="標楷體" w:hAnsi="標楷體" w:hint="eastAsia"/>
          <w:color w:val="000000"/>
          <w:spacing w:val="2"/>
          <w:sz w:val="28"/>
          <w:szCs w:val="28"/>
        </w:rPr>
        <w:t>日之死亡、殘廢、退伍等保險給付之應計給付現值約</w:t>
      </w:r>
      <w:r w:rsidRPr="00E520D4">
        <w:rPr>
          <w:rFonts w:ascii="標楷體" w:eastAsia="標楷體" w:hAnsi="標楷體"/>
          <w:color w:val="000000"/>
          <w:spacing w:val="2"/>
          <w:sz w:val="28"/>
          <w:szCs w:val="28"/>
        </w:rPr>
        <w:t>5</w:t>
      </w:r>
      <w:r>
        <w:rPr>
          <w:rFonts w:ascii="標楷體" w:eastAsia="標楷體" w:hAnsi="標楷體" w:hint="eastAsia"/>
          <w:color w:val="000000"/>
          <w:spacing w:val="2"/>
          <w:sz w:val="28"/>
          <w:szCs w:val="28"/>
        </w:rPr>
        <w:t>26</w:t>
      </w:r>
      <w:r w:rsidRPr="00E520D4">
        <w:rPr>
          <w:rFonts w:ascii="標楷體" w:eastAsia="標楷體" w:hAnsi="標楷體" w:hint="eastAsia"/>
          <w:color w:val="000000"/>
          <w:spacing w:val="2"/>
          <w:sz w:val="28"/>
          <w:szCs w:val="28"/>
        </w:rPr>
        <w:t>億元</w:t>
      </w:r>
      <w:r w:rsidRPr="00E520D4">
        <w:rPr>
          <w:rFonts w:ascii="標楷體" w:eastAsia="標楷體" w:hAnsi="標楷體" w:hint="eastAsia"/>
          <w:color w:val="000000"/>
          <w:spacing w:val="-2"/>
          <w:sz w:val="28"/>
          <w:szCs w:val="28"/>
        </w:rPr>
        <w:t>，扣除截至本年12月底止已提存保險責任準備</w:t>
      </w:r>
      <w:r>
        <w:rPr>
          <w:rFonts w:ascii="標楷體" w:eastAsia="標楷體" w:hAnsi="標楷體" w:hint="eastAsia"/>
          <w:color w:val="000000"/>
          <w:spacing w:val="-2"/>
          <w:sz w:val="28"/>
          <w:szCs w:val="28"/>
        </w:rPr>
        <w:t>60</w:t>
      </w:r>
      <w:r w:rsidRPr="00E520D4">
        <w:rPr>
          <w:rFonts w:ascii="標楷體" w:eastAsia="標楷體" w:hAnsi="標楷體" w:hint="eastAsia"/>
          <w:color w:val="000000"/>
          <w:spacing w:val="-2"/>
          <w:sz w:val="28"/>
          <w:szCs w:val="28"/>
        </w:rPr>
        <w:t>億元，未提存金額為4</w:t>
      </w:r>
      <w:r>
        <w:rPr>
          <w:rFonts w:ascii="標楷體" w:eastAsia="標楷體" w:hAnsi="標楷體" w:hint="eastAsia"/>
          <w:color w:val="000000"/>
          <w:spacing w:val="-2"/>
          <w:sz w:val="28"/>
          <w:szCs w:val="28"/>
        </w:rPr>
        <w:t>66</w:t>
      </w:r>
      <w:r w:rsidRPr="00E520D4">
        <w:rPr>
          <w:rFonts w:ascii="標楷體" w:eastAsia="標楷體" w:hAnsi="標楷體" w:hint="eastAsia"/>
          <w:color w:val="000000"/>
          <w:spacing w:val="-2"/>
          <w:sz w:val="28"/>
          <w:szCs w:val="28"/>
        </w:rPr>
        <w:t>億元，相關精算資訊及說明業於國防部主管決算書中揭露</w:t>
      </w:r>
      <w:r w:rsidRPr="00E520D4">
        <w:rPr>
          <w:rFonts w:ascii="標楷體" w:eastAsia="標楷體" w:hAnsi="標楷體" w:hint="eastAsia"/>
          <w:color w:val="000000"/>
          <w:spacing w:val="2"/>
          <w:sz w:val="28"/>
          <w:szCs w:val="28"/>
        </w:rPr>
        <w:t>。</w:t>
      </w:r>
    </w:p>
    <w:p w:rsidR="0091579C" w:rsidRPr="00E520D4" w:rsidRDefault="0091579C" w:rsidP="0091579C">
      <w:pPr>
        <w:pStyle w:val="14"/>
        <w:spacing w:line="500" w:lineRule="exact"/>
        <w:ind w:left="518" w:hangingChars="185" w:hanging="518"/>
        <w:rPr>
          <w:rFonts w:hAnsi="標楷體"/>
          <w:color w:val="000000"/>
          <w:szCs w:val="28"/>
        </w:rPr>
      </w:pPr>
      <w:r w:rsidRPr="00E520D4">
        <w:rPr>
          <w:rFonts w:hAnsi="標楷體" w:hint="eastAsia"/>
          <w:color w:val="000000"/>
          <w:szCs w:val="28"/>
        </w:rPr>
        <w:t>七、農民健康保險未來保險給付精算現值</w:t>
      </w:r>
    </w:p>
    <w:p w:rsidR="0091579C" w:rsidRPr="00E520D4" w:rsidRDefault="0091579C" w:rsidP="0091579C">
      <w:pPr>
        <w:pStyle w:val="7"/>
        <w:spacing w:line="500" w:lineRule="exact"/>
        <w:ind w:leftChars="12" w:left="992" w:hangingChars="344" w:hanging="963"/>
        <w:textAlignment w:val="auto"/>
        <w:rPr>
          <w:rFonts w:ascii="標楷體" w:eastAsia="標楷體" w:hAnsi="標楷體"/>
          <w:color w:val="000000"/>
          <w:sz w:val="28"/>
          <w:szCs w:val="28"/>
        </w:rPr>
      </w:pPr>
      <w:r w:rsidRPr="00E520D4">
        <w:rPr>
          <w:rFonts w:ascii="標楷體" w:eastAsia="標楷體" w:hAnsi="標楷體" w:hint="eastAsia"/>
          <w:color w:val="000000"/>
          <w:sz w:val="28"/>
          <w:szCs w:val="28"/>
        </w:rPr>
        <w:t>（一）法令依據：農民健康保險條例第12</w:t>
      </w:r>
      <w:r>
        <w:rPr>
          <w:rFonts w:ascii="標楷體" w:eastAsia="標楷體" w:hAnsi="標楷體" w:hint="eastAsia"/>
          <w:color w:val="000000"/>
          <w:sz w:val="28"/>
          <w:szCs w:val="28"/>
        </w:rPr>
        <w:t>條及第</w:t>
      </w:r>
      <w:r w:rsidRPr="00E520D4">
        <w:rPr>
          <w:rFonts w:ascii="標楷體" w:eastAsia="標楷體" w:hAnsi="標楷體" w:hint="eastAsia"/>
          <w:color w:val="000000"/>
          <w:sz w:val="28"/>
          <w:szCs w:val="28"/>
        </w:rPr>
        <w:t>44條。</w:t>
      </w:r>
    </w:p>
    <w:p w:rsidR="0091579C" w:rsidRPr="00E520D4" w:rsidRDefault="0091579C" w:rsidP="0091579C">
      <w:pPr>
        <w:pStyle w:val="7"/>
        <w:spacing w:line="500" w:lineRule="exact"/>
        <w:ind w:leftChars="12" w:left="880" w:hangingChars="304" w:hanging="851"/>
        <w:textAlignment w:val="auto"/>
        <w:rPr>
          <w:rFonts w:ascii="標楷體" w:eastAsia="標楷體" w:hAnsi="標楷體"/>
          <w:color w:val="000000"/>
          <w:sz w:val="28"/>
          <w:szCs w:val="28"/>
        </w:rPr>
      </w:pPr>
      <w:r w:rsidRPr="00E520D4">
        <w:rPr>
          <w:rFonts w:ascii="標楷體" w:eastAsia="標楷體" w:hAnsi="標楷體" w:hint="eastAsia"/>
          <w:color w:val="000000"/>
          <w:sz w:val="28"/>
          <w:szCs w:val="28"/>
        </w:rPr>
        <w:t>（二）依據內政部以本年</w:t>
      </w:r>
      <w:smartTag w:uri="urn:schemas-microsoft-com:office:smarttags" w:element="chsdate">
        <w:smartTagPr>
          <w:attr w:name="IsROCDate" w:val="False"/>
          <w:attr w:name="IsLunarDate" w:val="False"/>
          <w:attr w:name="Day" w:val="31"/>
          <w:attr w:name="Month" w:val="12"/>
          <w:attr w:name="Year" w:val="2017"/>
        </w:smartTagPr>
        <w:r w:rsidRPr="00E520D4">
          <w:rPr>
            <w:rFonts w:ascii="標楷體" w:eastAsia="標楷體" w:hAnsi="標楷體" w:hint="eastAsia"/>
            <w:color w:val="000000"/>
            <w:spacing w:val="-4"/>
            <w:sz w:val="28"/>
            <w:szCs w:val="28"/>
          </w:rPr>
          <w:t>12月31日</w:t>
        </w:r>
      </w:smartTag>
      <w:r w:rsidRPr="00E520D4">
        <w:rPr>
          <w:rFonts w:ascii="標楷體" w:eastAsia="標楷體" w:hAnsi="標楷體" w:hint="eastAsia"/>
          <w:color w:val="000000"/>
          <w:spacing w:val="-4"/>
          <w:sz w:val="28"/>
          <w:szCs w:val="28"/>
        </w:rPr>
        <w:t>為基準日，投保人數1</w:t>
      </w:r>
      <w:r>
        <w:rPr>
          <w:rFonts w:ascii="標楷體" w:eastAsia="標楷體" w:hAnsi="標楷體" w:hint="eastAsia"/>
          <w:color w:val="000000"/>
          <w:spacing w:val="-4"/>
          <w:sz w:val="28"/>
          <w:szCs w:val="28"/>
        </w:rPr>
        <w:t>17</w:t>
      </w:r>
      <w:r w:rsidRPr="00E520D4">
        <w:rPr>
          <w:rFonts w:ascii="標楷體" w:eastAsia="標楷體" w:hAnsi="標楷體" w:hint="eastAsia"/>
          <w:color w:val="000000"/>
          <w:spacing w:val="-4"/>
          <w:sz w:val="28"/>
          <w:szCs w:val="28"/>
        </w:rPr>
        <w:t>萬人，月投保金額1萬200元，精算50年，折現率</w:t>
      </w:r>
      <w:r>
        <w:rPr>
          <w:rFonts w:ascii="標楷體" w:eastAsia="標楷體" w:hAnsi="標楷體" w:hint="eastAsia"/>
          <w:color w:val="000000"/>
          <w:spacing w:val="-4"/>
          <w:sz w:val="28"/>
          <w:szCs w:val="28"/>
        </w:rPr>
        <w:t>3</w:t>
      </w:r>
      <w:r w:rsidRPr="00E520D4">
        <w:rPr>
          <w:rFonts w:ascii="標楷體" w:eastAsia="標楷體" w:hAnsi="標楷體" w:hint="eastAsia"/>
          <w:color w:val="000000"/>
          <w:spacing w:val="-4"/>
          <w:sz w:val="28"/>
          <w:szCs w:val="28"/>
        </w:rPr>
        <w:t>％等精算假設條件，精算未來淨保險給付現值為</w:t>
      </w:r>
      <w:r>
        <w:rPr>
          <w:rFonts w:ascii="標楷體" w:eastAsia="標楷體" w:hAnsi="標楷體" w:hint="eastAsia"/>
          <w:color w:val="000000"/>
          <w:spacing w:val="-4"/>
          <w:sz w:val="28"/>
          <w:szCs w:val="28"/>
        </w:rPr>
        <w:t>837</w:t>
      </w:r>
      <w:r w:rsidRPr="00E520D4">
        <w:rPr>
          <w:rFonts w:ascii="標楷體" w:eastAsia="標楷體" w:hAnsi="標楷體" w:hint="eastAsia"/>
          <w:color w:val="000000"/>
          <w:spacing w:val="-4"/>
          <w:sz w:val="28"/>
          <w:szCs w:val="28"/>
        </w:rPr>
        <w:t>億元</w:t>
      </w:r>
      <w:r w:rsidRPr="00E520D4">
        <w:rPr>
          <w:rFonts w:ascii="標楷體" w:eastAsia="標楷體" w:hAnsi="標楷體" w:hint="eastAsia"/>
          <w:color w:val="000000"/>
          <w:spacing w:val="-2"/>
          <w:sz w:val="28"/>
          <w:szCs w:val="28"/>
        </w:rPr>
        <w:t>，相關精算資訊及說明業於內政部主管決算書中揭露</w:t>
      </w:r>
      <w:r w:rsidRPr="00E520D4">
        <w:rPr>
          <w:rFonts w:ascii="標楷體" w:eastAsia="標楷體" w:hAnsi="標楷體" w:hint="eastAsia"/>
          <w:color w:val="000000"/>
          <w:spacing w:val="-4"/>
          <w:sz w:val="28"/>
          <w:szCs w:val="28"/>
        </w:rPr>
        <w:t>。</w:t>
      </w:r>
    </w:p>
    <w:p w:rsidR="0091579C" w:rsidRPr="00E520D4" w:rsidRDefault="0091579C" w:rsidP="0091579C">
      <w:pPr>
        <w:pStyle w:val="14"/>
        <w:spacing w:line="500" w:lineRule="exact"/>
        <w:ind w:left="560" w:hangingChars="200" w:hanging="560"/>
        <w:rPr>
          <w:rFonts w:hAnsi="標楷體"/>
          <w:color w:val="000000"/>
          <w:szCs w:val="28"/>
        </w:rPr>
      </w:pPr>
      <w:r w:rsidRPr="00E520D4">
        <w:rPr>
          <w:rFonts w:hAnsi="標楷體" w:hint="eastAsia"/>
          <w:color w:val="000000"/>
          <w:szCs w:val="28"/>
        </w:rPr>
        <w:t>八、各級政府積欠全民健康保險、勞工保險、就業保險之保險費補助款，以及中央、地方退休公教人員優惠存款差額利息</w:t>
      </w:r>
    </w:p>
    <w:p w:rsidR="0091579C" w:rsidRPr="00E520D4" w:rsidRDefault="0091579C" w:rsidP="0091579C">
      <w:pPr>
        <w:pStyle w:val="7"/>
        <w:spacing w:line="500" w:lineRule="exact"/>
        <w:ind w:leftChars="24" w:left="993" w:hangingChars="334" w:hanging="935"/>
        <w:textAlignment w:val="auto"/>
        <w:rPr>
          <w:rFonts w:ascii="標楷體" w:eastAsia="標楷體" w:hAnsi="標楷體"/>
          <w:color w:val="000000"/>
          <w:sz w:val="28"/>
          <w:szCs w:val="28"/>
        </w:rPr>
      </w:pPr>
      <w:r w:rsidRPr="00E520D4">
        <w:rPr>
          <w:rFonts w:ascii="標楷體" w:eastAsia="標楷體" w:hAnsi="標楷體" w:hint="eastAsia"/>
          <w:color w:val="000000"/>
          <w:sz w:val="28"/>
          <w:szCs w:val="28"/>
        </w:rPr>
        <w:t>（一）全民健康保險部分</w:t>
      </w:r>
    </w:p>
    <w:p w:rsidR="0091579C" w:rsidRPr="00E520D4" w:rsidRDefault="0091579C" w:rsidP="0091579C">
      <w:pPr>
        <w:pStyle w:val="7"/>
        <w:spacing w:line="500" w:lineRule="exact"/>
        <w:ind w:leftChars="350" w:left="1130" w:hangingChars="105" w:hanging="290"/>
        <w:textAlignment w:val="auto"/>
        <w:rPr>
          <w:rFonts w:ascii="標楷體" w:eastAsia="標楷體" w:hAnsi="標楷體"/>
          <w:color w:val="000000"/>
          <w:sz w:val="28"/>
          <w:szCs w:val="28"/>
        </w:rPr>
      </w:pPr>
      <w:r w:rsidRPr="00E520D4">
        <w:rPr>
          <w:rFonts w:ascii="標楷體" w:eastAsia="標楷體" w:hAnsi="標楷體" w:hint="eastAsia"/>
          <w:color w:val="000000"/>
          <w:spacing w:val="-2"/>
          <w:sz w:val="28"/>
          <w:szCs w:val="28"/>
        </w:rPr>
        <w:t>1.</w:t>
      </w:r>
      <w:r w:rsidRPr="00E520D4">
        <w:rPr>
          <w:rFonts w:ascii="標楷體" w:eastAsia="標楷體" w:hAnsi="標楷體" w:hint="eastAsia"/>
          <w:color w:val="000000"/>
          <w:sz w:val="28"/>
          <w:szCs w:val="28"/>
        </w:rPr>
        <w:t>法令依據：全民健康保險法第27</w:t>
      </w:r>
      <w:r>
        <w:rPr>
          <w:rFonts w:ascii="標楷體" w:eastAsia="標楷體" w:hAnsi="標楷體" w:hint="eastAsia"/>
          <w:color w:val="000000"/>
          <w:sz w:val="28"/>
          <w:szCs w:val="28"/>
        </w:rPr>
        <w:t>條、第</w:t>
      </w:r>
      <w:r w:rsidRPr="00E520D4">
        <w:rPr>
          <w:rFonts w:ascii="標楷體" w:eastAsia="標楷體" w:hAnsi="標楷體" w:hint="eastAsia"/>
          <w:color w:val="000000"/>
          <w:sz w:val="28"/>
          <w:szCs w:val="28"/>
        </w:rPr>
        <w:t>30條及其施行細則第50條。</w:t>
      </w:r>
    </w:p>
    <w:p w:rsidR="0091579C" w:rsidRPr="00E520D4" w:rsidRDefault="0091579C" w:rsidP="0091579C">
      <w:pPr>
        <w:pStyle w:val="7"/>
        <w:spacing w:line="500" w:lineRule="exact"/>
        <w:ind w:leftChars="350" w:left="1134" w:hangingChars="105" w:hanging="294"/>
        <w:textAlignment w:val="auto"/>
        <w:rPr>
          <w:rFonts w:ascii="標楷體" w:eastAsia="標楷體" w:hAnsi="標楷體"/>
          <w:color w:val="000000"/>
          <w:spacing w:val="-2"/>
          <w:sz w:val="28"/>
          <w:szCs w:val="28"/>
        </w:rPr>
      </w:pPr>
      <w:r w:rsidRPr="00E520D4">
        <w:rPr>
          <w:rFonts w:ascii="標楷體" w:eastAsia="標楷體" w:hAnsi="標楷體" w:hint="eastAsia"/>
          <w:color w:val="000000"/>
          <w:sz w:val="28"/>
          <w:szCs w:val="28"/>
        </w:rPr>
        <w:t>2.依據衛</w:t>
      </w:r>
      <w:r w:rsidRPr="00E520D4">
        <w:rPr>
          <w:rFonts w:ascii="標楷體" w:eastAsia="標楷體" w:hAnsi="標楷體" w:hint="eastAsia"/>
          <w:color w:val="000000"/>
          <w:spacing w:val="-2"/>
          <w:sz w:val="28"/>
          <w:szCs w:val="28"/>
        </w:rPr>
        <w:t>生福利部提供資料，截至本年</w:t>
      </w:r>
      <w:r>
        <w:rPr>
          <w:rFonts w:ascii="標楷體" w:eastAsia="標楷體" w:hAnsi="標楷體" w:hint="eastAsia"/>
          <w:color w:val="000000"/>
          <w:spacing w:val="-2"/>
          <w:sz w:val="28"/>
          <w:szCs w:val="28"/>
        </w:rPr>
        <w:t>12月</w:t>
      </w:r>
      <w:r w:rsidRPr="00E520D4">
        <w:rPr>
          <w:rFonts w:ascii="標楷體" w:eastAsia="標楷體" w:hAnsi="標楷體" w:hint="eastAsia"/>
          <w:color w:val="000000"/>
          <w:spacing w:val="-2"/>
          <w:sz w:val="28"/>
          <w:szCs w:val="28"/>
        </w:rPr>
        <w:t>底，中央及地方政府累積待撥付之健保費為</w:t>
      </w:r>
      <w:r>
        <w:rPr>
          <w:rFonts w:ascii="標楷體" w:eastAsia="標楷體" w:hAnsi="標楷體" w:hint="eastAsia"/>
          <w:color w:val="000000"/>
          <w:spacing w:val="-2"/>
          <w:sz w:val="28"/>
          <w:szCs w:val="28"/>
        </w:rPr>
        <w:t>157</w:t>
      </w:r>
      <w:r w:rsidRPr="00E520D4">
        <w:rPr>
          <w:rFonts w:ascii="標楷體" w:eastAsia="標楷體" w:hAnsi="標楷體" w:hint="eastAsia"/>
          <w:color w:val="000000"/>
          <w:spacing w:val="-2"/>
          <w:sz w:val="28"/>
          <w:szCs w:val="28"/>
        </w:rPr>
        <w:t>億元，扣除尚未屆繳款期限1</w:t>
      </w:r>
      <w:r>
        <w:rPr>
          <w:rFonts w:ascii="標楷體" w:eastAsia="標楷體" w:hAnsi="標楷體" w:hint="eastAsia"/>
          <w:color w:val="000000"/>
          <w:spacing w:val="-2"/>
          <w:sz w:val="28"/>
          <w:szCs w:val="28"/>
        </w:rPr>
        <w:t>0</w:t>
      </w:r>
      <w:r w:rsidRPr="00E520D4">
        <w:rPr>
          <w:rFonts w:ascii="標楷體" w:eastAsia="標楷體" w:hAnsi="標楷體" w:hint="eastAsia"/>
          <w:color w:val="000000"/>
          <w:spacing w:val="-2"/>
          <w:sz w:val="28"/>
          <w:szCs w:val="28"/>
        </w:rPr>
        <w:t>億元，逾期欠費1</w:t>
      </w:r>
      <w:r>
        <w:rPr>
          <w:rFonts w:ascii="標楷體" w:eastAsia="標楷體" w:hAnsi="標楷體" w:hint="eastAsia"/>
          <w:color w:val="000000"/>
          <w:spacing w:val="-2"/>
          <w:sz w:val="28"/>
          <w:szCs w:val="28"/>
        </w:rPr>
        <w:t>47</w:t>
      </w:r>
      <w:r w:rsidRPr="00E520D4">
        <w:rPr>
          <w:rFonts w:ascii="標楷體" w:eastAsia="標楷體" w:hAnsi="標楷體" w:hint="eastAsia"/>
          <w:color w:val="000000"/>
          <w:spacing w:val="-2"/>
          <w:sz w:val="28"/>
          <w:szCs w:val="28"/>
        </w:rPr>
        <w:t>億元，全數為地方政府欠費，相關說明業於衛生福利部主管決算書中揭露。</w:t>
      </w:r>
    </w:p>
    <w:p w:rsidR="0091579C" w:rsidRPr="00E520D4" w:rsidRDefault="0091579C" w:rsidP="0091579C">
      <w:pPr>
        <w:pStyle w:val="7"/>
        <w:spacing w:line="500" w:lineRule="exact"/>
        <w:ind w:leftChars="18" w:left="992" w:hangingChars="339" w:hanging="949"/>
        <w:textAlignment w:val="auto"/>
        <w:rPr>
          <w:rFonts w:ascii="標楷體" w:eastAsia="標楷體" w:hAnsi="標楷體"/>
          <w:color w:val="000000"/>
          <w:sz w:val="28"/>
          <w:szCs w:val="28"/>
        </w:rPr>
      </w:pPr>
      <w:r w:rsidRPr="00E520D4">
        <w:rPr>
          <w:rFonts w:ascii="標楷體" w:eastAsia="標楷體" w:hAnsi="標楷體" w:hint="eastAsia"/>
          <w:color w:val="000000"/>
          <w:sz w:val="28"/>
          <w:szCs w:val="28"/>
        </w:rPr>
        <w:t>（二）勞工保險及就業保險部分</w:t>
      </w:r>
    </w:p>
    <w:p w:rsidR="0091579C" w:rsidRPr="00E520D4" w:rsidRDefault="0091579C" w:rsidP="0091579C">
      <w:pPr>
        <w:pStyle w:val="7"/>
        <w:spacing w:line="500" w:lineRule="exact"/>
        <w:ind w:leftChars="350" w:left="1130" w:hangingChars="105" w:hanging="290"/>
        <w:textAlignment w:val="auto"/>
        <w:rPr>
          <w:rFonts w:ascii="標楷體" w:eastAsia="標楷體" w:hAnsi="標楷體"/>
          <w:color w:val="000000"/>
          <w:sz w:val="28"/>
          <w:szCs w:val="28"/>
        </w:rPr>
      </w:pPr>
      <w:r w:rsidRPr="00E520D4">
        <w:rPr>
          <w:rFonts w:ascii="標楷體" w:eastAsia="標楷體" w:hAnsi="標楷體" w:hint="eastAsia"/>
          <w:color w:val="000000"/>
          <w:spacing w:val="-2"/>
          <w:sz w:val="28"/>
          <w:szCs w:val="28"/>
        </w:rPr>
        <w:t>1.</w:t>
      </w:r>
      <w:r w:rsidRPr="00E520D4">
        <w:rPr>
          <w:rFonts w:ascii="標楷體" w:eastAsia="標楷體" w:hAnsi="標楷體" w:hint="eastAsia"/>
          <w:color w:val="000000"/>
          <w:sz w:val="28"/>
          <w:szCs w:val="28"/>
        </w:rPr>
        <w:t>法令</w:t>
      </w:r>
      <w:r w:rsidRPr="00E520D4">
        <w:rPr>
          <w:rFonts w:ascii="標楷體" w:eastAsia="標楷體" w:hAnsi="標楷體" w:hint="eastAsia"/>
          <w:color w:val="000000"/>
          <w:spacing w:val="-2"/>
          <w:sz w:val="28"/>
          <w:szCs w:val="28"/>
        </w:rPr>
        <w:t>依</w:t>
      </w:r>
      <w:r w:rsidRPr="00E520D4">
        <w:rPr>
          <w:rFonts w:ascii="標楷體" w:eastAsia="標楷體" w:hAnsi="標楷體" w:hint="eastAsia"/>
          <w:color w:val="000000"/>
          <w:sz w:val="28"/>
          <w:szCs w:val="28"/>
        </w:rPr>
        <w:t>據：勞工保險條例第15條及其施行細則第 36 條、就業保險法第40條等</w:t>
      </w:r>
      <w:r>
        <w:rPr>
          <w:rFonts w:ascii="標楷體" w:eastAsia="標楷體" w:hAnsi="標楷體" w:hint="eastAsia"/>
          <w:color w:val="000000"/>
          <w:sz w:val="28"/>
          <w:szCs w:val="28"/>
        </w:rPr>
        <w:t>規定</w:t>
      </w:r>
      <w:r w:rsidRPr="00E520D4">
        <w:rPr>
          <w:rFonts w:ascii="標楷體" w:eastAsia="標楷體" w:hAnsi="標楷體" w:hint="eastAsia"/>
          <w:color w:val="000000"/>
          <w:sz w:val="28"/>
          <w:szCs w:val="28"/>
        </w:rPr>
        <w:t>。</w:t>
      </w:r>
    </w:p>
    <w:p w:rsidR="0091579C" w:rsidRPr="00E520D4" w:rsidRDefault="0091579C" w:rsidP="0091579C">
      <w:pPr>
        <w:pStyle w:val="7"/>
        <w:spacing w:line="500" w:lineRule="exact"/>
        <w:ind w:leftChars="350" w:left="1134" w:hangingChars="105" w:hanging="294"/>
        <w:textAlignment w:val="auto"/>
        <w:rPr>
          <w:rFonts w:ascii="標楷體" w:eastAsia="標楷體" w:hAnsi="標楷體"/>
          <w:color w:val="000000"/>
          <w:spacing w:val="-2"/>
          <w:sz w:val="28"/>
          <w:szCs w:val="28"/>
        </w:rPr>
      </w:pPr>
      <w:r w:rsidRPr="00E520D4">
        <w:rPr>
          <w:rFonts w:ascii="標楷體" w:eastAsia="標楷體" w:hAnsi="標楷體" w:hint="eastAsia"/>
          <w:color w:val="000000"/>
          <w:sz w:val="28"/>
          <w:szCs w:val="28"/>
        </w:rPr>
        <w:lastRenderedPageBreak/>
        <w:t>2.依據勞</w:t>
      </w:r>
      <w:r w:rsidRPr="00E520D4">
        <w:rPr>
          <w:rFonts w:ascii="標楷體" w:eastAsia="標楷體" w:hAnsi="標楷體" w:hint="eastAsia"/>
          <w:color w:val="000000"/>
          <w:spacing w:val="-2"/>
          <w:sz w:val="28"/>
          <w:szCs w:val="28"/>
        </w:rPr>
        <w:t>工保險局提供之資料，截至本年</w:t>
      </w:r>
      <w:r>
        <w:rPr>
          <w:rFonts w:ascii="標楷體" w:eastAsia="標楷體" w:hAnsi="標楷體" w:hint="eastAsia"/>
          <w:color w:val="000000"/>
          <w:spacing w:val="-2"/>
          <w:sz w:val="28"/>
          <w:szCs w:val="28"/>
        </w:rPr>
        <w:t>12月</w:t>
      </w:r>
      <w:r w:rsidRPr="00E520D4">
        <w:rPr>
          <w:rFonts w:ascii="標楷體" w:eastAsia="標楷體" w:hAnsi="標楷體" w:hint="eastAsia"/>
          <w:color w:val="000000"/>
          <w:spacing w:val="-2"/>
          <w:sz w:val="28"/>
          <w:szCs w:val="28"/>
        </w:rPr>
        <w:t>底，中央及地方政府累計待撥付之勞工保險及就業保險費為2</w:t>
      </w:r>
      <w:r>
        <w:rPr>
          <w:rFonts w:ascii="標楷體" w:eastAsia="標楷體" w:hAnsi="標楷體" w:hint="eastAsia"/>
          <w:color w:val="000000"/>
          <w:spacing w:val="-2"/>
          <w:sz w:val="28"/>
          <w:szCs w:val="28"/>
        </w:rPr>
        <w:t>42</w:t>
      </w:r>
      <w:r w:rsidRPr="00E520D4">
        <w:rPr>
          <w:rFonts w:ascii="標楷體" w:eastAsia="標楷體" w:hAnsi="標楷體" w:hint="eastAsia"/>
          <w:color w:val="000000"/>
          <w:spacing w:val="-2"/>
          <w:sz w:val="28"/>
          <w:szCs w:val="28"/>
        </w:rPr>
        <w:t>億元，扣除尚未屆繳款期限</w:t>
      </w:r>
      <w:r>
        <w:rPr>
          <w:rFonts w:ascii="標楷體" w:eastAsia="標楷體" w:hAnsi="標楷體" w:hint="eastAsia"/>
          <w:color w:val="000000"/>
          <w:spacing w:val="-2"/>
          <w:sz w:val="28"/>
          <w:szCs w:val="28"/>
        </w:rPr>
        <w:t>114</w:t>
      </w:r>
      <w:r w:rsidRPr="00E520D4">
        <w:rPr>
          <w:rFonts w:ascii="標楷體" w:eastAsia="標楷體" w:hAnsi="標楷體" w:hint="eastAsia"/>
          <w:color w:val="000000"/>
          <w:spacing w:val="-2"/>
          <w:sz w:val="28"/>
          <w:szCs w:val="28"/>
        </w:rPr>
        <w:t>億元，逾期欠費1</w:t>
      </w:r>
      <w:r>
        <w:rPr>
          <w:rFonts w:ascii="標楷體" w:eastAsia="標楷體" w:hAnsi="標楷體" w:hint="eastAsia"/>
          <w:color w:val="000000"/>
          <w:spacing w:val="-2"/>
          <w:sz w:val="28"/>
          <w:szCs w:val="28"/>
        </w:rPr>
        <w:t>28</w:t>
      </w:r>
      <w:r w:rsidRPr="00E520D4">
        <w:rPr>
          <w:rFonts w:ascii="標楷體" w:eastAsia="標楷體" w:hAnsi="標楷體" w:hint="eastAsia"/>
          <w:color w:val="000000"/>
          <w:spacing w:val="-2"/>
          <w:sz w:val="28"/>
          <w:szCs w:val="28"/>
        </w:rPr>
        <w:t>億元，全數為地方政府欠費，相關說明業於勞動部主管決算書中揭露。</w:t>
      </w:r>
    </w:p>
    <w:p w:rsidR="0091579C" w:rsidRPr="00E520D4" w:rsidRDefault="0091579C" w:rsidP="0091579C">
      <w:pPr>
        <w:pStyle w:val="7"/>
        <w:spacing w:line="500" w:lineRule="exact"/>
        <w:ind w:leftChars="24" w:left="993" w:hangingChars="334" w:hanging="935"/>
        <w:textAlignment w:val="auto"/>
        <w:rPr>
          <w:rFonts w:ascii="標楷體" w:eastAsia="標楷體" w:hAnsi="標楷體"/>
          <w:color w:val="000000"/>
          <w:sz w:val="28"/>
          <w:szCs w:val="28"/>
        </w:rPr>
      </w:pPr>
      <w:r w:rsidRPr="00E520D4">
        <w:rPr>
          <w:rFonts w:ascii="標楷體" w:eastAsia="標楷體" w:hAnsi="標楷體" w:hint="eastAsia"/>
          <w:color w:val="000000"/>
          <w:sz w:val="28"/>
          <w:szCs w:val="28"/>
        </w:rPr>
        <w:t>（三）退休公教人員優惠存款差額利息部分</w:t>
      </w:r>
    </w:p>
    <w:p w:rsidR="0091579C" w:rsidRPr="00E520D4" w:rsidRDefault="0091579C" w:rsidP="0091579C">
      <w:pPr>
        <w:pStyle w:val="7"/>
        <w:spacing w:line="500" w:lineRule="exact"/>
        <w:ind w:leftChars="350" w:left="1130" w:hangingChars="105" w:hanging="290"/>
        <w:textAlignment w:val="auto"/>
        <w:rPr>
          <w:rFonts w:ascii="標楷體" w:eastAsia="標楷體" w:hAnsi="標楷體"/>
          <w:color w:val="000000"/>
          <w:spacing w:val="-2"/>
          <w:sz w:val="28"/>
          <w:szCs w:val="28"/>
        </w:rPr>
      </w:pPr>
      <w:r w:rsidRPr="00E520D4">
        <w:rPr>
          <w:rFonts w:ascii="標楷體" w:eastAsia="標楷體" w:hAnsi="標楷體" w:hint="eastAsia"/>
          <w:color w:val="000000"/>
          <w:spacing w:val="-2"/>
          <w:sz w:val="28"/>
          <w:szCs w:val="28"/>
        </w:rPr>
        <w:t>1.</w:t>
      </w:r>
      <w:r w:rsidRPr="00E520D4">
        <w:rPr>
          <w:rFonts w:ascii="標楷體" w:eastAsia="標楷體" w:hAnsi="標楷體" w:hint="eastAsia"/>
          <w:color w:val="000000"/>
          <w:sz w:val="28"/>
          <w:szCs w:val="28"/>
        </w:rPr>
        <w:t>法令</w:t>
      </w:r>
      <w:r w:rsidRPr="00E520D4">
        <w:rPr>
          <w:rFonts w:ascii="標楷體" w:eastAsia="標楷體" w:hAnsi="標楷體" w:hint="eastAsia"/>
          <w:color w:val="000000"/>
          <w:spacing w:val="-2"/>
          <w:sz w:val="28"/>
          <w:szCs w:val="28"/>
        </w:rPr>
        <w:t>依據：退休公務人員一次退休金與養老給付優惠存款辦法、公立學校退休教職員一次退休金及養老給付優惠存款辦法。</w:t>
      </w:r>
    </w:p>
    <w:p w:rsidR="0091579C" w:rsidRPr="00E520D4" w:rsidRDefault="0091579C" w:rsidP="0091579C">
      <w:pPr>
        <w:pStyle w:val="7"/>
        <w:spacing w:line="500" w:lineRule="exact"/>
        <w:ind w:leftChars="350" w:left="1130" w:hangingChars="105" w:hanging="290"/>
        <w:textAlignment w:val="auto"/>
        <w:rPr>
          <w:rFonts w:ascii="標楷體" w:eastAsia="標楷體" w:hAnsi="標楷體"/>
          <w:color w:val="000000"/>
          <w:spacing w:val="-2"/>
          <w:sz w:val="28"/>
          <w:szCs w:val="28"/>
        </w:rPr>
      </w:pPr>
      <w:r w:rsidRPr="00E520D4">
        <w:rPr>
          <w:rFonts w:ascii="標楷體" w:eastAsia="標楷體" w:hAnsi="標楷體" w:hint="eastAsia"/>
          <w:color w:val="000000"/>
          <w:spacing w:val="-2"/>
          <w:sz w:val="28"/>
          <w:szCs w:val="28"/>
        </w:rPr>
        <w:t>2.依據臺灣銀行提供之資料，截至本年</w:t>
      </w:r>
      <w:r>
        <w:rPr>
          <w:rFonts w:ascii="標楷體" w:eastAsia="標楷體" w:hAnsi="標楷體" w:hint="eastAsia"/>
          <w:color w:val="000000"/>
          <w:spacing w:val="-2"/>
          <w:sz w:val="28"/>
          <w:szCs w:val="28"/>
        </w:rPr>
        <w:t>12月</w:t>
      </w:r>
      <w:r w:rsidRPr="00E520D4">
        <w:rPr>
          <w:rFonts w:ascii="標楷體" w:eastAsia="標楷體" w:hAnsi="標楷體" w:hint="eastAsia"/>
          <w:color w:val="000000"/>
          <w:spacing w:val="-2"/>
          <w:sz w:val="28"/>
          <w:szCs w:val="28"/>
        </w:rPr>
        <w:t>底，中央及地方政府待歸墊之優惠存款差額利息為65</w:t>
      </w:r>
      <w:r>
        <w:rPr>
          <w:rFonts w:ascii="標楷體" w:eastAsia="標楷體" w:hAnsi="標楷體" w:hint="eastAsia"/>
          <w:color w:val="000000"/>
          <w:spacing w:val="-2"/>
          <w:sz w:val="28"/>
          <w:szCs w:val="28"/>
        </w:rPr>
        <w:t>6</w:t>
      </w:r>
      <w:r w:rsidRPr="00E520D4">
        <w:rPr>
          <w:rFonts w:ascii="標楷體" w:eastAsia="標楷體" w:hAnsi="標楷體" w:hint="eastAsia"/>
          <w:color w:val="000000"/>
          <w:spacing w:val="-2"/>
          <w:sz w:val="28"/>
          <w:szCs w:val="28"/>
        </w:rPr>
        <w:t>億元，扣除尚未屆歸墊期限部分48</w:t>
      </w:r>
      <w:r>
        <w:rPr>
          <w:rFonts w:ascii="標楷體" w:eastAsia="標楷體" w:hAnsi="標楷體" w:hint="eastAsia"/>
          <w:color w:val="000000"/>
          <w:spacing w:val="-2"/>
          <w:sz w:val="28"/>
          <w:szCs w:val="28"/>
        </w:rPr>
        <w:t>9</w:t>
      </w:r>
      <w:r w:rsidRPr="00E520D4">
        <w:rPr>
          <w:rFonts w:ascii="標楷體" w:eastAsia="標楷體" w:hAnsi="標楷體" w:hint="eastAsia"/>
          <w:color w:val="000000"/>
          <w:spacing w:val="-2"/>
          <w:sz w:val="28"/>
          <w:szCs w:val="28"/>
        </w:rPr>
        <w:t>億元，逾期未歸墊數1</w:t>
      </w:r>
      <w:r>
        <w:rPr>
          <w:rFonts w:ascii="標楷體" w:eastAsia="標楷體" w:hAnsi="標楷體" w:hint="eastAsia"/>
          <w:color w:val="000000"/>
          <w:spacing w:val="-2"/>
          <w:sz w:val="28"/>
          <w:szCs w:val="28"/>
        </w:rPr>
        <w:t>67</w:t>
      </w:r>
      <w:r w:rsidRPr="00E520D4">
        <w:rPr>
          <w:rFonts w:ascii="標楷體" w:eastAsia="標楷體" w:hAnsi="標楷體" w:hint="eastAsia"/>
          <w:color w:val="000000"/>
          <w:spacing w:val="-2"/>
          <w:sz w:val="28"/>
          <w:szCs w:val="28"/>
        </w:rPr>
        <w:t>億元，全數為地方政府積欠款項，相關說明業於考試院主管決算書中揭露。</w:t>
      </w:r>
    </w:p>
    <w:p w:rsidR="0091579C" w:rsidRPr="00E520D4" w:rsidRDefault="0091579C" w:rsidP="0091579C">
      <w:pPr>
        <w:pStyle w:val="5"/>
        <w:spacing w:before="120" w:line="500" w:lineRule="exact"/>
        <w:ind w:left="0" w:firstLine="567"/>
        <w:rPr>
          <w:rFonts w:ascii="標楷體" w:eastAsia="標楷體" w:hAnsi="標楷體"/>
          <w:color w:val="000000"/>
          <w:sz w:val="28"/>
          <w:szCs w:val="28"/>
        </w:rPr>
      </w:pPr>
      <w:r w:rsidRPr="00E520D4">
        <w:rPr>
          <w:rFonts w:ascii="標楷體" w:eastAsia="標楷體" w:hAnsi="標楷體" w:hint="eastAsia"/>
          <w:color w:val="000000"/>
          <w:sz w:val="28"/>
          <w:szCs w:val="28"/>
        </w:rPr>
        <w:t>至外界關注非屬前揭中央政府未來或有給付責任事項，包括全國尚未取得之既成道路（市區道路部分）及公共設施保留地徵收補償，以及行政院公營事業民營化基金支應公營事業移轉民營未來所需支出給付精算現值等，說明如下：</w:t>
      </w:r>
    </w:p>
    <w:p w:rsidR="0091579C" w:rsidRPr="00E520D4" w:rsidRDefault="0091579C" w:rsidP="0091579C">
      <w:pPr>
        <w:pStyle w:val="14"/>
        <w:spacing w:line="500" w:lineRule="exact"/>
        <w:ind w:left="518" w:hangingChars="185" w:hanging="518"/>
        <w:rPr>
          <w:rFonts w:hAnsi="標楷體"/>
          <w:color w:val="000000"/>
          <w:szCs w:val="28"/>
        </w:rPr>
      </w:pPr>
      <w:r w:rsidRPr="00E520D4">
        <w:rPr>
          <w:rFonts w:hAnsi="標楷體" w:hint="eastAsia"/>
          <w:color w:val="000000"/>
          <w:szCs w:val="28"/>
        </w:rPr>
        <w:t>一、全國尚未取得之既成道路（市區道路部分）及公共設施保留地徵收補償</w:t>
      </w:r>
    </w:p>
    <w:p w:rsidR="0091579C" w:rsidRPr="00E520D4" w:rsidRDefault="0091579C" w:rsidP="0091579C">
      <w:pPr>
        <w:pStyle w:val="7"/>
        <w:spacing w:line="500" w:lineRule="exact"/>
        <w:ind w:leftChars="1" w:left="853" w:hangingChars="304" w:hanging="851"/>
        <w:textAlignment w:val="auto"/>
        <w:rPr>
          <w:rFonts w:ascii="標楷體" w:eastAsia="標楷體" w:hAnsi="標楷體"/>
          <w:color w:val="000000"/>
          <w:sz w:val="28"/>
          <w:szCs w:val="28"/>
        </w:rPr>
      </w:pPr>
      <w:r w:rsidRPr="00E520D4">
        <w:rPr>
          <w:rFonts w:ascii="標楷體" w:eastAsia="標楷體" w:hAnsi="標楷體" w:hint="eastAsia"/>
          <w:color w:val="000000"/>
          <w:sz w:val="28"/>
          <w:szCs w:val="28"/>
        </w:rPr>
        <w:t>（一）法令依據：土地法第14</w:t>
      </w:r>
      <w:r>
        <w:rPr>
          <w:rFonts w:ascii="標楷體" w:eastAsia="標楷體" w:hAnsi="標楷體" w:hint="eastAsia"/>
          <w:color w:val="000000"/>
          <w:sz w:val="28"/>
          <w:szCs w:val="28"/>
        </w:rPr>
        <w:t>條</w:t>
      </w:r>
      <w:r w:rsidRPr="00E520D4">
        <w:rPr>
          <w:rFonts w:ascii="標楷體" w:eastAsia="標楷體" w:hAnsi="標楷體" w:hint="eastAsia"/>
          <w:color w:val="000000"/>
          <w:sz w:val="28"/>
          <w:szCs w:val="28"/>
        </w:rPr>
        <w:t>、</w:t>
      </w:r>
      <w:r>
        <w:rPr>
          <w:rFonts w:ascii="標楷體" w:eastAsia="標楷體" w:hAnsi="標楷體" w:hint="eastAsia"/>
          <w:color w:val="000000"/>
          <w:sz w:val="28"/>
          <w:szCs w:val="28"/>
        </w:rPr>
        <w:t>第</w:t>
      </w:r>
      <w:r w:rsidRPr="00E520D4">
        <w:rPr>
          <w:rFonts w:ascii="標楷體" w:eastAsia="標楷體" w:hAnsi="標楷體" w:hint="eastAsia"/>
          <w:color w:val="000000"/>
          <w:sz w:val="28"/>
          <w:szCs w:val="28"/>
        </w:rPr>
        <w:t>208</w:t>
      </w:r>
      <w:r>
        <w:rPr>
          <w:rFonts w:ascii="標楷體" w:eastAsia="標楷體" w:hAnsi="標楷體" w:hint="eastAsia"/>
          <w:color w:val="000000"/>
          <w:sz w:val="28"/>
          <w:szCs w:val="28"/>
        </w:rPr>
        <w:t>條及第</w:t>
      </w:r>
      <w:r w:rsidRPr="00E520D4">
        <w:rPr>
          <w:rFonts w:ascii="標楷體" w:eastAsia="標楷體" w:hAnsi="標楷體" w:hint="eastAsia"/>
          <w:color w:val="000000"/>
          <w:sz w:val="28"/>
          <w:szCs w:val="28"/>
        </w:rPr>
        <w:t>209條</w:t>
      </w:r>
      <w:r>
        <w:rPr>
          <w:rFonts w:ascii="標楷體" w:eastAsia="標楷體" w:hAnsi="標楷體" w:hint="eastAsia"/>
          <w:color w:val="000000"/>
          <w:sz w:val="28"/>
          <w:szCs w:val="28"/>
        </w:rPr>
        <w:t>，</w:t>
      </w:r>
      <w:r w:rsidRPr="00E520D4">
        <w:rPr>
          <w:rFonts w:ascii="標楷體" w:eastAsia="標楷體" w:hAnsi="標楷體" w:hint="eastAsia"/>
          <w:color w:val="000000"/>
          <w:sz w:val="28"/>
          <w:szCs w:val="28"/>
        </w:rPr>
        <w:t>都市計畫法第48條</w:t>
      </w:r>
      <w:r>
        <w:rPr>
          <w:rFonts w:ascii="標楷體" w:eastAsia="標楷體" w:hAnsi="標楷體" w:hint="eastAsia"/>
          <w:color w:val="000000"/>
          <w:sz w:val="28"/>
          <w:szCs w:val="28"/>
        </w:rPr>
        <w:t>，</w:t>
      </w:r>
      <w:r w:rsidRPr="00E520D4">
        <w:rPr>
          <w:rFonts w:ascii="標楷體" w:eastAsia="標楷體" w:hAnsi="標楷體" w:hint="eastAsia"/>
          <w:color w:val="000000"/>
          <w:sz w:val="28"/>
          <w:szCs w:val="28"/>
        </w:rPr>
        <w:t>土地徵收條例第30條</w:t>
      </w:r>
      <w:r>
        <w:rPr>
          <w:rFonts w:ascii="標楷體" w:eastAsia="標楷體" w:hAnsi="標楷體" w:hint="eastAsia"/>
          <w:color w:val="000000"/>
          <w:sz w:val="28"/>
          <w:szCs w:val="28"/>
        </w:rPr>
        <w:t>，</w:t>
      </w:r>
      <w:r w:rsidRPr="00E520D4">
        <w:rPr>
          <w:rFonts w:ascii="標楷體" w:eastAsia="標楷體" w:hAnsi="標楷體" w:hint="eastAsia"/>
          <w:color w:val="000000"/>
          <w:sz w:val="28"/>
          <w:szCs w:val="28"/>
        </w:rPr>
        <w:t>地方制度法第18</w:t>
      </w:r>
      <w:r>
        <w:rPr>
          <w:rFonts w:ascii="標楷體" w:eastAsia="標楷體" w:hAnsi="標楷體" w:hint="eastAsia"/>
          <w:color w:val="000000"/>
          <w:sz w:val="28"/>
          <w:szCs w:val="28"/>
        </w:rPr>
        <w:t>條</w:t>
      </w:r>
      <w:r w:rsidRPr="00E520D4">
        <w:rPr>
          <w:rFonts w:ascii="標楷體" w:eastAsia="標楷體" w:hAnsi="標楷體" w:hint="eastAsia"/>
          <w:color w:val="000000"/>
          <w:sz w:val="28"/>
          <w:szCs w:val="28"/>
        </w:rPr>
        <w:t>、</w:t>
      </w:r>
      <w:r>
        <w:rPr>
          <w:rFonts w:ascii="標楷體" w:eastAsia="標楷體" w:hAnsi="標楷體" w:hint="eastAsia"/>
          <w:color w:val="000000"/>
          <w:sz w:val="28"/>
          <w:szCs w:val="28"/>
        </w:rPr>
        <w:t>第</w:t>
      </w:r>
      <w:r w:rsidRPr="00E520D4">
        <w:rPr>
          <w:rFonts w:ascii="標楷體" w:eastAsia="標楷體" w:hAnsi="標楷體" w:hint="eastAsia"/>
          <w:color w:val="000000"/>
          <w:sz w:val="28"/>
          <w:szCs w:val="28"/>
        </w:rPr>
        <w:t>19條及司法院大法官會議第336號、第400號解釋。</w:t>
      </w:r>
    </w:p>
    <w:p w:rsidR="0091579C" w:rsidRPr="00E520D4" w:rsidRDefault="0091579C" w:rsidP="0091579C">
      <w:pPr>
        <w:pStyle w:val="7"/>
        <w:spacing w:line="500" w:lineRule="exact"/>
        <w:ind w:leftChars="1" w:left="853" w:hangingChars="304" w:hanging="851"/>
        <w:textAlignment w:val="auto"/>
        <w:rPr>
          <w:rFonts w:ascii="標楷體" w:eastAsia="標楷體" w:hAnsi="標楷體"/>
          <w:color w:val="000000"/>
          <w:sz w:val="28"/>
          <w:szCs w:val="28"/>
        </w:rPr>
      </w:pPr>
      <w:r w:rsidRPr="00E520D4">
        <w:rPr>
          <w:rFonts w:ascii="標楷體" w:eastAsia="標楷體" w:hAnsi="標楷體" w:hint="eastAsia"/>
          <w:color w:val="000000"/>
          <w:sz w:val="28"/>
          <w:szCs w:val="28"/>
        </w:rPr>
        <w:t>（二）據內政部統計，截至本年</w:t>
      </w:r>
      <w:r>
        <w:rPr>
          <w:rFonts w:ascii="標楷體" w:eastAsia="標楷體" w:hAnsi="標楷體" w:hint="eastAsia"/>
          <w:color w:val="000000"/>
          <w:sz w:val="28"/>
          <w:szCs w:val="28"/>
        </w:rPr>
        <w:t>12月</w:t>
      </w:r>
      <w:r w:rsidRPr="00E520D4">
        <w:rPr>
          <w:rFonts w:ascii="標楷體" w:eastAsia="標楷體" w:hAnsi="標楷體" w:hint="eastAsia"/>
          <w:color w:val="000000"/>
          <w:sz w:val="28"/>
          <w:szCs w:val="28"/>
        </w:rPr>
        <w:t>底，都市計畫既成道路尚未取得面積約</w:t>
      </w:r>
      <w:smartTag w:uri="urn:schemas-microsoft-com:office:smarttags" w:element="chmetcnv">
        <w:smartTagPr>
          <w:attr w:name="TCSC" w:val="1"/>
          <w:attr w:name="NumberType" w:val="1"/>
          <w:attr w:name="Negative" w:val="False"/>
          <w:attr w:name="HasSpace" w:val="False"/>
          <w:attr w:name="SourceValue" w:val="5700"/>
          <w:attr w:name="UnitName" w:val="公頃"/>
        </w:smartTagPr>
        <w:r w:rsidRPr="00E520D4">
          <w:rPr>
            <w:rFonts w:ascii="標楷體" w:eastAsia="標楷體" w:hAnsi="標楷體" w:hint="eastAsia"/>
            <w:color w:val="000000"/>
            <w:sz w:val="28"/>
            <w:szCs w:val="28"/>
          </w:rPr>
          <w:t>5千7百公頃</w:t>
        </w:r>
      </w:smartTag>
      <w:r w:rsidRPr="00E520D4">
        <w:rPr>
          <w:rFonts w:ascii="標楷體" w:eastAsia="標楷體" w:hAnsi="標楷體" w:hint="eastAsia"/>
          <w:color w:val="000000"/>
          <w:sz w:val="28"/>
          <w:szCs w:val="28"/>
        </w:rPr>
        <w:t>，如全部以徵收方式取得，所需徵收經費約3兆元；另各</w:t>
      </w:r>
      <w:r>
        <w:rPr>
          <w:rFonts w:ascii="標楷體" w:eastAsia="標楷體" w:hAnsi="標楷體" w:hint="eastAsia"/>
          <w:color w:val="000000"/>
          <w:sz w:val="28"/>
          <w:szCs w:val="28"/>
        </w:rPr>
        <w:t>直轄市及</w:t>
      </w:r>
      <w:r w:rsidRPr="00E520D4">
        <w:rPr>
          <w:rFonts w:ascii="標楷體" w:eastAsia="標楷體" w:hAnsi="標楷體" w:hint="eastAsia"/>
          <w:color w:val="000000"/>
          <w:sz w:val="28"/>
          <w:szCs w:val="28"/>
        </w:rPr>
        <w:t>縣</w:t>
      </w:r>
      <w:r>
        <w:rPr>
          <w:rFonts w:ascii="標楷體" w:eastAsia="標楷體" w:hAnsi="標楷體" w:hint="eastAsia"/>
          <w:color w:val="000000"/>
          <w:sz w:val="28"/>
          <w:szCs w:val="28"/>
        </w:rPr>
        <w:t>（</w:t>
      </w:r>
      <w:r w:rsidRPr="00E520D4">
        <w:rPr>
          <w:rFonts w:ascii="標楷體" w:eastAsia="標楷體" w:hAnsi="標楷體" w:hint="eastAsia"/>
          <w:color w:val="000000"/>
          <w:sz w:val="28"/>
          <w:szCs w:val="28"/>
        </w:rPr>
        <w:t>市</w:t>
      </w:r>
      <w:r>
        <w:rPr>
          <w:rFonts w:ascii="標楷體" w:eastAsia="標楷體" w:hAnsi="標楷體" w:hint="eastAsia"/>
          <w:color w:val="000000"/>
          <w:sz w:val="28"/>
          <w:szCs w:val="28"/>
        </w:rPr>
        <w:t>）</w:t>
      </w:r>
      <w:r w:rsidRPr="00E520D4">
        <w:rPr>
          <w:rFonts w:ascii="標楷體" w:eastAsia="標楷體" w:hAnsi="標楷體" w:hint="eastAsia"/>
          <w:color w:val="000000"/>
          <w:sz w:val="28"/>
          <w:szCs w:val="28"/>
        </w:rPr>
        <w:t>待取得都市計畫公共設施保留地面積約2萬</w:t>
      </w:r>
      <w:r>
        <w:rPr>
          <w:rFonts w:ascii="標楷體" w:eastAsia="標楷體" w:hAnsi="標楷體" w:hint="eastAsia"/>
          <w:color w:val="000000"/>
          <w:sz w:val="28"/>
          <w:szCs w:val="28"/>
        </w:rPr>
        <w:t>6</w:t>
      </w:r>
      <w:r w:rsidRPr="00E520D4">
        <w:rPr>
          <w:rFonts w:ascii="標楷體" w:eastAsia="標楷體" w:hAnsi="標楷體" w:hint="eastAsia"/>
          <w:color w:val="000000"/>
          <w:sz w:val="28"/>
          <w:szCs w:val="28"/>
        </w:rPr>
        <w:t>千公頃，以公告現值估約6兆元，因該等用地除可以徵收方式辦理外，尚可由競標收購或檢討變更使用等地政方法解決，係屬政府未來應辦事項，非屬過去義務，且依現行法令規定該等用地之取得屬地方政府權責，中央政府係基於協助之立場，在財政許可狀況下酌予補助辦理</w:t>
      </w:r>
      <w:r>
        <w:rPr>
          <w:rFonts w:ascii="標楷體" w:eastAsia="標楷體" w:hAnsi="標楷體" w:hint="eastAsia"/>
          <w:color w:val="000000"/>
          <w:sz w:val="28"/>
          <w:szCs w:val="28"/>
        </w:rPr>
        <w:t>。</w:t>
      </w:r>
      <w:r w:rsidRPr="00E520D4">
        <w:rPr>
          <w:rFonts w:ascii="標楷體" w:eastAsia="標楷體" w:hAnsi="標楷體" w:hint="eastAsia"/>
          <w:color w:val="000000"/>
          <w:spacing w:val="-2"/>
          <w:sz w:val="28"/>
          <w:szCs w:val="28"/>
        </w:rPr>
        <w:t>考量其所有權目前仍屬於民眾，未來倘確需由政府編列預算辦理收購或徵收，政府亦可相對取得同額資產，不致產生減損情形，相關說明業於</w:t>
      </w:r>
      <w:r w:rsidRPr="00E520D4">
        <w:rPr>
          <w:rFonts w:ascii="標楷體" w:eastAsia="標楷體" w:hAnsi="標楷體" w:hint="eastAsia"/>
          <w:color w:val="000000"/>
          <w:spacing w:val="-2"/>
          <w:sz w:val="28"/>
          <w:szCs w:val="28"/>
        </w:rPr>
        <w:lastRenderedPageBreak/>
        <w:t>內政部主管決算書中揭露</w:t>
      </w:r>
      <w:r w:rsidRPr="00E520D4">
        <w:rPr>
          <w:rFonts w:ascii="標楷體" w:eastAsia="標楷體" w:hAnsi="標楷體" w:hint="eastAsia"/>
          <w:color w:val="000000"/>
          <w:sz w:val="28"/>
          <w:szCs w:val="28"/>
        </w:rPr>
        <w:t>。</w:t>
      </w:r>
    </w:p>
    <w:p w:rsidR="0091579C" w:rsidRPr="00E520D4" w:rsidRDefault="0091579C" w:rsidP="0091579C">
      <w:pPr>
        <w:pStyle w:val="14"/>
        <w:spacing w:line="500" w:lineRule="exact"/>
        <w:ind w:left="518" w:hangingChars="185" w:hanging="518"/>
        <w:rPr>
          <w:rFonts w:hAnsi="標楷體"/>
          <w:color w:val="000000"/>
          <w:szCs w:val="28"/>
        </w:rPr>
      </w:pPr>
      <w:r w:rsidRPr="00E520D4">
        <w:rPr>
          <w:rFonts w:hAnsi="標楷體" w:hint="eastAsia"/>
          <w:color w:val="000000"/>
          <w:szCs w:val="28"/>
        </w:rPr>
        <w:t>二、行政院公營事業民營化基金支應公營事業移轉民營未來所需支出給付精算現值</w:t>
      </w:r>
    </w:p>
    <w:p w:rsidR="0091579C" w:rsidRPr="00E520D4" w:rsidRDefault="0091579C" w:rsidP="0091579C">
      <w:pPr>
        <w:pStyle w:val="7"/>
        <w:spacing w:line="500" w:lineRule="exact"/>
        <w:ind w:left="854" w:hangingChars="305" w:hanging="854"/>
        <w:textAlignment w:val="auto"/>
        <w:rPr>
          <w:rFonts w:ascii="標楷體" w:eastAsia="標楷體" w:hAnsi="標楷體"/>
          <w:color w:val="000000"/>
          <w:sz w:val="28"/>
          <w:szCs w:val="28"/>
        </w:rPr>
      </w:pPr>
      <w:r w:rsidRPr="00E520D4">
        <w:rPr>
          <w:rFonts w:ascii="標楷體" w:eastAsia="標楷體" w:hAnsi="標楷體" w:hint="eastAsia"/>
          <w:color w:val="000000"/>
          <w:sz w:val="28"/>
          <w:szCs w:val="28"/>
        </w:rPr>
        <w:t>（一）</w:t>
      </w:r>
      <w:r>
        <w:rPr>
          <w:rFonts w:ascii="標楷體" w:eastAsia="標楷體" w:hAnsi="標楷體" w:hint="eastAsia"/>
          <w:color w:val="000000"/>
          <w:sz w:val="28"/>
          <w:szCs w:val="28"/>
        </w:rPr>
        <w:t xml:space="preserve"> </w:t>
      </w:r>
      <w:r w:rsidRPr="00E520D4">
        <w:rPr>
          <w:rFonts w:ascii="標楷體" w:eastAsia="標楷體" w:hAnsi="標楷體" w:hint="eastAsia"/>
          <w:color w:val="000000"/>
          <w:sz w:val="28"/>
          <w:szCs w:val="28"/>
        </w:rPr>
        <w:t>法令依據：公營事業移轉民營條例第15條及其施行細則第28條之1、交通部郵電事業人員退休撫卹條例第20條。</w:t>
      </w:r>
    </w:p>
    <w:p w:rsidR="00EE367C" w:rsidRPr="0091579C" w:rsidRDefault="0091579C" w:rsidP="0091579C">
      <w:pPr>
        <w:pStyle w:val="7"/>
        <w:spacing w:line="500" w:lineRule="exact"/>
        <w:ind w:leftChars="1" w:left="853" w:hangingChars="304" w:hanging="851"/>
        <w:textAlignment w:val="auto"/>
        <w:rPr>
          <w:rFonts w:ascii="標楷體" w:eastAsia="標楷體" w:hAnsi="標楷體"/>
          <w:sz w:val="36"/>
          <w:szCs w:val="36"/>
        </w:rPr>
      </w:pPr>
      <w:r w:rsidRPr="00E520D4">
        <w:rPr>
          <w:rFonts w:ascii="標楷體" w:eastAsia="標楷體" w:hAnsi="標楷體" w:hint="eastAsia"/>
          <w:color w:val="000000"/>
          <w:sz w:val="28"/>
          <w:szCs w:val="28"/>
        </w:rPr>
        <w:t>（二）</w:t>
      </w:r>
      <w:r w:rsidRPr="00C87CE5">
        <w:rPr>
          <w:rFonts w:ascii="標楷體" w:eastAsia="標楷體" w:hAnsi="標楷體" w:hint="eastAsia"/>
          <w:color w:val="000000"/>
          <w:sz w:val="28"/>
          <w:szCs w:val="28"/>
        </w:rPr>
        <w:t>依據財政部彙整各事業主管機關精算報告，以105年12月31日為基準日，未來30年政府負擔民營化所需支出給付精算現值為1,374億元，本項法定義務負擔係由行政院公營事業民營化基金逐年編列預算支應，中央政府視其財務狀況適時編列預算撥補之，目前尚未有積欠情事</w:t>
      </w:r>
      <w:r w:rsidRPr="0091579C">
        <w:rPr>
          <w:rFonts w:ascii="標楷體" w:eastAsia="標楷體" w:hAnsi="標楷體" w:hint="eastAsia"/>
          <w:color w:val="000000"/>
          <w:sz w:val="28"/>
          <w:szCs w:val="28"/>
        </w:rPr>
        <w:t>，相關說明業於</w:t>
      </w:r>
      <w:r w:rsidRPr="00C87CE5">
        <w:rPr>
          <w:rFonts w:ascii="標楷體" w:eastAsia="標楷體" w:hAnsi="標楷體" w:hint="eastAsia"/>
          <w:color w:val="000000"/>
          <w:spacing w:val="-2"/>
          <w:sz w:val="28"/>
          <w:szCs w:val="28"/>
        </w:rPr>
        <w:t>財政部主管決算書中揭露</w:t>
      </w:r>
      <w:r w:rsidRPr="00C87CE5">
        <w:rPr>
          <w:rFonts w:ascii="標楷體" w:eastAsia="標楷體" w:hAnsi="標楷體" w:hint="eastAsia"/>
          <w:color w:val="000000"/>
          <w:sz w:val="28"/>
          <w:szCs w:val="28"/>
        </w:rPr>
        <w:t>。</w:t>
      </w:r>
    </w:p>
    <w:p w:rsidR="0091579C" w:rsidRDefault="0091579C">
      <w:pPr>
        <w:widowControl/>
        <w:adjustRightInd/>
        <w:spacing w:line="240" w:lineRule="auto"/>
        <w:textAlignment w:val="auto"/>
        <w:rPr>
          <w:rFonts w:ascii="標楷體" w:eastAsia="標楷體" w:hAnsi="標楷體"/>
          <w:color w:val="000000"/>
          <w:sz w:val="40"/>
        </w:rPr>
      </w:pPr>
      <w:r>
        <w:rPr>
          <w:rFonts w:ascii="標楷體" w:eastAsia="標楷體" w:hAnsi="標楷體"/>
          <w:color w:val="000000"/>
          <w:sz w:val="40"/>
        </w:rPr>
        <w:br w:type="page"/>
      </w:r>
    </w:p>
    <w:p w:rsidR="005731DE" w:rsidRPr="005731DE" w:rsidRDefault="005731DE" w:rsidP="005731DE">
      <w:pPr>
        <w:spacing w:before="600" w:after="240" w:line="600" w:lineRule="exact"/>
        <w:jc w:val="both"/>
        <w:rPr>
          <w:rFonts w:ascii="標楷體" w:eastAsia="標楷體" w:hAnsi="標楷體"/>
          <w:color w:val="000000"/>
          <w:sz w:val="40"/>
        </w:rPr>
      </w:pPr>
      <w:r w:rsidRPr="005731DE">
        <w:rPr>
          <w:rFonts w:ascii="標楷體" w:eastAsia="標楷體" w:hAnsi="標楷體" w:hint="eastAsia"/>
          <w:color w:val="000000"/>
          <w:sz w:val="40"/>
        </w:rPr>
        <w:lastRenderedPageBreak/>
        <w:t>參、重要施政計畫執行成果之說明</w:t>
      </w:r>
    </w:p>
    <w:p w:rsidR="005A2AA4" w:rsidRPr="006F69B9" w:rsidRDefault="005A2AA4" w:rsidP="005A2AA4">
      <w:pPr>
        <w:pStyle w:val="20"/>
        <w:snapToGrid w:val="0"/>
        <w:spacing w:line="500" w:lineRule="exact"/>
        <w:ind w:firstLine="567"/>
        <w:rPr>
          <w:rFonts w:ascii="標楷體" w:eastAsia="標楷體" w:hAnsi="標楷體"/>
          <w:spacing w:val="-4"/>
          <w:sz w:val="28"/>
        </w:rPr>
      </w:pPr>
      <w:r w:rsidRPr="006F69B9">
        <w:rPr>
          <w:rFonts w:ascii="標楷體" w:eastAsia="標楷體" w:hAnsi="標楷體" w:hint="eastAsia"/>
          <w:sz w:val="28"/>
        </w:rPr>
        <w:t>本年</w:t>
      </w:r>
      <w:r w:rsidRPr="006F69B9">
        <w:rPr>
          <w:rFonts w:ascii="標楷體" w:eastAsia="標楷體" w:hAnsi="標楷體" w:hint="eastAsia"/>
          <w:spacing w:val="-4"/>
          <w:sz w:val="28"/>
        </w:rPr>
        <w:t>度政府施政，係以積極落實「加速產業體質升級，創新驅動新經濟」、「健全社會安定網絡，實踐公義新社會」、「提升公共建設品質，永續發展新環境」、「強化政府管理效能，區域均衡新活力」、「厚植教育文化內涵，多元族群新平等」及「鞏固國家安全力量，國際兩岸新空間」等六個施政重點，全面持續推動國家建設與發展，透過各機關年度施政計畫之執行予以落實。</w:t>
      </w:r>
    </w:p>
    <w:p w:rsidR="005A2AA4" w:rsidRPr="006F69B9" w:rsidRDefault="005A2AA4" w:rsidP="005A2AA4">
      <w:pPr>
        <w:pStyle w:val="20"/>
        <w:snapToGrid w:val="0"/>
        <w:spacing w:line="500" w:lineRule="exact"/>
        <w:ind w:firstLine="567"/>
        <w:rPr>
          <w:rFonts w:ascii="標楷體" w:eastAsia="標楷體" w:hAnsi="標楷體"/>
          <w:spacing w:val="-4"/>
          <w:sz w:val="28"/>
        </w:rPr>
      </w:pPr>
      <w:r w:rsidRPr="006F69B9">
        <w:rPr>
          <w:rFonts w:ascii="標楷體" w:eastAsia="標楷體" w:hAnsi="標楷體" w:hint="eastAsia"/>
          <w:spacing w:val="-4"/>
          <w:sz w:val="28"/>
        </w:rPr>
        <w:t>茲就政府各類政事推展績效，擇要略述如下：</w:t>
      </w:r>
    </w:p>
    <w:p w:rsidR="005A2AA4" w:rsidRPr="006F69B9" w:rsidRDefault="005A2AA4" w:rsidP="005A2AA4">
      <w:pPr>
        <w:pStyle w:val="1"/>
        <w:spacing w:before="360" w:line="500" w:lineRule="exact"/>
        <w:rPr>
          <w:rFonts w:ascii="標楷體" w:eastAsia="標楷體" w:hAnsi="標楷體"/>
        </w:rPr>
      </w:pPr>
      <w:r w:rsidRPr="006F69B9">
        <w:rPr>
          <w:rFonts w:ascii="標楷體" w:eastAsia="標楷體" w:hAnsi="標楷體" w:hint="eastAsia"/>
        </w:rPr>
        <w:t>一、關於內政方面</w:t>
      </w:r>
    </w:p>
    <w:p w:rsidR="005A2AA4" w:rsidRPr="006F69B9" w:rsidRDefault="005A2AA4" w:rsidP="005A2AA4">
      <w:pPr>
        <w:pStyle w:val="13"/>
        <w:snapToGrid w:val="0"/>
        <w:spacing w:line="500" w:lineRule="exact"/>
        <w:ind w:left="0" w:firstLine="600"/>
        <w:rPr>
          <w:rFonts w:hAnsi="標楷體"/>
        </w:rPr>
      </w:pPr>
      <w:r w:rsidRPr="006F69B9">
        <w:rPr>
          <w:rFonts w:hAnsi="標楷體" w:hint="eastAsia"/>
        </w:rPr>
        <w:t>本年度內政施政重點，為健全土地登記及地籍清理制度，促進土地合理有效利用；強化社會安全網，確保社會安定；健全國土規劃，落實國土永續發展；促進民眾參與，活絡公民社會發展等。一年來施政所獲成效如下：</w:t>
      </w:r>
    </w:p>
    <w:p w:rsidR="005A2AA4" w:rsidRPr="006F69B9" w:rsidRDefault="005A2AA4" w:rsidP="005A2AA4">
      <w:pPr>
        <w:pStyle w:val="14"/>
        <w:numPr>
          <w:ilvl w:val="0"/>
          <w:numId w:val="20"/>
        </w:numPr>
        <w:snapToGrid w:val="0"/>
        <w:spacing w:line="500" w:lineRule="exact"/>
        <w:rPr>
          <w:rFonts w:hAnsi="標楷體"/>
        </w:rPr>
      </w:pPr>
      <w:r w:rsidRPr="006F69B9">
        <w:rPr>
          <w:rFonts w:hAnsi="標楷體" w:hint="eastAsia"/>
        </w:rPr>
        <w:t>辦理地籍釐整，提供時態地籍圖資料加值應用：辦理5個直轄市及10個縣市地籍圖破損誤謬嚴重地區之地籍圖重測，面積1萬9,600公頃，筆數12萬餘筆，以維護人民權益；免費提供地籍資料計40 機關次，累計提供地籍資料1億5,325萬餘筆；提供加值地籍圖資料網路服務，申請介接使用計19個機關次，有效降低需求機關申請運用實體圖資成本。</w:t>
      </w:r>
    </w:p>
    <w:p w:rsidR="005A2AA4" w:rsidRPr="006F69B9" w:rsidRDefault="005A2AA4" w:rsidP="005A2AA4">
      <w:pPr>
        <w:pStyle w:val="14"/>
        <w:numPr>
          <w:ilvl w:val="0"/>
          <w:numId w:val="20"/>
        </w:numPr>
        <w:snapToGrid w:val="0"/>
        <w:spacing w:line="500" w:lineRule="exact"/>
        <w:rPr>
          <w:rFonts w:hAnsi="標楷體"/>
        </w:rPr>
      </w:pPr>
      <w:r w:rsidRPr="006F69B9">
        <w:rPr>
          <w:rFonts w:hAnsi="標楷體" w:hint="eastAsia"/>
        </w:rPr>
        <w:t>精進毒品犯罪查緝，提升緝毒與反毒工作成效：警察機關與海巡機關或海關加強協調聯繫，積極蒐集不法情資、整合查緝資源，以即時攔阻毒品，避免國人遭受毒害，本年度查獲毒品犯罪5萬餘件、6萬餘人、1萬餘公斤，分別較上年度增加7.42％、8.89％、154.99％。</w:t>
      </w:r>
      <w:r w:rsidRPr="006F69B9">
        <w:rPr>
          <w:rFonts w:hAnsi="標楷體"/>
        </w:rPr>
        <w:t xml:space="preserve"> </w:t>
      </w:r>
    </w:p>
    <w:p w:rsidR="005A2AA4" w:rsidRPr="006F69B9" w:rsidRDefault="005A2AA4" w:rsidP="005A2AA4">
      <w:pPr>
        <w:pStyle w:val="14"/>
        <w:numPr>
          <w:ilvl w:val="0"/>
          <w:numId w:val="20"/>
        </w:numPr>
        <w:snapToGrid w:val="0"/>
        <w:spacing w:line="500" w:lineRule="exact"/>
        <w:rPr>
          <w:rFonts w:hAnsi="標楷體"/>
        </w:rPr>
      </w:pPr>
      <w:r w:rsidRPr="006F69B9">
        <w:rPr>
          <w:rFonts w:hAnsi="標楷體" w:hint="eastAsia"/>
        </w:rPr>
        <w:t>積極維護濕地生態，加強國土資源保育：推動濕地保育法，公告淡水河流域、馬太鞍、桃園埤圳、鹽水溪口及夢幻湖等5 處重要濕地保育利用計畫，維護生物多樣性，促進濕地生態保育，以確保重要濕地零淨損失。</w:t>
      </w:r>
    </w:p>
    <w:p w:rsidR="005A2AA4" w:rsidRPr="006F69B9" w:rsidRDefault="005A2AA4" w:rsidP="005A2AA4">
      <w:pPr>
        <w:pStyle w:val="14"/>
        <w:numPr>
          <w:ilvl w:val="0"/>
          <w:numId w:val="20"/>
        </w:numPr>
        <w:snapToGrid w:val="0"/>
        <w:spacing w:line="500" w:lineRule="exact"/>
        <w:rPr>
          <w:rFonts w:hAnsi="標楷體"/>
        </w:rPr>
      </w:pPr>
      <w:r w:rsidRPr="006F69B9">
        <w:rPr>
          <w:rFonts w:hAnsi="標楷體" w:hint="eastAsia"/>
        </w:rPr>
        <w:t>改進公民參政相關法制，確保民主政治參與：配合公職人員選舉罷免</w:t>
      </w:r>
      <w:r w:rsidRPr="006F69B9">
        <w:rPr>
          <w:rFonts w:hAnsi="標楷體" w:hint="eastAsia"/>
        </w:rPr>
        <w:lastRenderedPageBreak/>
        <w:t>法罷免規定之修正，修正「公職人員選舉罷免法施行細則」部分條文；完備政治獻金法制，研擬「政治獻金法」部分修正條文；公布施行「政黨法」，確保政黨組織及運作符合民主原則。</w:t>
      </w:r>
    </w:p>
    <w:p w:rsidR="005A2AA4" w:rsidRPr="006F69B9" w:rsidRDefault="005A2AA4" w:rsidP="005A2AA4">
      <w:pPr>
        <w:pStyle w:val="1"/>
        <w:spacing w:before="360" w:line="500" w:lineRule="exact"/>
        <w:rPr>
          <w:rFonts w:ascii="標楷體" w:eastAsia="標楷體" w:hAnsi="標楷體"/>
        </w:rPr>
      </w:pPr>
      <w:r w:rsidRPr="006F69B9">
        <w:rPr>
          <w:rFonts w:ascii="標楷體" w:eastAsia="標楷體" w:hAnsi="標楷體" w:hint="eastAsia"/>
        </w:rPr>
        <w:t>二、關於外交方面</w:t>
      </w:r>
    </w:p>
    <w:p w:rsidR="005A2AA4" w:rsidRPr="006F69B9" w:rsidRDefault="005A2AA4" w:rsidP="005A2AA4">
      <w:pPr>
        <w:pStyle w:val="14"/>
        <w:snapToGrid w:val="0"/>
        <w:spacing w:line="500" w:lineRule="exact"/>
        <w:ind w:left="0" w:firstLineChars="200" w:firstLine="560"/>
        <w:rPr>
          <w:rFonts w:hAnsi="標楷體"/>
        </w:rPr>
      </w:pPr>
      <w:r w:rsidRPr="006F69B9">
        <w:rPr>
          <w:rFonts w:hAnsi="標楷體" w:hint="eastAsia"/>
        </w:rPr>
        <w:t>本年度外交施政重點，為積極推動踏實外交，深化我與邦交國關係；推動與友邦合作，提升與無邦交國家實質關係；推動以人為本之新南向政策，</w:t>
      </w:r>
      <w:r>
        <w:rPr>
          <w:rFonts w:hAnsi="標楷體" w:hint="eastAsia"/>
        </w:rPr>
        <w:t>增進臺灣在新興領域之重要性</w:t>
      </w:r>
      <w:r w:rsidRPr="006F69B9">
        <w:rPr>
          <w:rFonts w:hAnsi="標楷體" w:hint="eastAsia"/>
        </w:rPr>
        <w:t>；有效執行駐外館處保僑護僑的領務職能，</w:t>
      </w:r>
      <w:r>
        <w:rPr>
          <w:rFonts w:hAnsi="標楷體" w:hint="eastAsia"/>
        </w:rPr>
        <w:t>加強</w:t>
      </w:r>
      <w:r w:rsidRPr="006F69B9">
        <w:rPr>
          <w:rFonts w:hAnsi="標楷體" w:hint="eastAsia"/>
        </w:rPr>
        <w:t>旅外國人服務之效率及品質等。一年來施政所獲成效如下：</w:t>
      </w:r>
    </w:p>
    <w:p w:rsidR="005A2AA4" w:rsidRPr="006F69B9" w:rsidRDefault="005A2AA4" w:rsidP="005A2AA4">
      <w:pPr>
        <w:pStyle w:val="14"/>
        <w:numPr>
          <w:ilvl w:val="0"/>
          <w:numId w:val="5"/>
        </w:numPr>
        <w:snapToGrid w:val="0"/>
        <w:spacing w:line="500" w:lineRule="exact"/>
        <w:rPr>
          <w:rFonts w:hAnsi="標楷體"/>
        </w:rPr>
      </w:pPr>
      <w:r w:rsidRPr="006F69B9">
        <w:rPr>
          <w:rFonts w:hAnsi="標楷體" w:hint="eastAsia"/>
          <w:szCs w:val="24"/>
        </w:rPr>
        <w:t>持續推動與友邦互訪與各項交流，深化鞏固與友邦政要情誼：蔡總統率團訪問宏都拉斯、瓜地馬拉、薩爾瓦多、馬紹爾群島共和國、吐瓦魯國及索羅門群島等友邦；總統特使出席帛琉共和國總統、海地總統就職典禮；多位友邦元首及高層政要亦分別率團來訪，對促進邦誼甚有助益。</w:t>
      </w:r>
    </w:p>
    <w:p w:rsidR="005A2AA4" w:rsidRPr="006F69B9" w:rsidRDefault="005A2AA4" w:rsidP="005A2AA4">
      <w:pPr>
        <w:pStyle w:val="14"/>
        <w:numPr>
          <w:ilvl w:val="0"/>
          <w:numId w:val="5"/>
        </w:numPr>
        <w:snapToGrid w:val="0"/>
        <w:spacing w:line="500" w:lineRule="exact"/>
        <w:rPr>
          <w:rFonts w:hAnsi="標楷體"/>
          <w:szCs w:val="24"/>
        </w:rPr>
      </w:pPr>
      <w:r w:rsidRPr="006F69B9">
        <w:rPr>
          <w:rFonts w:hAnsi="標楷體" w:hint="eastAsia"/>
          <w:szCs w:val="24"/>
        </w:rPr>
        <w:t xml:space="preserve">以互惠互助原則推動社福合作計畫，落實友邦經社發展需要：依友邦政府施政優先需要，推動雙邊及多邊之社福合作計畫，內容涵蓋基礎設施、醫療衛生、兒童照護、職業訓練、社區發展、農漁業等領域之建設與發展，成功協助友邦促進社會發展，提升民眾生活品質，獲友邦政府及人民肯定。 </w:t>
      </w:r>
    </w:p>
    <w:p w:rsidR="005A2AA4" w:rsidRPr="006F69B9" w:rsidRDefault="005A2AA4" w:rsidP="005A2AA4">
      <w:pPr>
        <w:pStyle w:val="14"/>
        <w:numPr>
          <w:ilvl w:val="0"/>
          <w:numId w:val="5"/>
        </w:numPr>
        <w:snapToGrid w:val="0"/>
        <w:spacing w:line="500" w:lineRule="exact"/>
        <w:rPr>
          <w:rFonts w:hAnsi="標楷體"/>
        </w:rPr>
      </w:pPr>
      <w:r w:rsidRPr="006F69B9">
        <w:rPr>
          <w:rFonts w:hAnsi="標楷體" w:hint="eastAsia"/>
        </w:rPr>
        <w:t>積極推動新南向政策，強化與東協及南亞雙向交流活動：開展多層次及全方位的對話協商，深化我與區域鄰近國家間區域鏈結；籌辦首屆「玉山論壇」，促進與新南向國家之經濟及社會連結；擴大簽證便利措施，大幅提升目標國家旅客來臺次數；增進我與東南亞國家實質合作關係</w:t>
      </w:r>
      <w:r>
        <w:rPr>
          <w:rFonts w:hAnsi="標楷體" w:hint="eastAsia"/>
        </w:rPr>
        <w:t>，</w:t>
      </w:r>
      <w:r w:rsidRPr="006F69B9">
        <w:rPr>
          <w:rFonts w:hAnsi="標楷體" w:hint="eastAsia"/>
        </w:rPr>
        <w:t>並協助東南亞國家培訓當地文官。</w:t>
      </w:r>
    </w:p>
    <w:p w:rsidR="005A2AA4" w:rsidRPr="006F69B9" w:rsidRDefault="005A2AA4" w:rsidP="005A2AA4">
      <w:pPr>
        <w:pStyle w:val="14"/>
        <w:numPr>
          <w:ilvl w:val="0"/>
          <w:numId w:val="5"/>
        </w:numPr>
        <w:snapToGrid w:val="0"/>
        <w:spacing w:line="500" w:lineRule="exact"/>
        <w:rPr>
          <w:rFonts w:hAnsi="標楷體"/>
        </w:rPr>
      </w:pPr>
      <w:r w:rsidRPr="006F69B9">
        <w:rPr>
          <w:rFonts w:hAnsi="標楷體" w:hint="eastAsia"/>
        </w:rPr>
        <w:t>有效運用外交資源，促進國人出國旅遊安全及便利性：</w:t>
      </w:r>
      <w:r>
        <w:rPr>
          <w:rFonts w:hAnsi="標楷體" w:hint="eastAsia"/>
        </w:rPr>
        <w:t>秉持同理心，</w:t>
      </w:r>
      <w:r w:rsidRPr="006F69B9">
        <w:rPr>
          <w:rFonts w:hAnsi="標楷體" w:hint="eastAsia"/>
        </w:rPr>
        <w:t>加強處理攸關民眾權益的國人海外急難救助案件；與他國簽署駕照相互承認協定，旅外國人可免試換發當地駕照；爭取各國提升對國人簽證待遇，截至本年底止，國人享有166個國家與地區簽證便利待遇。</w:t>
      </w:r>
    </w:p>
    <w:p w:rsidR="005A2AA4" w:rsidRPr="006F69B9" w:rsidRDefault="005A2AA4" w:rsidP="005A2AA4">
      <w:pPr>
        <w:pStyle w:val="1"/>
        <w:spacing w:before="360" w:line="500" w:lineRule="exact"/>
        <w:rPr>
          <w:rFonts w:ascii="標楷體" w:eastAsia="標楷體" w:hAnsi="標楷體"/>
        </w:rPr>
      </w:pPr>
      <w:r w:rsidRPr="006F69B9">
        <w:rPr>
          <w:rFonts w:ascii="標楷體" w:eastAsia="標楷體" w:hAnsi="標楷體" w:hint="eastAsia"/>
        </w:rPr>
        <w:lastRenderedPageBreak/>
        <w:t>三、關於國防方面</w:t>
      </w:r>
    </w:p>
    <w:p w:rsidR="005A2AA4" w:rsidRPr="006F69B9" w:rsidRDefault="005A2AA4" w:rsidP="005A2AA4">
      <w:pPr>
        <w:pStyle w:val="13"/>
        <w:snapToGrid w:val="0"/>
        <w:spacing w:line="500" w:lineRule="exact"/>
        <w:ind w:left="0" w:firstLine="601"/>
        <w:rPr>
          <w:rFonts w:hAnsi="標楷體"/>
        </w:rPr>
      </w:pPr>
      <w:r w:rsidRPr="006F69B9">
        <w:rPr>
          <w:rFonts w:hAnsi="標楷體" w:hint="eastAsia"/>
        </w:rPr>
        <w:t>本年度國防施政重點，為持續落實官兵體能訓練，務實兵力整建；積極從事災害防救整備，強化國軍</w:t>
      </w:r>
      <w:r>
        <w:rPr>
          <w:rFonts w:hAnsi="標楷體" w:hint="eastAsia"/>
        </w:rPr>
        <w:t>非軍事性任務能力</w:t>
      </w:r>
      <w:r w:rsidRPr="006F69B9">
        <w:rPr>
          <w:rFonts w:hAnsi="標楷體" w:hint="eastAsia"/>
        </w:rPr>
        <w:t>；建構堅實國防，籌獲新式武器裝備；執行國防科技基礎研究，奠基武器系統研發能量；完善官兵與眷屬照顧，落實權益保障；提升訪視關懷作為，落實退除役官兵服務照顧等。一年來施政所獲成效如下：</w:t>
      </w:r>
    </w:p>
    <w:p w:rsidR="005A2AA4" w:rsidRPr="006F69B9" w:rsidRDefault="005A2AA4" w:rsidP="005A2AA4">
      <w:pPr>
        <w:pStyle w:val="14"/>
        <w:numPr>
          <w:ilvl w:val="0"/>
          <w:numId w:val="6"/>
        </w:numPr>
        <w:snapToGrid w:val="0"/>
        <w:spacing w:line="500" w:lineRule="exact"/>
        <w:rPr>
          <w:rFonts w:hAnsi="標楷體"/>
          <w:spacing w:val="-2"/>
        </w:rPr>
      </w:pPr>
      <w:r w:rsidRPr="006F69B9">
        <w:rPr>
          <w:rFonts w:hAnsi="標楷體" w:hint="eastAsia"/>
          <w:spacing w:val="-2"/>
        </w:rPr>
        <w:t>增進官兵基礎戰力，</w:t>
      </w:r>
      <w:r>
        <w:rPr>
          <w:rFonts w:hAnsi="標楷體" w:hint="eastAsia"/>
          <w:spacing w:val="-2"/>
        </w:rPr>
        <w:t>建立保家衛國的全民國軍</w:t>
      </w:r>
      <w:r w:rsidRPr="006F69B9">
        <w:rPr>
          <w:rFonts w:hAnsi="標楷體" w:hint="eastAsia"/>
          <w:spacing w:val="-2"/>
        </w:rPr>
        <w:t>：辦理基地訓練，完成223個群、營、連及排級單位基地訓練；辦理戰備演訓，完成5個作戰區與金門、馬祖、東引等8個地區戰備任務訓練及長青15號操演任務；辦理三軍聯合作戰訓練，完成重砲保養射擊3次、聯信操演8次、聯勇操演4次、聯興操演2次、聯雲操演1次、神鷹操演2次、天馬操演1次、神弓操演1次及漢光33號演習。</w:t>
      </w:r>
    </w:p>
    <w:p w:rsidR="005A2AA4" w:rsidRPr="006F69B9" w:rsidRDefault="005A2AA4" w:rsidP="005A2AA4">
      <w:pPr>
        <w:pStyle w:val="14"/>
        <w:numPr>
          <w:ilvl w:val="0"/>
          <w:numId w:val="6"/>
        </w:numPr>
        <w:snapToGrid w:val="0"/>
        <w:spacing w:line="500" w:lineRule="exact"/>
        <w:rPr>
          <w:rFonts w:hAnsi="標楷體"/>
        </w:rPr>
      </w:pPr>
      <w:r w:rsidRPr="006F69B9">
        <w:rPr>
          <w:rFonts w:hAnsi="標楷體" w:hint="eastAsia"/>
        </w:rPr>
        <w:t>積極參與災害搜救及辦理演習，厚植動員能量：執行禽流感防疫、尼莎與海棠颱風等7件重大災害搜救及42件緊急搜救案，總計投入兵力2萬2,000餘人次、各式裝備2</w:t>
      </w:r>
      <w:r w:rsidRPr="006F69B9">
        <w:rPr>
          <w:rFonts w:hAnsi="標楷體"/>
        </w:rPr>
        <w:t>,300</w:t>
      </w:r>
      <w:r w:rsidRPr="006F69B9">
        <w:rPr>
          <w:rFonts w:hAnsi="標楷體" w:hint="eastAsia"/>
        </w:rPr>
        <w:t>餘輛次、撤離民眾3,400餘人；辦理全民防衛動員暨災害防救演習11次、軍民聯合防空演習7個地區計22場次。</w:t>
      </w:r>
    </w:p>
    <w:p w:rsidR="005A2AA4" w:rsidRPr="006F69B9" w:rsidRDefault="005A2AA4" w:rsidP="005A2AA4">
      <w:pPr>
        <w:pStyle w:val="14"/>
        <w:numPr>
          <w:ilvl w:val="0"/>
          <w:numId w:val="6"/>
        </w:numPr>
        <w:snapToGrid w:val="0"/>
        <w:spacing w:line="500" w:lineRule="exact"/>
        <w:rPr>
          <w:rFonts w:hAnsi="標楷體"/>
        </w:rPr>
      </w:pPr>
      <w:r w:rsidRPr="006F69B9">
        <w:rPr>
          <w:rFonts w:hAnsi="標楷體" w:hint="eastAsia"/>
        </w:rPr>
        <w:t>提升強化武器裝備，建構國防自主政策目標：辦理「國軍地面部隊C4ISR系統-先導生產階段」、「籌獲美派里級巡防艦」、「潛艦國造第一階段合約設計」、「S-70C反潛直升機性能提升」、「F-16 A/B型戰機性能提升」、「後續IDF戰機性能提升」、「P-3C長程定翼反潛機」、「空對面戰術研發-干擾效益戰裁分析系統籌建案」及「國軍陸基防空飛彈系統案」等。</w:t>
      </w:r>
    </w:p>
    <w:p w:rsidR="005A2AA4" w:rsidRPr="006F69B9" w:rsidRDefault="005A2AA4" w:rsidP="005A2AA4">
      <w:pPr>
        <w:pStyle w:val="14"/>
        <w:numPr>
          <w:ilvl w:val="0"/>
          <w:numId w:val="6"/>
        </w:numPr>
        <w:snapToGrid w:val="0"/>
        <w:spacing w:line="500" w:lineRule="exact"/>
        <w:rPr>
          <w:rFonts w:hAnsi="標楷體"/>
        </w:rPr>
      </w:pPr>
      <w:r w:rsidRPr="006F69B9">
        <w:rPr>
          <w:rFonts w:hAnsi="標楷體" w:hint="eastAsia"/>
        </w:rPr>
        <w:t>前瞻國防科技發展趨勢，創造武器研發能量：完成「輪型戰鬥車甲車駕駛輔助訓練監控模組」、「砲兵定位定向系統智慧型雷射標示器」、「底質掃頻聲納系統開發」、「IDF型機水平尾翼拆裝型架研發案」、「雲母飛彈發射架修改研發案」、「三五快砲燈系測試器研發案」及「F-16型機矩陣測試器研發案」等軍品研發。</w:t>
      </w:r>
    </w:p>
    <w:p w:rsidR="005A2AA4" w:rsidRPr="006F69B9" w:rsidRDefault="005A2AA4" w:rsidP="005A2AA4">
      <w:pPr>
        <w:pStyle w:val="14"/>
        <w:numPr>
          <w:ilvl w:val="0"/>
          <w:numId w:val="6"/>
        </w:numPr>
        <w:snapToGrid w:val="0"/>
        <w:spacing w:line="500" w:lineRule="exact"/>
        <w:rPr>
          <w:rFonts w:hAnsi="標楷體"/>
        </w:rPr>
      </w:pPr>
      <w:r w:rsidRPr="006F69B9">
        <w:rPr>
          <w:rFonts w:hAnsi="標楷體" w:hint="eastAsia"/>
        </w:rPr>
        <w:lastRenderedPageBreak/>
        <w:t>提供官兵法律服務，積極協處及提供適法意見及諮詢：受理法律諮詢服務66件，提供部隊、官兵及其眷屬有關法律諮詢等服務，維護國軍及眷屬合法權益；審理官兵權益保障案件，計377件。</w:t>
      </w:r>
    </w:p>
    <w:p w:rsidR="005A2AA4" w:rsidRPr="006F69B9" w:rsidRDefault="005A2AA4" w:rsidP="005A2AA4">
      <w:pPr>
        <w:pStyle w:val="14"/>
        <w:numPr>
          <w:ilvl w:val="0"/>
          <w:numId w:val="6"/>
        </w:numPr>
        <w:snapToGrid w:val="0"/>
        <w:spacing w:line="500" w:lineRule="exact"/>
        <w:rPr>
          <w:rFonts w:hAnsi="標楷體"/>
        </w:rPr>
      </w:pPr>
      <w:r>
        <w:rPr>
          <w:rFonts w:hAnsi="標楷體" w:hint="eastAsia"/>
        </w:rPr>
        <w:t>持續辦理訪視及關懷作為，</w:t>
      </w:r>
      <w:r w:rsidRPr="004E71F7">
        <w:rPr>
          <w:rFonts w:hAnsi="標楷體" w:hint="eastAsia"/>
        </w:rPr>
        <w:t>落實</w:t>
      </w:r>
      <w:r w:rsidRPr="006F69B9">
        <w:rPr>
          <w:rFonts w:hAnsi="標楷體" w:hint="eastAsia"/>
        </w:rPr>
        <w:t>退除役官兵、榮民及其遺眷照顧：補助清寒榮民之就學子女假日午餐1,614人，核發榮民子女就學補助5,532人，認養榮民遺孤667人；訪視退除役官兵及遺眷154 萬餘人次，編組志工提供居家關懷及訪視服務照顧83萬餘人次。</w:t>
      </w:r>
    </w:p>
    <w:p w:rsidR="005A2AA4" w:rsidRPr="006F69B9" w:rsidRDefault="005A2AA4" w:rsidP="005A2AA4">
      <w:pPr>
        <w:pStyle w:val="1"/>
        <w:spacing w:before="360" w:line="500" w:lineRule="exact"/>
        <w:rPr>
          <w:rFonts w:ascii="標楷體" w:eastAsia="標楷體" w:hAnsi="標楷體"/>
        </w:rPr>
      </w:pPr>
      <w:r w:rsidRPr="006F69B9">
        <w:rPr>
          <w:rFonts w:ascii="標楷體" w:eastAsia="標楷體" w:hAnsi="標楷體" w:hint="eastAsia"/>
        </w:rPr>
        <w:t>四、關於財政金融方面</w:t>
      </w:r>
    </w:p>
    <w:p w:rsidR="005A2AA4" w:rsidRPr="006F69B9" w:rsidRDefault="005A2AA4" w:rsidP="005A2AA4">
      <w:pPr>
        <w:pStyle w:val="13"/>
        <w:snapToGrid w:val="0"/>
        <w:spacing w:line="500" w:lineRule="exact"/>
        <w:ind w:left="0" w:firstLine="601"/>
        <w:rPr>
          <w:rFonts w:hAnsi="標楷體"/>
        </w:rPr>
      </w:pPr>
      <w:r w:rsidRPr="006F69B9">
        <w:rPr>
          <w:rFonts w:hAnsi="標楷體" w:hint="eastAsia"/>
        </w:rPr>
        <w:t>本年度財政金融施政重點，為健全國家財政，強化財務管理；建構優質賦稅環境，維護租稅公平合理；</w:t>
      </w:r>
      <w:r>
        <w:rPr>
          <w:rFonts w:hAnsi="標楷體" w:hint="eastAsia"/>
        </w:rPr>
        <w:t>創新關務智慧物流，</w:t>
      </w:r>
      <w:r w:rsidRPr="006F69B9">
        <w:rPr>
          <w:rFonts w:hAnsi="標楷體" w:hint="eastAsia"/>
        </w:rPr>
        <w:t>精進關務革新；引進新興資通訊技術，提升</w:t>
      </w:r>
      <w:r>
        <w:rPr>
          <w:rFonts w:hAnsi="標楷體" w:hint="eastAsia"/>
        </w:rPr>
        <w:t>財政資料</w:t>
      </w:r>
      <w:r w:rsidRPr="006F69B9">
        <w:rPr>
          <w:rFonts w:hAnsi="標楷體" w:hint="eastAsia"/>
        </w:rPr>
        <w:t>價值；健全證券發行市場發展，協助產業及新創企業發展；推動金融科技創新，強化多元支付服務等。一年來施政所獲成效如下：</w:t>
      </w:r>
    </w:p>
    <w:p w:rsidR="005A2AA4" w:rsidRPr="006F69B9" w:rsidRDefault="005A2AA4" w:rsidP="005A2AA4">
      <w:pPr>
        <w:pStyle w:val="14"/>
        <w:numPr>
          <w:ilvl w:val="0"/>
          <w:numId w:val="7"/>
        </w:numPr>
        <w:snapToGrid w:val="0"/>
        <w:spacing w:line="500" w:lineRule="exact"/>
        <w:rPr>
          <w:rFonts w:hAnsi="標楷體"/>
        </w:rPr>
      </w:pPr>
      <w:r w:rsidRPr="006F69B9">
        <w:rPr>
          <w:rFonts w:hAnsi="標楷體" w:hint="eastAsia"/>
        </w:rPr>
        <w:t>協助輔導地方財政，精進菸酒管理：持續健全地方財政輔導機制，舉辦地方財政業務聯繫會報及地方財政研習班，協助辦理開源節流措施；加強查緝私劣菸酒，維護消費者安全，本年度查獲違法菸類2,086萬餘包、酒類99萬餘公升，市價約10億餘元。</w:t>
      </w:r>
    </w:p>
    <w:p w:rsidR="005A2AA4" w:rsidRPr="006F69B9" w:rsidRDefault="005A2AA4" w:rsidP="005A2AA4">
      <w:pPr>
        <w:pStyle w:val="14"/>
        <w:numPr>
          <w:ilvl w:val="0"/>
          <w:numId w:val="7"/>
        </w:numPr>
        <w:snapToGrid w:val="0"/>
        <w:spacing w:line="500" w:lineRule="exact"/>
        <w:rPr>
          <w:rFonts w:hAnsi="標楷體"/>
        </w:rPr>
      </w:pPr>
      <w:r w:rsidRPr="006F69B9">
        <w:rPr>
          <w:rFonts w:hAnsi="標楷體" w:hint="eastAsia"/>
        </w:rPr>
        <w:t>配合經社環境發展，適時檢討修正賦稅法規：修正「證券交易稅條例」第2條之2規定，現股當日沖銷交易之證券交易稅調降為1.5</w:t>
      </w:r>
      <w:r w:rsidRPr="006F69B9">
        <w:rPr>
          <w:rFonts w:ascii="Arial" w:hAnsi="Arial" w:cs="Arial"/>
          <w:shd w:val="clear" w:color="auto" w:fill="FFFFFF"/>
        </w:rPr>
        <w:t>‰</w:t>
      </w:r>
      <w:r w:rsidRPr="006F69B9">
        <w:rPr>
          <w:rFonts w:hAnsi="標楷體" w:hint="eastAsia"/>
        </w:rPr>
        <w:t>，實施期限1年，提升證券市場流動性及成交量；修正「加值型及非加值型營業稅法施行細則」部分條文，增訂電子勞務定義及境外電商營業人申報等相關規定；制定「納稅者權利保護法施行細則」，落實執行納稅者權利保護法對納稅者各項權利之保障。</w:t>
      </w:r>
      <w:r w:rsidRPr="006F69B9">
        <w:rPr>
          <w:rFonts w:hAnsi="標楷體"/>
        </w:rPr>
        <w:t xml:space="preserve"> </w:t>
      </w:r>
    </w:p>
    <w:p w:rsidR="005A2AA4" w:rsidRPr="006F69B9" w:rsidRDefault="005A2AA4" w:rsidP="005A2AA4">
      <w:pPr>
        <w:pStyle w:val="14"/>
        <w:numPr>
          <w:ilvl w:val="0"/>
          <w:numId w:val="7"/>
        </w:numPr>
        <w:snapToGrid w:val="0"/>
        <w:spacing w:line="500" w:lineRule="exact"/>
        <w:rPr>
          <w:rFonts w:hAnsi="標楷體"/>
        </w:rPr>
      </w:pPr>
      <w:r w:rsidRPr="006F69B9">
        <w:rPr>
          <w:rFonts w:hAnsi="標楷體" w:hint="eastAsia"/>
        </w:rPr>
        <w:t>持續推動關務管理，提升通關作業效率：修正公布「關稅法」第</w:t>
      </w:r>
      <w:r w:rsidRPr="006F69B9">
        <w:rPr>
          <w:rFonts w:hAnsi="標楷體"/>
        </w:rPr>
        <w:t>49</w:t>
      </w:r>
      <w:r w:rsidRPr="006F69B9">
        <w:rPr>
          <w:rFonts w:hAnsi="標楷體" w:hint="eastAsia"/>
        </w:rPr>
        <w:t>條，政府機關舉辦國際體育比賽自行進口或受贈比賽用必需體育器材或用品免稅，促進國際體育交流；修正「海關進口稅則」部分稅則，專供生產太陽光電模組用封裝材料等貨品免稅，強化太陽光電產業競爭力；</w:t>
      </w:r>
      <w:r w:rsidRPr="006F69B9">
        <w:rPr>
          <w:rFonts w:hAnsi="標楷體" w:hint="eastAsia"/>
        </w:rPr>
        <w:lastRenderedPageBreak/>
        <w:t>辦理車輛汰舊換新退還貨物稅4.3萬輛，減徵金額21億元；建置退稅系統與進口商自行上傳作業及線上查詢，有效縮短作業時間。</w:t>
      </w:r>
    </w:p>
    <w:p w:rsidR="005A2AA4" w:rsidRPr="006F69B9" w:rsidRDefault="005A2AA4" w:rsidP="005A2AA4">
      <w:pPr>
        <w:pStyle w:val="14"/>
        <w:numPr>
          <w:ilvl w:val="0"/>
          <w:numId w:val="7"/>
        </w:numPr>
        <w:snapToGrid w:val="0"/>
        <w:spacing w:line="500" w:lineRule="exact"/>
        <w:rPr>
          <w:rFonts w:hAnsi="標楷體"/>
          <w:szCs w:val="32"/>
        </w:rPr>
      </w:pPr>
      <w:r w:rsidRPr="006F69B9">
        <w:rPr>
          <w:rFonts w:hAnsi="標楷體" w:cs="新細明體" w:hint="eastAsia"/>
        </w:rPr>
        <w:t>運用新興資通訊技術，擴大資訊整合運用效能：推動以信用卡為電子發票載具，截至本年底止，計18家銀行信用卡可於13家營業人，全臺分店共5,299家使用；</w:t>
      </w:r>
      <w:r w:rsidRPr="006F69B9">
        <w:rPr>
          <w:rFonts w:hAnsi="標楷體" w:hint="eastAsia"/>
        </w:rPr>
        <w:t>配合行動化發展趨勢，完成行動支付結合電子發票載具功能上線，截至本年底止，共10家銀行及1家電子支付機構業者提供該項服務。</w:t>
      </w:r>
    </w:p>
    <w:p w:rsidR="005A2AA4" w:rsidRPr="006F69B9" w:rsidRDefault="005A2AA4" w:rsidP="005A2AA4">
      <w:pPr>
        <w:pStyle w:val="14"/>
        <w:numPr>
          <w:ilvl w:val="0"/>
          <w:numId w:val="7"/>
        </w:numPr>
        <w:snapToGrid w:val="0"/>
        <w:spacing w:line="500" w:lineRule="exact"/>
        <w:rPr>
          <w:rFonts w:hAnsi="標楷體"/>
        </w:rPr>
      </w:pPr>
      <w:r w:rsidRPr="006F69B9">
        <w:rPr>
          <w:rFonts w:hAnsi="標楷體" w:hint="eastAsia"/>
        </w:rPr>
        <w:t>建構與活絡多元籌資投資市場，便利創新企業取得資金：增加優良企業上市</w:t>
      </w:r>
      <w:r w:rsidRPr="006F69B9">
        <w:rPr>
          <w:rFonts w:hAnsi="標楷體"/>
        </w:rPr>
        <w:t>(</w:t>
      </w:r>
      <w:r w:rsidRPr="006F69B9">
        <w:rPr>
          <w:rFonts w:hAnsi="標楷體" w:hint="eastAsia"/>
        </w:rPr>
        <w:t>櫃</w:t>
      </w:r>
      <w:r w:rsidRPr="006F69B9">
        <w:rPr>
          <w:rFonts w:hAnsi="標楷體"/>
        </w:rPr>
        <w:t>)</w:t>
      </w:r>
      <w:r w:rsidRPr="006F69B9">
        <w:rPr>
          <w:rFonts w:hAnsi="標楷體" w:hint="eastAsia"/>
        </w:rPr>
        <w:t>，本年度新增上市公司</w:t>
      </w:r>
      <w:r w:rsidRPr="006F69B9">
        <w:rPr>
          <w:rFonts w:hAnsi="標楷體"/>
        </w:rPr>
        <w:t xml:space="preserve">21 </w:t>
      </w:r>
      <w:r w:rsidRPr="006F69B9">
        <w:rPr>
          <w:rFonts w:hAnsi="標楷體" w:hint="eastAsia"/>
        </w:rPr>
        <w:t>家及上櫃公司</w:t>
      </w:r>
      <w:r w:rsidRPr="006F69B9">
        <w:rPr>
          <w:rFonts w:hAnsi="標楷體"/>
        </w:rPr>
        <w:t xml:space="preserve">23 </w:t>
      </w:r>
      <w:r w:rsidRPr="006F69B9">
        <w:rPr>
          <w:rFonts w:hAnsi="標楷體" w:hint="eastAsia"/>
        </w:rPr>
        <w:t>家；擴大國際債券市場規模，本年度在臺募集發行之國際債券計</w:t>
      </w:r>
      <w:r w:rsidRPr="006F69B9">
        <w:rPr>
          <w:rFonts w:hAnsi="標楷體"/>
        </w:rPr>
        <w:t xml:space="preserve">133 </w:t>
      </w:r>
      <w:r w:rsidRPr="006F69B9">
        <w:rPr>
          <w:rFonts w:hAnsi="標楷體" w:hint="eastAsia"/>
        </w:rPr>
        <w:t>檔，發行總額共計</w:t>
      </w:r>
      <w:r w:rsidRPr="006F69B9">
        <w:rPr>
          <w:rFonts w:hAnsi="標楷體"/>
        </w:rPr>
        <w:t xml:space="preserve">1 </w:t>
      </w:r>
      <w:r w:rsidRPr="006F69B9">
        <w:rPr>
          <w:rFonts w:hAnsi="標楷體" w:hint="eastAsia"/>
        </w:rPr>
        <w:t>兆</w:t>
      </w:r>
      <w:r w:rsidRPr="006F69B9">
        <w:rPr>
          <w:rFonts w:hAnsi="標楷體"/>
        </w:rPr>
        <w:t xml:space="preserve">2,108 </w:t>
      </w:r>
      <w:r w:rsidRPr="006F69B9">
        <w:rPr>
          <w:rFonts w:hAnsi="標楷體" w:hint="eastAsia"/>
        </w:rPr>
        <w:t>億元；扶植微型創新企業，持續督導櫃買中心推動創櫃板，本年度申請登錄創櫃板公司計</w:t>
      </w:r>
      <w:r w:rsidRPr="006F69B9">
        <w:rPr>
          <w:rFonts w:hAnsi="標楷體"/>
        </w:rPr>
        <w:t xml:space="preserve">41 </w:t>
      </w:r>
      <w:r w:rsidRPr="006F69B9">
        <w:rPr>
          <w:rFonts w:hAnsi="標楷體" w:hint="eastAsia"/>
        </w:rPr>
        <w:t>家，累計申請登錄計279 家。</w:t>
      </w:r>
    </w:p>
    <w:p w:rsidR="005A2AA4" w:rsidRPr="006F69B9" w:rsidRDefault="005A2AA4" w:rsidP="005A2AA4">
      <w:pPr>
        <w:pStyle w:val="14"/>
        <w:numPr>
          <w:ilvl w:val="0"/>
          <w:numId w:val="7"/>
        </w:numPr>
        <w:snapToGrid w:val="0"/>
        <w:spacing w:line="500" w:lineRule="exact"/>
        <w:rPr>
          <w:rFonts w:hAnsi="標楷體"/>
        </w:rPr>
      </w:pPr>
      <w:r w:rsidRPr="006F69B9">
        <w:rPr>
          <w:rFonts w:hAnsi="標楷體" w:hint="eastAsia"/>
        </w:rPr>
        <w:t>鼓勵研發金融創新商品及服務，促進金融機構健全經營：鼓勵金融機構積極發展多元化支付工具，如發行</w:t>
      </w:r>
      <w:r w:rsidRPr="006F69B9">
        <w:rPr>
          <w:rFonts w:hAnsi="標楷體"/>
        </w:rPr>
        <w:t xml:space="preserve">TSM </w:t>
      </w:r>
      <w:r w:rsidRPr="006F69B9">
        <w:rPr>
          <w:rFonts w:hAnsi="標楷體" w:hint="eastAsia"/>
        </w:rPr>
        <w:t>手機信用卡、</w:t>
      </w:r>
      <w:r w:rsidRPr="006F69B9">
        <w:rPr>
          <w:rFonts w:hAnsi="標楷體"/>
        </w:rPr>
        <w:t xml:space="preserve">HCE </w:t>
      </w:r>
      <w:r w:rsidRPr="006F69B9">
        <w:rPr>
          <w:rFonts w:hAnsi="標楷體" w:hint="eastAsia"/>
        </w:rPr>
        <w:t>手機信用卡、代碼化手機信用卡、行動金融卡、手機電子票證、行動</w:t>
      </w:r>
      <w:r w:rsidRPr="006F69B9">
        <w:rPr>
          <w:rFonts w:hAnsi="標楷體"/>
        </w:rPr>
        <w:t xml:space="preserve">X </w:t>
      </w:r>
      <w:r w:rsidRPr="006F69B9">
        <w:rPr>
          <w:rFonts w:hAnsi="標楷體" w:hint="eastAsia"/>
        </w:rPr>
        <w:t>卡，辦理</w:t>
      </w:r>
      <w:r w:rsidRPr="006F69B9">
        <w:rPr>
          <w:rFonts w:hAnsi="標楷體"/>
        </w:rPr>
        <w:t xml:space="preserve">QRCode </w:t>
      </w:r>
      <w:r w:rsidRPr="006F69B9">
        <w:rPr>
          <w:rFonts w:hAnsi="標楷體" w:hint="eastAsia"/>
        </w:rPr>
        <w:t>行動支付業務、電子支付機構實體通路支付服務、</w:t>
      </w:r>
      <w:r w:rsidRPr="006F69B9">
        <w:rPr>
          <w:rFonts w:hAnsi="標楷體"/>
        </w:rPr>
        <w:t xml:space="preserve">mPOS </w:t>
      </w:r>
      <w:r w:rsidRPr="006F69B9">
        <w:rPr>
          <w:rFonts w:hAnsi="標楷體" w:hint="eastAsia"/>
        </w:rPr>
        <w:t>行動收單業務；鼓勵業者開發適合高齡者及身心障礙者需求之安養信託商品，修正「信託業辦理高齡者及身心障礙者財產信託評鑑及獎勵措施」。</w:t>
      </w:r>
    </w:p>
    <w:p w:rsidR="005A2AA4" w:rsidRPr="006F69B9" w:rsidRDefault="005A2AA4" w:rsidP="005A2AA4">
      <w:pPr>
        <w:pStyle w:val="1"/>
        <w:spacing w:before="360" w:line="500" w:lineRule="exact"/>
        <w:rPr>
          <w:rFonts w:ascii="標楷體" w:eastAsia="標楷體" w:hAnsi="標楷體"/>
        </w:rPr>
      </w:pPr>
      <w:r w:rsidRPr="006F69B9">
        <w:rPr>
          <w:rFonts w:ascii="標楷體" w:eastAsia="標楷體" w:hAnsi="標楷體" w:hint="eastAsia"/>
        </w:rPr>
        <w:t>五、關於教育方面</w:t>
      </w:r>
    </w:p>
    <w:p w:rsidR="005A2AA4" w:rsidRPr="006F69B9" w:rsidRDefault="005A2AA4" w:rsidP="005A2AA4">
      <w:pPr>
        <w:pStyle w:val="13"/>
        <w:snapToGrid w:val="0"/>
        <w:spacing w:line="500" w:lineRule="exact"/>
        <w:ind w:left="0" w:firstLine="601"/>
        <w:rPr>
          <w:rFonts w:hAnsi="標楷體"/>
        </w:rPr>
      </w:pPr>
      <w:r w:rsidRPr="006F69B9">
        <w:rPr>
          <w:rFonts w:hAnsi="標楷體" w:hint="eastAsia"/>
        </w:rPr>
        <w:t>本年度教育施政重點，為發展創新特色的高等教育，協助</w:t>
      </w:r>
      <w:r>
        <w:rPr>
          <w:rFonts w:hAnsi="標楷體" w:hint="eastAsia"/>
        </w:rPr>
        <w:t>大學校院</w:t>
      </w:r>
      <w:r w:rsidRPr="006F69B9">
        <w:rPr>
          <w:rFonts w:hAnsi="標楷體" w:hint="eastAsia"/>
        </w:rPr>
        <w:t>推動創新創業；縮短學用落差，培育未來技職人才；保障弱勢學生受教權益，落實社會公義與關懷；促進多元族群發展，</w:t>
      </w:r>
      <w:r w:rsidRPr="00AA57E1">
        <w:rPr>
          <w:rFonts w:hAnsi="標楷體" w:hint="eastAsia"/>
        </w:rPr>
        <w:t>鼓勵母語與文化傳承</w:t>
      </w:r>
      <w:r w:rsidRPr="006F69B9">
        <w:rPr>
          <w:rFonts w:hAnsi="標楷體" w:hint="eastAsia"/>
        </w:rPr>
        <w:t>；提供優質教育環境，落實適性發展；促進青年公共參與，鼓勵青年關懷全球事務等。一年來施政所獲成效如下：</w:t>
      </w:r>
    </w:p>
    <w:p w:rsidR="005A2AA4" w:rsidRPr="006F69B9" w:rsidRDefault="005A2AA4" w:rsidP="005A2AA4">
      <w:pPr>
        <w:pStyle w:val="14"/>
        <w:numPr>
          <w:ilvl w:val="0"/>
          <w:numId w:val="8"/>
        </w:numPr>
        <w:snapToGrid w:val="0"/>
        <w:spacing w:line="500" w:lineRule="exact"/>
        <w:rPr>
          <w:rFonts w:hAnsi="標楷體"/>
          <w:szCs w:val="28"/>
        </w:rPr>
      </w:pPr>
      <w:r w:rsidRPr="006F69B9">
        <w:rPr>
          <w:rFonts w:hAnsi="標楷體" w:hint="eastAsia"/>
          <w:szCs w:val="28"/>
        </w:rPr>
        <w:t>連結產學合作能量，形塑大學校園創業風氣：推動「大學校院創新創業扎根計畫」，由大學開設創新創業相關課程，聘請業師分享實務經</w:t>
      </w:r>
      <w:r w:rsidRPr="006F69B9">
        <w:rPr>
          <w:rFonts w:hAnsi="標楷體" w:hint="eastAsia"/>
          <w:szCs w:val="28"/>
        </w:rPr>
        <w:lastRenderedPageBreak/>
        <w:t>驗，結合師生學習成果，由學校協助創業團隊媒合創業資金，提供育成輔導以實踐創業活動。</w:t>
      </w:r>
    </w:p>
    <w:p w:rsidR="005A2AA4" w:rsidRPr="006F69B9" w:rsidRDefault="005A2AA4" w:rsidP="005A2AA4">
      <w:pPr>
        <w:pStyle w:val="14"/>
        <w:numPr>
          <w:ilvl w:val="0"/>
          <w:numId w:val="8"/>
        </w:numPr>
        <w:snapToGrid w:val="0"/>
        <w:spacing w:line="500" w:lineRule="exact"/>
        <w:rPr>
          <w:rFonts w:hAnsi="標楷體"/>
          <w:szCs w:val="28"/>
        </w:rPr>
      </w:pPr>
      <w:r w:rsidRPr="006F69B9">
        <w:rPr>
          <w:rFonts w:hAnsi="標楷體" w:hint="eastAsia"/>
        </w:rPr>
        <w:t>開展多元學習路徑，再造務實致用技職教育：透過產學合作，共同培育具有實作力及就業力人才，達到技職教育產學零落差，</w:t>
      </w:r>
      <w:r w:rsidRPr="006F69B9">
        <w:rPr>
          <w:rFonts w:hAnsi="標楷體"/>
        </w:rPr>
        <w:t>105</w:t>
      </w:r>
      <w:r w:rsidRPr="006F69B9">
        <w:rPr>
          <w:rFonts w:hAnsi="標楷體" w:hint="eastAsia"/>
        </w:rPr>
        <w:t>學年度就業導向課程專班數計</w:t>
      </w:r>
      <w:r w:rsidRPr="006F69B9">
        <w:rPr>
          <w:rFonts w:hAnsi="標楷體"/>
        </w:rPr>
        <w:t>147</w:t>
      </w:r>
      <w:r w:rsidRPr="006F69B9">
        <w:rPr>
          <w:rFonts w:hAnsi="標楷體" w:hint="eastAsia"/>
        </w:rPr>
        <w:t>班，參與學生計</w:t>
      </w:r>
      <w:r w:rsidRPr="006F69B9">
        <w:rPr>
          <w:rFonts w:hAnsi="標楷體"/>
        </w:rPr>
        <w:t>4,293</w:t>
      </w:r>
      <w:r w:rsidRPr="006F69B9">
        <w:rPr>
          <w:rFonts w:hAnsi="標楷體" w:hint="eastAsia"/>
        </w:rPr>
        <w:t>人；本年度產業學院計畫補助</w:t>
      </w:r>
      <w:r w:rsidRPr="006F69B9">
        <w:rPr>
          <w:rFonts w:hAnsi="標楷體"/>
        </w:rPr>
        <w:t>64</w:t>
      </w:r>
      <w:r w:rsidRPr="006F69B9">
        <w:rPr>
          <w:rFonts w:hAnsi="標楷體" w:hint="eastAsia"/>
        </w:rPr>
        <w:t>校，計</w:t>
      </w:r>
      <w:r w:rsidRPr="006F69B9">
        <w:rPr>
          <w:rFonts w:hAnsi="標楷體"/>
        </w:rPr>
        <w:t>261</w:t>
      </w:r>
      <w:r w:rsidRPr="006F69B9">
        <w:rPr>
          <w:rFonts w:hAnsi="標楷體" w:hint="eastAsia"/>
        </w:rPr>
        <w:t>案，參與廠商共</w:t>
      </w:r>
      <w:r w:rsidRPr="006F69B9">
        <w:rPr>
          <w:rFonts w:hAnsi="標楷體"/>
        </w:rPr>
        <w:t>1,040</w:t>
      </w:r>
      <w:r w:rsidRPr="006F69B9">
        <w:rPr>
          <w:rFonts w:hAnsi="標楷體" w:hint="eastAsia"/>
        </w:rPr>
        <w:t>家</w:t>
      </w:r>
      <w:r w:rsidRPr="006F69B9">
        <w:rPr>
          <w:rFonts w:hAnsi="標楷體" w:hint="eastAsia"/>
          <w:spacing w:val="-2"/>
          <w:szCs w:val="28"/>
        </w:rPr>
        <w:t>。</w:t>
      </w:r>
    </w:p>
    <w:p w:rsidR="005A2AA4" w:rsidRPr="006F69B9" w:rsidRDefault="005A2AA4" w:rsidP="005A2AA4">
      <w:pPr>
        <w:pStyle w:val="14"/>
        <w:numPr>
          <w:ilvl w:val="0"/>
          <w:numId w:val="8"/>
        </w:numPr>
        <w:snapToGrid w:val="0"/>
        <w:spacing w:line="500" w:lineRule="exact"/>
        <w:rPr>
          <w:rFonts w:hAnsi="標楷體"/>
          <w:szCs w:val="28"/>
        </w:rPr>
      </w:pPr>
      <w:r w:rsidRPr="006F69B9">
        <w:rPr>
          <w:rFonts w:hAnsi="標楷體" w:hint="eastAsia"/>
          <w:szCs w:val="28"/>
        </w:rPr>
        <w:t>發展與推動特殊教育，落實社會公義與關懷：106學年度身心障礙學生參加大專校院甄試計錄取2,149名學生，單獨招收身障生計錄取352人；補助輔導身心障礙學生工作經費計4億900萬餘元，核發4,675位特教生獎補助金7,800萬餘元；出借教育輔具，提供盲用電腦諮詢及教育訓練；製作點字及有聲書，辦理身心障礙學生夏令營等。</w:t>
      </w:r>
    </w:p>
    <w:p w:rsidR="005A2AA4" w:rsidRPr="006F69B9" w:rsidRDefault="005A2AA4" w:rsidP="005A2AA4">
      <w:pPr>
        <w:pStyle w:val="14"/>
        <w:numPr>
          <w:ilvl w:val="0"/>
          <w:numId w:val="8"/>
        </w:numPr>
        <w:snapToGrid w:val="0"/>
        <w:spacing w:line="500" w:lineRule="exact"/>
        <w:rPr>
          <w:rFonts w:hAnsi="標楷體"/>
          <w:szCs w:val="28"/>
        </w:rPr>
      </w:pPr>
      <w:r w:rsidRPr="006F69B9">
        <w:rPr>
          <w:rFonts w:hAnsi="標楷體" w:hint="eastAsia"/>
          <w:szCs w:val="28"/>
        </w:rPr>
        <w:t>尊重多元族群，推動辦理原住民族學生教育：與原住民族委員會合作建置原住民族語言學習資源，深耕原住民族語言，及協助地方政府規劃原住民族實驗學校；擴大補助大專校院學生成立區域原住民族學生資源中心，以協助原住民族學生適性發展。</w:t>
      </w:r>
    </w:p>
    <w:p w:rsidR="005A2AA4" w:rsidRPr="006F69B9" w:rsidRDefault="005A2AA4" w:rsidP="005A2AA4">
      <w:pPr>
        <w:pStyle w:val="14"/>
        <w:numPr>
          <w:ilvl w:val="0"/>
          <w:numId w:val="8"/>
        </w:numPr>
        <w:snapToGrid w:val="0"/>
        <w:spacing w:line="500" w:lineRule="exact"/>
        <w:rPr>
          <w:rFonts w:hAnsi="標楷體"/>
          <w:szCs w:val="28"/>
        </w:rPr>
      </w:pPr>
      <w:r w:rsidRPr="006F69B9">
        <w:rPr>
          <w:rFonts w:hAnsi="標楷體" w:hint="eastAsia"/>
          <w:szCs w:val="28"/>
        </w:rPr>
        <w:t>營造優質學前與中小學教育環境，逐步擴大公共化教保服務：5歲幼兒免學費教育補助，約19萬餘人次受益；補助經濟弱勢幼兒免費參加公立幼兒園辦理之課後留園服務，受益人次約3.9萬人次；配合十二年國民基本教育政策，加強推動國中生涯發展教育，鼓勵選讀技藝教育課程，以提供多元</w:t>
      </w:r>
      <w:r>
        <w:rPr>
          <w:rFonts w:hAnsi="標楷體" w:hint="eastAsia"/>
          <w:szCs w:val="28"/>
        </w:rPr>
        <w:t>學習</w:t>
      </w:r>
      <w:r w:rsidRPr="006F69B9">
        <w:rPr>
          <w:rFonts w:hAnsi="標楷體" w:hint="eastAsia"/>
          <w:szCs w:val="28"/>
        </w:rPr>
        <w:t>機會。</w:t>
      </w:r>
    </w:p>
    <w:p w:rsidR="005A2AA4" w:rsidRPr="00E7038D" w:rsidRDefault="005A2AA4" w:rsidP="005A2AA4">
      <w:pPr>
        <w:pStyle w:val="14"/>
        <w:numPr>
          <w:ilvl w:val="0"/>
          <w:numId w:val="8"/>
        </w:numPr>
        <w:snapToGrid w:val="0"/>
        <w:spacing w:line="500" w:lineRule="exact"/>
        <w:rPr>
          <w:rFonts w:hAnsi="標楷體"/>
        </w:rPr>
      </w:pPr>
      <w:r w:rsidRPr="006F69B9">
        <w:rPr>
          <w:rFonts w:hAnsi="標楷體" w:hint="eastAsia"/>
        </w:rPr>
        <w:t>深化青年公共參與及國際體驗，加強青年生涯探索與職場體驗：建構青年政策參與平臺，吸引超過1萬位青年關注公共事務；辦理政策好點子，提案平均參採率高達96.43％；推動青年服務學習及多元海外志工服務，本年度核定補助92個團隊、971位青年志工。</w:t>
      </w:r>
    </w:p>
    <w:p w:rsidR="005A2AA4" w:rsidRPr="006F69B9" w:rsidRDefault="005A2AA4" w:rsidP="005A2AA4">
      <w:pPr>
        <w:pStyle w:val="1"/>
        <w:spacing w:before="360" w:line="500" w:lineRule="exact"/>
        <w:ind w:left="120"/>
        <w:rPr>
          <w:rFonts w:ascii="標楷體" w:eastAsia="標楷體" w:hAnsi="標楷體"/>
        </w:rPr>
      </w:pPr>
      <w:r>
        <w:rPr>
          <w:rFonts w:ascii="標楷體" w:eastAsia="標楷體" w:hAnsi="標楷體" w:hint="eastAsia"/>
        </w:rPr>
        <w:t>六</w:t>
      </w:r>
      <w:r w:rsidRPr="006F69B9">
        <w:rPr>
          <w:rFonts w:ascii="標楷體" w:eastAsia="標楷體" w:hAnsi="標楷體" w:hint="eastAsia"/>
        </w:rPr>
        <w:t>、關於法務方面</w:t>
      </w:r>
    </w:p>
    <w:p w:rsidR="005A2AA4" w:rsidRPr="006F69B9" w:rsidRDefault="005A2AA4" w:rsidP="005A2AA4">
      <w:pPr>
        <w:pStyle w:val="13"/>
        <w:snapToGrid w:val="0"/>
        <w:spacing w:line="500" w:lineRule="exact"/>
        <w:ind w:left="0" w:firstLine="600"/>
        <w:rPr>
          <w:rFonts w:hAnsi="標楷體"/>
        </w:rPr>
      </w:pPr>
      <w:r w:rsidRPr="006F69B9">
        <w:rPr>
          <w:rFonts w:hAnsi="標楷體" w:hint="eastAsia"/>
        </w:rPr>
        <w:t>本年度法務施政重點，為拓展多元司法互助機制，有效共同打擊跨境犯罪；</w:t>
      </w:r>
      <w:r w:rsidRPr="006F69B9">
        <w:rPr>
          <w:rFonts w:hAnsi="標楷體" w:hint="eastAsia"/>
          <w:spacing w:val="-4"/>
        </w:rPr>
        <w:t>精進廉政作為，</w:t>
      </w:r>
      <w:r w:rsidRPr="006F69B9">
        <w:rPr>
          <w:rFonts w:hAnsi="標楷體" w:hint="eastAsia"/>
        </w:rPr>
        <w:t>建立反貪腐機制；提升收容品質，落實中介</w:t>
      </w:r>
      <w:r w:rsidRPr="004B5552">
        <w:rPr>
          <w:rFonts w:hAnsi="標楷體" w:hint="eastAsia"/>
        </w:rPr>
        <w:t>轉銜</w:t>
      </w:r>
      <w:r w:rsidRPr="006F69B9">
        <w:rPr>
          <w:rFonts w:hAnsi="標楷體" w:hint="eastAsia"/>
        </w:rPr>
        <w:t>；回應人</w:t>
      </w:r>
      <w:r w:rsidRPr="006F69B9">
        <w:rPr>
          <w:rFonts w:hAnsi="標楷體" w:hint="eastAsia"/>
        </w:rPr>
        <w:lastRenderedPageBreak/>
        <w:t>民司法正義期待，端正司法風紀等。一年來施政所獲成效如下：</w:t>
      </w:r>
    </w:p>
    <w:p w:rsidR="005A2AA4" w:rsidRPr="006F69B9" w:rsidRDefault="005A2AA4" w:rsidP="005A2AA4">
      <w:pPr>
        <w:pStyle w:val="14"/>
        <w:numPr>
          <w:ilvl w:val="0"/>
          <w:numId w:val="49"/>
        </w:numPr>
        <w:snapToGrid w:val="0"/>
        <w:spacing w:line="500" w:lineRule="exact"/>
        <w:rPr>
          <w:rFonts w:hAnsi="標楷體"/>
          <w:spacing w:val="-4"/>
        </w:rPr>
      </w:pPr>
      <w:r w:rsidRPr="006F69B9">
        <w:rPr>
          <w:rFonts w:hAnsi="標楷體" w:hint="eastAsia"/>
          <w:spacing w:val="-4"/>
        </w:rPr>
        <w:t>深化國際及兩岸司法互助，共同打擊不法：推動與外國民、刑事司法互助合作，洽簽條約協定，強化司法合作基礎；偵辦兩岸跨境犯罪，拓展兩岸多元司法互助機制。</w:t>
      </w:r>
    </w:p>
    <w:p w:rsidR="005A2AA4" w:rsidRPr="006F69B9" w:rsidRDefault="005A2AA4" w:rsidP="005A2AA4">
      <w:pPr>
        <w:pStyle w:val="14"/>
        <w:numPr>
          <w:ilvl w:val="0"/>
          <w:numId w:val="49"/>
        </w:numPr>
        <w:snapToGrid w:val="0"/>
        <w:spacing w:line="500" w:lineRule="exact"/>
        <w:rPr>
          <w:rFonts w:hAnsi="標楷體"/>
        </w:rPr>
      </w:pPr>
      <w:r w:rsidRPr="004B5552">
        <w:rPr>
          <w:rFonts w:hAnsi="標楷體" w:hint="eastAsia"/>
          <w:spacing w:val="-4"/>
        </w:rPr>
        <w:t>強力掃黑及肅貪</w:t>
      </w:r>
      <w:r w:rsidRPr="006F69B9">
        <w:rPr>
          <w:rFonts w:hAnsi="標楷體" w:hint="eastAsia"/>
          <w:spacing w:val="-4"/>
        </w:rPr>
        <w:t>，針對貪腐高風險業務實施稽核及管考：政風機構針對機關高風險、民眾有感、社會重視等議題辦理專案稽核，計列管案件100件，其中發現疑涉不法情事15案，追究行政責任21人次，達成減少浪費、節省公帑及增加國（公）庫收入等財務效益計42案，金額計5,384萬餘元。</w:t>
      </w:r>
    </w:p>
    <w:p w:rsidR="005A2AA4" w:rsidRPr="006F69B9" w:rsidRDefault="005A2AA4" w:rsidP="005A2AA4">
      <w:pPr>
        <w:pStyle w:val="14"/>
        <w:numPr>
          <w:ilvl w:val="0"/>
          <w:numId w:val="49"/>
        </w:numPr>
        <w:snapToGrid w:val="0"/>
        <w:spacing w:line="500" w:lineRule="exact"/>
        <w:rPr>
          <w:rFonts w:hAnsi="標楷體"/>
          <w:spacing w:val="-4"/>
        </w:rPr>
      </w:pPr>
      <w:r w:rsidRPr="006F69B9">
        <w:rPr>
          <w:rFonts w:hAnsi="標楷體" w:hint="eastAsia"/>
          <w:spacing w:val="-4"/>
        </w:rPr>
        <w:t>紓解矯正機關超收擁擠問題，落實出獄轉介機制：透過機動性調整移監，有效運用各矯正機關舍房空間，另以擴、增、改或遷建監所方式，提供新收容空間；精進就業轉介流程，提供受刑人出獄後就業協助，本年度轉介成功率為55.54</w:t>
      </w:r>
      <w:r w:rsidRPr="006F69B9">
        <w:rPr>
          <w:rFonts w:hAnsi="標楷體" w:hint="eastAsia"/>
        </w:rPr>
        <w:t>％</w:t>
      </w:r>
      <w:r w:rsidRPr="006F69B9">
        <w:rPr>
          <w:rFonts w:hAnsi="標楷體" w:hint="eastAsia"/>
          <w:spacing w:val="-4"/>
        </w:rPr>
        <w:t>。</w:t>
      </w:r>
    </w:p>
    <w:p w:rsidR="005A2AA4" w:rsidRPr="006F69B9" w:rsidRDefault="005A2AA4" w:rsidP="005A2AA4">
      <w:pPr>
        <w:pStyle w:val="14"/>
        <w:numPr>
          <w:ilvl w:val="0"/>
          <w:numId w:val="49"/>
        </w:numPr>
        <w:snapToGrid w:val="0"/>
        <w:spacing w:line="500" w:lineRule="exact"/>
        <w:rPr>
          <w:rFonts w:hAnsi="標楷體"/>
          <w:spacing w:val="-4"/>
        </w:rPr>
      </w:pPr>
      <w:r w:rsidRPr="006F69B9">
        <w:rPr>
          <w:rFonts w:hAnsi="標楷體" w:hint="eastAsia"/>
          <w:spacing w:val="-4"/>
        </w:rPr>
        <w:t>提升檢察效能，維護司法正義：貫徹「司法改革國是會議」結論，落實檢察官評鑑及懲戒制度；精緻偵查，強化整體肅貪力量，提升貪瀆定罪率；成立「追討犯罪所得專組」，強化沒收</w:t>
      </w:r>
      <w:r w:rsidRPr="004B5552">
        <w:rPr>
          <w:rFonts w:hAnsi="標楷體" w:hint="eastAsia"/>
          <w:spacing w:val="-4"/>
        </w:rPr>
        <w:t>犯罪</w:t>
      </w:r>
      <w:r>
        <w:rPr>
          <w:rFonts w:hAnsi="標楷體" w:hint="eastAsia"/>
          <w:spacing w:val="-4"/>
        </w:rPr>
        <w:t>不法</w:t>
      </w:r>
      <w:r w:rsidRPr="004B5552">
        <w:rPr>
          <w:rFonts w:hAnsi="標楷體" w:hint="eastAsia"/>
          <w:spacing w:val="-4"/>
        </w:rPr>
        <w:t>所得</w:t>
      </w:r>
      <w:r w:rsidRPr="006F69B9">
        <w:rPr>
          <w:rFonts w:hAnsi="標楷體" w:hint="eastAsia"/>
          <w:spacing w:val="-4"/>
        </w:rPr>
        <w:t>效率。</w:t>
      </w:r>
    </w:p>
    <w:p w:rsidR="005A2AA4" w:rsidRPr="006F69B9" w:rsidRDefault="005A2AA4" w:rsidP="005A2AA4">
      <w:pPr>
        <w:pStyle w:val="1"/>
        <w:spacing w:before="360" w:line="500" w:lineRule="exact"/>
        <w:rPr>
          <w:rFonts w:ascii="標楷體" w:eastAsia="標楷體" w:hAnsi="標楷體"/>
        </w:rPr>
      </w:pPr>
      <w:r>
        <w:rPr>
          <w:rFonts w:ascii="標楷體" w:eastAsia="標楷體" w:hAnsi="標楷體" w:hint="eastAsia"/>
        </w:rPr>
        <w:t>七</w:t>
      </w:r>
      <w:r w:rsidRPr="006F69B9">
        <w:rPr>
          <w:rFonts w:ascii="標楷體" w:eastAsia="標楷體" w:hAnsi="標楷體" w:hint="eastAsia"/>
        </w:rPr>
        <w:t>、關於經濟及能源方面</w:t>
      </w:r>
    </w:p>
    <w:p w:rsidR="005A2AA4" w:rsidRPr="006F69B9" w:rsidRDefault="005A2AA4" w:rsidP="005A2AA4">
      <w:pPr>
        <w:pStyle w:val="13"/>
        <w:snapToGrid w:val="0"/>
        <w:spacing w:line="500" w:lineRule="exact"/>
        <w:ind w:left="0" w:firstLine="601"/>
        <w:rPr>
          <w:rFonts w:hAnsi="標楷體"/>
        </w:rPr>
      </w:pPr>
      <w:r w:rsidRPr="006F69B9">
        <w:rPr>
          <w:rFonts w:hAnsi="標楷體" w:hint="eastAsia"/>
        </w:rPr>
        <w:t>本年度經濟及能源施政重點，為創造產業優勢，以創新驅動產業升級轉型；打造全方位經貿關係，強化新興市場拓銷；完善創業生態系統，加強扶植中小企業；推動跨境電子商務及新興商業模式，優化國際行銷通路；打造綠能低碳環境，推動節約能源行動等。一年來施政所獲成效如下：</w:t>
      </w:r>
    </w:p>
    <w:p w:rsidR="005A2AA4" w:rsidRPr="006F69B9" w:rsidRDefault="005A2AA4" w:rsidP="005A2AA4">
      <w:pPr>
        <w:pStyle w:val="14"/>
        <w:numPr>
          <w:ilvl w:val="0"/>
          <w:numId w:val="9"/>
        </w:numPr>
        <w:snapToGrid w:val="0"/>
        <w:spacing w:line="500" w:lineRule="exact"/>
        <w:rPr>
          <w:rFonts w:hAnsi="標楷體"/>
        </w:rPr>
      </w:pPr>
      <w:r w:rsidRPr="006F69B9">
        <w:rPr>
          <w:rFonts w:hAnsi="標楷體" w:hint="eastAsia"/>
        </w:rPr>
        <w:t>推動產業創新研發，強化研發創新應用能力：促進「綠色能源科技」、「國防」、「亞洲．矽谷」、「生技醫藥」、「智慧機械」等五大產業創新發展，本年度新增投資達1,888億餘元；研發技術落實產業應用，本年度科技專案專利應用件數計1,102件</w:t>
      </w:r>
      <w:r>
        <w:rPr>
          <w:rFonts w:hAnsi="標楷體" w:hint="eastAsia"/>
        </w:rPr>
        <w:t>、</w:t>
      </w:r>
      <w:r w:rsidRPr="006F69B9">
        <w:rPr>
          <w:rFonts w:hAnsi="標楷體" w:hint="eastAsia"/>
        </w:rPr>
        <w:t>技術移轉件數計1,096件。</w:t>
      </w:r>
    </w:p>
    <w:p w:rsidR="005A2AA4" w:rsidRPr="006F69B9" w:rsidRDefault="005A2AA4" w:rsidP="005A2AA4">
      <w:pPr>
        <w:pStyle w:val="14"/>
        <w:numPr>
          <w:ilvl w:val="0"/>
          <w:numId w:val="9"/>
        </w:numPr>
        <w:snapToGrid w:val="0"/>
        <w:spacing w:line="500" w:lineRule="exact"/>
        <w:rPr>
          <w:rFonts w:hAnsi="標楷體"/>
        </w:rPr>
      </w:pPr>
      <w:r w:rsidRPr="006F69B9">
        <w:rPr>
          <w:rFonts w:hAnsi="標楷體" w:hint="eastAsia"/>
        </w:rPr>
        <w:t>協助廠商拓展新興市場，促進出口市場多元化：以「行銷拓展」、「能量建構」、「海外服務」、「形象提升」等多元作法，協助廠商成功建</w:t>
      </w:r>
      <w:r w:rsidRPr="006F69B9">
        <w:rPr>
          <w:rFonts w:hAnsi="標楷體" w:hint="eastAsia"/>
        </w:rPr>
        <w:lastRenderedPageBreak/>
        <w:t>置新興市場實虛通路計423家，洽邀買主來臺計5,906人次、蒐集商情商機數計3萬餘則，協助廠商爭取新興市場商機達70億餘美元。</w:t>
      </w:r>
    </w:p>
    <w:p w:rsidR="005A2AA4" w:rsidRPr="006F69B9" w:rsidRDefault="005A2AA4" w:rsidP="005A2AA4">
      <w:pPr>
        <w:pStyle w:val="14"/>
        <w:numPr>
          <w:ilvl w:val="0"/>
          <w:numId w:val="9"/>
        </w:numPr>
        <w:snapToGrid w:val="0"/>
        <w:spacing w:line="500" w:lineRule="exact"/>
        <w:rPr>
          <w:rFonts w:hAnsi="標楷體"/>
          <w:spacing w:val="-2"/>
        </w:rPr>
      </w:pPr>
      <w:r w:rsidRPr="006F69B9">
        <w:rPr>
          <w:rFonts w:hAnsi="標楷體" w:hint="eastAsia"/>
          <w:spacing w:val="-2"/>
        </w:rPr>
        <w:t>創新創業育成，扶植中小企業：辦理創業課程，本年度培育新創企業計4,315家；結合地方政府共同推動地方產業發展，活絡地方經濟，創造在地就業；提供中小企業法規諮詢、募資輔導、案源開發及媒合廣宣等服務。</w:t>
      </w:r>
    </w:p>
    <w:p w:rsidR="005A2AA4" w:rsidRPr="006F69B9" w:rsidRDefault="005A2AA4" w:rsidP="005A2AA4">
      <w:pPr>
        <w:pStyle w:val="14"/>
        <w:numPr>
          <w:ilvl w:val="0"/>
          <w:numId w:val="9"/>
        </w:numPr>
        <w:snapToGrid w:val="0"/>
        <w:spacing w:line="500" w:lineRule="exact"/>
        <w:rPr>
          <w:rFonts w:hAnsi="標楷體"/>
        </w:rPr>
      </w:pPr>
      <w:r w:rsidRPr="006F69B9">
        <w:rPr>
          <w:rFonts w:hAnsi="標楷體" w:hint="eastAsia"/>
        </w:rPr>
        <w:t>輔導國內企業行銷發展，強化國際行銷能力：營造國內電子商務良好經營環境，輔導我電商業者推廣500個臺灣品牌、11萬項商品於海外電商平臺上架銷售；協助連鎖加盟企業品牌定位與經營管理機制等能力，強化國際行銷，促進國內外門市設立137個據點，新增就業人數1</w:t>
      </w:r>
      <w:r w:rsidRPr="006F69B9">
        <w:rPr>
          <w:rFonts w:hAnsi="標楷體"/>
        </w:rPr>
        <w:t>,167</w:t>
      </w:r>
      <w:r w:rsidRPr="006F69B9">
        <w:rPr>
          <w:rFonts w:hAnsi="標楷體" w:hint="eastAsia"/>
        </w:rPr>
        <w:t>人，投資金額達5億餘元。</w:t>
      </w:r>
    </w:p>
    <w:p w:rsidR="005A2AA4" w:rsidRPr="006F69B9" w:rsidRDefault="005A2AA4" w:rsidP="005A2AA4">
      <w:pPr>
        <w:pStyle w:val="14"/>
        <w:numPr>
          <w:ilvl w:val="0"/>
          <w:numId w:val="9"/>
        </w:numPr>
        <w:snapToGrid w:val="0"/>
        <w:spacing w:line="500" w:lineRule="exact"/>
        <w:rPr>
          <w:rFonts w:hAnsi="標楷體"/>
        </w:rPr>
      </w:pPr>
      <w:r w:rsidRPr="006F69B9">
        <w:rPr>
          <w:rFonts w:hAnsi="標楷體" w:hint="eastAsia"/>
          <w:spacing w:val="-2"/>
        </w:rPr>
        <w:t>啟動</w:t>
      </w:r>
      <w:r w:rsidRPr="006F69B9">
        <w:rPr>
          <w:rFonts w:hAnsi="標楷體" w:hint="eastAsia"/>
        </w:rPr>
        <w:t>能源轉型與電業改革，帶動新興綠能產業發展：擴大推動綠色能源，截至本年12月底止，再生能源裝置容量累計達524萬瓩；推動節約能源，本年度執行用電器具及節能標章節能253千公秉油當量、節能技術服務102.6千公秉油當量。</w:t>
      </w:r>
    </w:p>
    <w:p w:rsidR="005A2AA4" w:rsidRPr="006F69B9" w:rsidRDefault="005A2AA4" w:rsidP="005A2AA4">
      <w:pPr>
        <w:pStyle w:val="1"/>
        <w:spacing w:before="360" w:line="500" w:lineRule="exact"/>
        <w:rPr>
          <w:rFonts w:ascii="標楷體" w:eastAsia="標楷體" w:hAnsi="標楷體"/>
        </w:rPr>
      </w:pPr>
      <w:r>
        <w:rPr>
          <w:rFonts w:ascii="標楷體" w:eastAsia="標楷體" w:hAnsi="標楷體" w:hint="eastAsia"/>
        </w:rPr>
        <w:t>八</w:t>
      </w:r>
      <w:r w:rsidRPr="006F69B9">
        <w:rPr>
          <w:rFonts w:ascii="標楷體" w:eastAsia="標楷體" w:hAnsi="標楷體" w:hint="eastAsia"/>
        </w:rPr>
        <w:t>、關於交通及建設方面</w:t>
      </w:r>
    </w:p>
    <w:p w:rsidR="005A2AA4" w:rsidRPr="006F69B9" w:rsidRDefault="005A2AA4" w:rsidP="005A2AA4">
      <w:pPr>
        <w:pStyle w:val="13"/>
        <w:snapToGrid w:val="0"/>
        <w:spacing w:line="500" w:lineRule="exact"/>
        <w:ind w:left="0" w:firstLine="601"/>
        <w:rPr>
          <w:rFonts w:hAnsi="標楷體"/>
        </w:rPr>
      </w:pPr>
      <w:r w:rsidRPr="006F69B9">
        <w:rPr>
          <w:rFonts w:hAnsi="標楷體" w:hint="eastAsia"/>
        </w:rPr>
        <w:t>本年度交通及建設施政重點，為提升公共及綠能運輸服務水準，落實運輸風險管理；營造優質營運環境，強化海空運服務競爭力；持續改進道路交通秩序安全，減少交通傷亡；強化災害風險管理機制，增進氣象及地震預報效能</w:t>
      </w:r>
      <w:r w:rsidRPr="00E7038D">
        <w:rPr>
          <w:rFonts w:hAnsi="標楷體" w:hint="eastAsia"/>
        </w:rPr>
        <w:t>；深化臺灣觀光內涵，開發高潛力新興客源</w:t>
      </w:r>
      <w:r>
        <w:rPr>
          <w:rFonts w:hAnsi="標楷體" w:hint="eastAsia"/>
        </w:rPr>
        <w:t>；</w:t>
      </w:r>
      <w:r w:rsidRPr="009A3502">
        <w:rPr>
          <w:rFonts w:hAnsi="標楷體" w:hint="eastAsia"/>
        </w:rPr>
        <w:t>建構公共工程品質管理機制，強化品質查核</w:t>
      </w:r>
      <w:r>
        <w:rPr>
          <w:rFonts w:hAnsi="標楷體" w:hint="eastAsia"/>
        </w:rPr>
        <w:t>等</w:t>
      </w:r>
      <w:r w:rsidRPr="006F69B9">
        <w:rPr>
          <w:rFonts w:hAnsi="標楷體" w:hint="eastAsia"/>
        </w:rPr>
        <w:t>。一年來施政所獲成效如下：</w:t>
      </w:r>
    </w:p>
    <w:p w:rsidR="005A2AA4" w:rsidRPr="006F69B9" w:rsidRDefault="005A2AA4" w:rsidP="005A2AA4">
      <w:pPr>
        <w:pStyle w:val="14"/>
        <w:numPr>
          <w:ilvl w:val="0"/>
          <w:numId w:val="17"/>
        </w:numPr>
        <w:snapToGrid w:val="0"/>
        <w:spacing w:line="500" w:lineRule="exact"/>
        <w:rPr>
          <w:rFonts w:hAnsi="標楷體"/>
        </w:rPr>
      </w:pPr>
      <w:r w:rsidRPr="006F69B9">
        <w:rPr>
          <w:rFonts w:hAnsi="標楷體" w:hint="eastAsia"/>
        </w:rPr>
        <w:t>改善交通瓶頸與縮小城鄉發展差距，積極辦理橋梁檢測及補強：為改善各縣及鄉道服務品質，並串連各級道路完整地區路網，本年度完成生活圈道路交通系統建設計畫工程計14件，約20.33公里；為延長橋梁耐震使用年限，地震後能續保交通運輸與救災功能，本年度完成5 座省道橋梁耐震補強工程。</w:t>
      </w:r>
    </w:p>
    <w:p w:rsidR="005A2AA4" w:rsidRPr="006F69B9" w:rsidRDefault="005A2AA4" w:rsidP="005A2AA4">
      <w:pPr>
        <w:pStyle w:val="14"/>
        <w:numPr>
          <w:ilvl w:val="0"/>
          <w:numId w:val="17"/>
        </w:numPr>
        <w:snapToGrid w:val="0"/>
        <w:spacing w:line="500" w:lineRule="exact"/>
        <w:rPr>
          <w:rFonts w:hAnsi="標楷體"/>
        </w:rPr>
      </w:pPr>
      <w:r w:rsidRPr="006F69B9">
        <w:rPr>
          <w:rFonts w:hAnsi="標楷體" w:hint="eastAsia"/>
        </w:rPr>
        <w:t>加強海空運軟硬體建設與規劃，拓展國際航權協定：</w:t>
      </w:r>
      <w:r>
        <w:rPr>
          <w:rFonts w:hAnsi="標楷體" w:hint="eastAsia"/>
        </w:rPr>
        <w:t>辦理</w:t>
      </w:r>
      <w:r w:rsidRPr="006F69B9">
        <w:rPr>
          <w:rFonts w:hAnsi="標楷體" w:hint="eastAsia"/>
          <w:szCs w:val="26"/>
        </w:rPr>
        <w:t>桃園國際機</w:t>
      </w:r>
      <w:r w:rsidRPr="006F69B9">
        <w:rPr>
          <w:rFonts w:hAnsi="標楷體" w:hint="eastAsia"/>
          <w:szCs w:val="26"/>
        </w:rPr>
        <w:lastRenderedPageBreak/>
        <w:t>場第二航廈擴建工程</w:t>
      </w:r>
      <w:r>
        <w:rPr>
          <w:rFonts w:hAnsi="標楷體" w:hint="eastAsia"/>
          <w:szCs w:val="26"/>
        </w:rPr>
        <w:t>，</w:t>
      </w:r>
      <w:r w:rsidRPr="006F69B9">
        <w:rPr>
          <w:rFonts w:hAnsi="標楷體" w:hint="eastAsia"/>
          <w:szCs w:val="26"/>
        </w:rPr>
        <w:t>開放啟用部分南側出境報到區域；7 個自由貿易港區已有114家事業進駐營運，本年度進出口貿易值達6,936億餘元；與盧森堡、俄羅斯、索羅門群島、奧地利及阿拉伯聯合大公國完成簽署或修訂通航協定；國際航線降落費調降約20</w:t>
      </w:r>
      <w:r w:rsidRPr="006F69B9">
        <w:rPr>
          <w:rFonts w:hAnsi="標楷體" w:hint="eastAsia"/>
        </w:rPr>
        <w:t>％</w:t>
      </w:r>
      <w:r w:rsidRPr="006F69B9">
        <w:rPr>
          <w:rFonts w:hAnsi="標楷體" w:hint="eastAsia"/>
          <w:szCs w:val="26"/>
        </w:rPr>
        <w:t>，增加航空公司營運彈性，有助提升我國航空運輸競爭力。</w:t>
      </w:r>
    </w:p>
    <w:p w:rsidR="005A2AA4" w:rsidRPr="006F69B9" w:rsidRDefault="005A2AA4" w:rsidP="005A2AA4">
      <w:pPr>
        <w:pStyle w:val="14"/>
        <w:numPr>
          <w:ilvl w:val="0"/>
          <w:numId w:val="17"/>
        </w:numPr>
        <w:snapToGrid w:val="0"/>
        <w:spacing w:line="500" w:lineRule="exact"/>
        <w:rPr>
          <w:rFonts w:hAnsi="標楷體"/>
        </w:rPr>
      </w:pPr>
      <w:r w:rsidRPr="006F69B9">
        <w:rPr>
          <w:rFonts w:hAnsi="標楷體" w:hint="eastAsia"/>
        </w:rPr>
        <w:t>鼓勵企業訂定杜絕酒駕自律公約，加強遊覽車安全管理：建構安全交通環境</w:t>
      </w:r>
      <w:r>
        <w:rPr>
          <w:rFonts w:hAnsi="標楷體" w:hint="eastAsia"/>
        </w:rPr>
        <w:t>，</w:t>
      </w:r>
      <w:r w:rsidRPr="006F69B9">
        <w:rPr>
          <w:rFonts w:hAnsi="標楷體" w:hint="eastAsia"/>
        </w:rPr>
        <w:t>辦理「不酒駕我行」交通部暨企業宣誓記者會，自律約束企業員工不得酒駕，計有55 家企業響應簽署，另網路簽署者計160餘家；628家客運業者申請裝置全球衛星定位設備車輛計10,858 輛、營運車輛監控管理系統計345 套。</w:t>
      </w:r>
    </w:p>
    <w:p w:rsidR="005A2AA4" w:rsidRDefault="005A2AA4" w:rsidP="005A2AA4">
      <w:pPr>
        <w:pStyle w:val="14"/>
        <w:numPr>
          <w:ilvl w:val="0"/>
          <w:numId w:val="17"/>
        </w:numPr>
        <w:snapToGrid w:val="0"/>
        <w:spacing w:line="500" w:lineRule="exact"/>
        <w:rPr>
          <w:rFonts w:hAnsi="標楷體"/>
        </w:rPr>
      </w:pPr>
      <w:r w:rsidRPr="006F69B9">
        <w:rPr>
          <w:rFonts w:hAnsi="標楷體" w:hint="eastAsia"/>
        </w:rPr>
        <w:t>建置氣象預報作業輔助系統，強化地震測報效能：完成氣象局全球系集預報系統(CWB/GEPS)45 天預報系統上線作業；完成氣象局系集高更新頻率、高解析度雷達資料同化系統(LETKF)上線作業；發布有感地震報告465 次，包括顯著有感地震報告60 次、小區域有感地震報告405 次；完成建置即時地震海嘯觀測站3 座，擴建海纜總長度至115公里。</w:t>
      </w:r>
    </w:p>
    <w:p w:rsidR="005A2AA4" w:rsidRDefault="005A2AA4" w:rsidP="005A2AA4">
      <w:pPr>
        <w:pStyle w:val="14"/>
        <w:numPr>
          <w:ilvl w:val="0"/>
          <w:numId w:val="17"/>
        </w:numPr>
        <w:snapToGrid w:val="0"/>
        <w:spacing w:line="500" w:lineRule="exact"/>
        <w:rPr>
          <w:rFonts w:hAnsi="標楷體"/>
        </w:rPr>
      </w:pPr>
      <w:r w:rsidRPr="00E7038D">
        <w:rPr>
          <w:rFonts w:hAnsi="標楷體" w:hint="eastAsia"/>
        </w:rPr>
        <w:t>客源結構成功轉型，來臺旅客再創高峰：運用多元創新之市場布局與宣傳策略，如臺北米其林指南專案，積極開拓日韓、新南向、郵輪、穆斯林等高潛力客源，本年度來臺旅客達1,074 萬人次，創歷史新高。</w:t>
      </w:r>
    </w:p>
    <w:p w:rsidR="005A2AA4" w:rsidRPr="00E7038D" w:rsidRDefault="005A2AA4" w:rsidP="005A2AA4">
      <w:pPr>
        <w:pStyle w:val="14"/>
        <w:numPr>
          <w:ilvl w:val="0"/>
          <w:numId w:val="17"/>
        </w:numPr>
        <w:snapToGrid w:val="0"/>
        <w:spacing w:line="500" w:lineRule="exact"/>
        <w:rPr>
          <w:rFonts w:hAnsi="標楷體"/>
        </w:rPr>
      </w:pPr>
      <w:r w:rsidRPr="009A3502">
        <w:rPr>
          <w:rFonts w:hAnsi="標楷體" w:hint="eastAsia"/>
        </w:rPr>
        <w:t>全面提升公共工程施工品質，確保施工成果符合要求：修正「公共工程金質獎頒發作業要點」等5項品管法規作業；中央工程施工查核小組辦理106年度全國工程品質查核，共130件；推動「公共工程施工廠商履約情形計分制度」，宣導機關善用公共工程施工廠商履歷資料挑選優良廠商。</w:t>
      </w:r>
    </w:p>
    <w:p w:rsidR="005A2AA4" w:rsidRPr="006F69B9" w:rsidRDefault="005A2AA4" w:rsidP="005A2AA4">
      <w:pPr>
        <w:pStyle w:val="1"/>
        <w:spacing w:before="360" w:line="500" w:lineRule="exact"/>
        <w:rPr>
          <w:rFonts w:ascii="標楷體" w:eastAsia="標楷體" w:hAnsi="標楷體"/>
        </w:rPr>
      </w:pPr>
      <w:r w:rsidRPr="006F69B9">
        <w:rPr>
          <w:rFonts w:ascii="標楷體" w:eastAsia="標楷體" w:hAnsi="標楷體" w:hint="eastAsia"/>
        </w:rPr>
        <w:t>九、關於勞動方面</w:t>
      </w:r>
    </w:p>
    <w:p w:rsidR="005A2AA4" w:rsidRPr="006F69B9" w:rsidRDefault="005A2AA4" w:rsidP="005A2AA4">
      <w:pPr>
        <w:pStyle w:val="13"/>
        <w:snapToGrid w:val="0"/>
        <w:spacing w:line="500" w:lineRule="exact"/>
        <w:ind w:left="0" w:firstLine="567"/>
        <w:rPr>
          <w:rFonts w:hAnsi="標楷體"/>
        </w:rPr>
      </w:pPr>
      <w:r w:rsidRPr="006F69B9">
        <w:rPr>
          <w:rFonts w:hAnsi="標楷體" w:hint="eastAsia"/>
        </w:rPr>
        <w:t>本年度勞動施政重點，為落實工會組織自由化，推動公平勞資關係；促進職工福利多元化，健全勞動就業平等；完善勞工退休金制度，強化勞工債權保障；建構在地化勞工健康服務制度與體系，健全職業災害預防、保護及</w:t>
      </w:r>
      <w:r w:rsidRPr="006F69B9">
        <w:rPr>
          <w:rFonts w:hAnsi="標楷體" w:hint="eastAsia"/>
        </w:rPr>
        <w:lastRenderedPageBreak/>
        <w:t>重建機制；促進勞動力開發與運用，加強整合就業與訓練資源等。一年來施政所獲成效如下：</w:t>
      </w:r>
    </w:p>
    <w:p w:rsidR="005A2AA4" w:rsidRPr="006F69B9" w:rsidRDefault="005A2AA4" w:rsidP="005A2AA4">
      <w:pPr>
        <w:pStyle w:val="14"/>
        <w:numPr>
          <w:ilvl w:val="0"/>
          <w:numId w:val="26"/>
        </w:numPr>
        <w:snapToGrid w:val="0"/>
        <w:spacing w:line="500" w:lineRule="exact"/>
        <w:rPr>
          <w:rFonts w:hAnsi="標楷體"/>
        </w:rPr>
      </w:pPr>
      <w:r w:rsidRPr="006F69B9">
        <w:rPr>
          <w:rFonts w:hAnsi="標楷體" w:hint="eastAsia"/>
        </w:rPr>
        <w:t>推動公平</w:t>
      </w:r>
      <w:r>
        <w:rPr>
          <w:rFonts w:hAnsi="標楷體" w:hint="eastAsia"/>
        </w:rPr>
        <w:t>的集體</w:t>
      </w:r>
      <w:r w:rsidRPr="006F69B9">
        <w:rPr>
          <w:rFonts w:hAnsi="標楷體" w:hint="eastAsia"/>
        </w:rPr>
        <w:t>勞資關係，強化勞動基準建立：加強工會交流，促進工會組織健全發展；落實企業內勞資會議</w:t>
      </w:r>
      <w:r>
        <w:rPr>
          <w:rFonts w:hAnsi="標楷體" w:hint="eastAsia"/>
        </w:rPr>
        <w:t>，強化勞工參與機制</w:t>
      </w:r>
      <w:r w:rsidRPr="006F69B9">
        <w:rPr>
          <w:rFonts w:hAnsi="標楷體" w:hint="eastAsia"/>
        </w:rPr>
        <w:t>；明確重要勞動契約權利義務規範，加強與勞雇團體說明勞動契約法制；推動派遣勞工保護法制作業，健全勞動權益。</w:t>
      </w:r>
    </w:p>
    <w:p w:rsidR="005A2AA4" w:rsidRPr="006F69B9" w:rsidRDefault="005A2AA4" w:rsidP="005A2AA4">
      <w:pPr>
        <w:pStyle w:val="14"/>
        <w:numPr>
          <w:ilvl w:val="0"/>
          <w:numId w:val="26"/>
        </w:numPr>
        <w:snapToGrid w:val="0"/>
        <w:spacing w:line="500" w:lineRule="exact"/>
        <w:rPr>
          <w:rFonts w:hAnsi="標楷體"/>
        </w:rPr>
      </w:pPr>
      <w:r w:rsidRPr="006F69B9">
        <w:rPr>
          <w:rFonts w:hAnsi="標楷體" w:hint="eastAsia"/>
        </w:rPr>
        <w:t>鼓勵企業推動友善職場環境，促進職場工作平等：輔導及補助雇主設置員工哺（集）乳室、提供托兒設（措）施及推動友善家庭措施，支持勞工兼顧工作與家庭照顧；推動職場平權、防制就業歧視及協助育嬰留職停薪之受僱者返回職場等措施及宣導。</w:t>
      </w:r>
    </w:p>
    <w:p w:rsidR="005A2AA4" w:rsidRPr="006F69B9" w:rsidRDefault="005A2AA4" w:rsidP="005A2AA4">
      <w:pPr>
        <w:pStyle w:val="14"/>
        <w:numPr>
          <w:ilvl w:val="0"/>
          <w:numId w:val="26"/>
        </w:numPr>
        <w:snapToGrid w:val="0"/>
        <w:spacing w:line="500" w:lineRule="exact"/>
        <w:rPr>
          <w:rFonts w:hAnsi="標楷體"/>
        </w:rPr>
      </w:pPr>
      <w:r w:rsidRPr="006F69B9">
        <w:rPr>
          <w:rFonts w:hAnsi="標楷體" w:hint="eastAsia"/>
        </w:rPr>
        <w:t>完善勞工退休金制度及保險財務，以確保勞工退休生活：督促</w:t>
      </w:r>
      <w:r w:rsidR="00F716F9" w:rsidRPr="006F69B9">
        <w:rPr>
          <w:rFonts w:hAnsi="標楷體" w:hint="eastAsia"/>
        </w:rPr>
        <w:t>市</w:t>
      </w:r>
      <w:r w:rsidRPr="006F69B9">
        <w:rPr>
          <w:rFonts w:hAnsi="標楷體" w:hint="eastAsia"/>
        </w:rPr>
        <w:t>縣政府落實勞工退休準備金</w:t>
      </w:r>
      <w:proofErr w:type="gramStart"/>
      <w:r w:rsidRPr="006F69B9">
        <w:rPr>
          <w:rFonts w:hAnsi="標楷體" w:hint="eastAsia"/>
        </w:rPr>
        <w:t>提撥</w:t>
      </w:r>
      <w:proofErr w:type="gramEnd"/>
      <w:r w:rsidRPr="006F69B9">
        <w:rPr>
          <w:rFonts w:hAnsi="標楷體" w:hint="eastAsia"/>
        </w:rPr>
        <w:t>，辦理勞工退休金制度及法令宣導；健全勞工退休金制度，強化勞工退休金權益保障；</w:t>
      </w:r>
      <w:proofErr w:type="gramStart"/>
      <w:r w:rsidRPr="006F69B9">
        <w:rPr>
          <w:rFonts w:hAnsi="標楷體" w:hint="eastAsia"/>
        </w:rPr>
        <w:t>研</w:t>
      </w:r>
      <w:proofErr w:type="gramEnd"/>
      <w:r w:rsidRPr="006F69B9">
        <w:rPr>
          <w:rFonts w:hAnsi="標楷體" w:hint="eastAsia"/>
        </w:rPr>
        <w:t>議改進勞工保險與就業保險之財務、承保及現金給付業務；健全職業災害保險制度，推動職業災害保險單獨立法，並適時改進勞工保險職業災害保險相關規定。</w:t>
      </w:r>
    </w:p>
    <w:p w:rsidR="005A2AA4" w:rsidRPr="006F69B9" w:rsidRDefault="005A2AA4" w:rsidP="005A2AA4">
      <w:pPr>
        <w:pStyle w:val="14"/>
        <w:numPr>
          <w:ilvl w:val="0"/>
          <w:numId w:val="26"/>
        </w:numPr>
        <w:snapToGrid w:val="0"/>
        <w:spacing w:line="500" w:lineRule="exact"/>
        <w:rPr>
          <w:rFonts w:hAnsi="標楷體"/>
          <w:spacing w:val="-2"/>
        </w:rPr>
      </w:pPr>
      <w:r w:rsidRPr="006F69B9">
        <w:rPr>
          <w:rFonts w:hAnsi="標楷體" w:hint="eastAsia"/>
          <w:spacing w:val="-2"/>
        </w:rPr>
        <w:t>提升我國職業安全衛生水準，落實職業安全衛生制度：強化職業安全改善技術研究及職場智慧監控研究，提升職場安全管理及監控效能；運用科技掌握職業衛生危害，開發控制技術以降低暴露風險；辦理職場危害因子智慧型暴露評估與健康監測之管理模式，提供企業參考；加強勞動及職業安全衛生國際交流，推動並宣導安全衛生各類知能，促進勞安知識傳播。</w:t>
      </w:r>
    </w:p>
    <w:p w:rsidR="005A2AA4" w:rsidRPr="006F69B9" w:rsidRDefault="005A2AA4" w:rsidP="005A2AA4">
      <w:pPr>
        <w:pStyle w:val="14"/>
        <w:numPr>
          <w:ilvl w:val="0"/>
          <w:numId w:val="26"/>
        </w:numPr>
        <w:snapToGrid w:val="0"/>
        <w:spacing w:line="500" w:lineRule="exact"/>
        <w:rPr>
          <w:rFonts w:hAnsi="標楷體"/>
        </w:rPr>
      </w:pPr>
      <w:r w:rsidRPr="006F69B9">
        <w:rPr>
          <w:rFonts w:hAnsi="標楷體" w:hint="eastAsia"/>
        </w:rPr>
        <w:t>強化就業服務網絡，協助民眾適性就業：配合國家重點產業政策，辦理失(待)業者職前訓練，培訓契合產業所需人才；提供多元化及實務性之職訓課程，推動青年專案職業訓練措施；協助身心障礙者適性就業，排除就業障礙，落實定額進用制度及奬（補）助措施，開發就業機會，提供職業輔導評量、職業訓練等個別化服務。</w:t>
      </w:r>
    </w:p>
    <w:p w:rsidR="005A2AA4" w:rsidRPr="006F69B9" w:rsidRDefault="005A2AA4" w:rsidP="005A2AA4">
      <w:pPr>
        <w:pStyle w:val="1"/>
        <w:spacing w:before="360" w:line="500" w:lineRule="exact"/>
        <w:rPr>
          <w:rFonts w:ascii="標楷體" w:eastAsia="標楷體" w:hAnsi="標楷體"/>
        </w:rPr>
      </w:pPr>
      <w:r w:rsidRPr="006F69B9">
        <w:rPr>
          <w:rFonts w:ascii="標楷體" w:eastAsia="標楷體" w:hAnsi="標楷體" w:hint="eastAsia"/>
        </w:rPr>
        <w:t>十、關於農業方面</w:t>
      </w:r>
    </w:p>
    <w:p w:rsidR="005A2AA4" w:rsidRPr="006F69B9" w:rsidRDefault="005A2AA4" w:rsidP="005A2AA4">
      <w:pPr>
        <w:pStyle w:val="13"/>
        <w:snapToGrid w:val="0"/>
        <w:spacing w:line="500" w:lineRule="exact"/>
        <w:ind w:left="0" w:firstLine="601"/>
        <w:rPr>
          <w:rFonts w:hAnsi="標楷體"/>
        </w:rPr>
      </w:pPr>
      <w:r w:rsidRPr="006F69B9">
        <w:rPr>
          <w:rFonts w:hAnsi="標楷體" w:hint="eastAsia"/>
        </w:rPr>
        <w:lastRenderedPageBreak/>
        <w:t>本年度農業施政重點，為創新農業價值，提升農業產銷效能；健全森林資源管理，維護生態環境永續；增強動植物防疫檢疫與檢驗效能，促進糧食安全；增裕海洋漁業資源，強化漁港碼頭使用機能；保育國土建立永續環境，健全土石流防災體系等。一年來施政所獲成效如下：</w:t>
      </w:r>
    </w:p>
    <w:p w:rsidR="005A2AA4" w:rsidRPr="006F69B9" w:rsidRDefault="005A2AA4" w:rsidP="005A2AA4">
      <w:pPr>
        <w:pStyle w:val="14"/>
        <w:numPr>
          <w:ilvl w:val="0"/>
          <w:numId w:val="24"/>
        </w:numPr>
        <w:snapToGrid w:val="0"/>
        <w:spacing w:line="500" w:lineRule="exact"/>
        <w:rPr>
          <w:rFonts w:hAnsi="標楷體"/>
        </w:rPr>
      </w:pPr>
      <w:r w:rsidRPr="006F69B9">
        <w:rPr>
          <w:rFonts w:hAnsi="標楷體" w:hint="eastAsia"/>
        </w:rPr>
        <w:t>扶植小農及企業農，加速農業產業科技化：推動農情調查及推動農業產銷班組織整合運作，掌握國內農糧生產情勢，朝企業化永續經營邁進；發展本土安全優質雜糧特用作物及蔬果產業，設置外銷集團產區；區隔進口產品，輔導改善設施及研發新技術，建構完整供應鏈，提升產業附加價值及競爭力；輔導發展智慧化批發市場，提高物流配送效率；推動包裝標準規格，輔導建立農產品品牌；推動</w:t>
      </w:r>
      <w:r w:rsidRPr="008916F8">
        <w:rPr>
          <w:rFonts w:hAnsi="標楷體" w:hint="eastAsia"/>
        </w:rPr>
        <w:t>在地生產</w:t>
      </w:r>
      <w:r>
        <w:rPr>
          <w:rFonts w:hAnsi="標楷體" w:hint="eastAsia"/>
        </w:rPr>
        <w:t>及</w:t>
      </w:r>
      <w:r w:rsidRPr="008916F8">
        <w:rPr>
          <w:rFonts w:hAnsi="標楷體" w:hint="eastAsia"/>
        </w:rPr>
        <w:t>在地消費</w:t>
      </w:r>
      <w:r w:rsidRPr="006F69B9">
        <w:rPr>
          <w:rFonts w:hAnsi="標楷體" w:hint="eastAsia"/>
        </w:rPr>
        <w:t>，結合電商以開拓行銷多元通路。</w:t>
      </w:r>
    </w:p>
    <w:p w:rsidR="005A2AA4" w:rsidRPr="006F69B9" w:rsidRDefault="005A2AA4" w:rsidP="005A2AA4">
      <w:pPr>
        <w:pStyle w:val="14"/>
        <w:numPr>
          <w:ilvl w:val="0"/>
          <w:numId w:val="24"/>
        </w:numPr>
        <w:snapToGrid w:val="0"/>
        <w:spacing w:line="500" w:lineRule="exact"/>
        <w:rPr>
          <w:rFonts w:hAnsi="標楷體"/>
        </w:rPr>
      </w:pPr>
      <w:r>
        <w:rPr>
          <w:rFonts w:hAnsi="標楷體" w:hint="eastAsia"/>
        </w:rPr>
        <w:t>維護</w:t>
      </w:r>
      <w:r w:rsidRPr="006F69B9">
        <w:rPr>
          <w:rFonts w:hAnsi="標楷體" w:hint="eastAsia"/>
        </w:rPr>
        <w:t>森林</w:t>
      </w:r>
      <w:r>
        <w:rPr>
          <w:rFonts w:hAnsi="標楷體" w:hint="eastAsia"/>
        </w:rPr>
        <w:t>環境生態</w:t>
      </w:r>
      <w:r w:rsidRPr="006F69B9">
        <w:rPr>
          <w:rFonts w:hAnsi="標楷體" w:hint="eastAsia"/>
        </w:rPr>
        <w:t>，推動森林長期監測體系：辦理國有林內崩塌地處理、防砂工程與緊急處理工程及整體治理規劃設計工作等計119件；處理全省林道復建、維護、排水系統改善及突發性災害搶修等工程計48件；執行國有林大規模崩塌潛勢區監測分析及調查規劃工作計6件；辦理劣化地復育364公頃、海岸新植58公頃、營造複層林28公頃、定砂38公頃。</w:t>
      </w:r>
    </w:p>
    <w:p w:rsidR="005A2AA4" w:rsidRPr="006F69B9" w:rsidRDefault="005A2AA4" w:rsidP="005A2AA4">
      <w:pPr>
        <w:pStyle w:val="14"/>
        <w:numPr>
          <w:ilvl w:val="0"/>
          <w:numId w:val="24"/>
        </w:numPr>
        <w:snapToGrid w:val="0"/>
        <w:spacing w:line="500" w:lineRule="exact"/>
        <w:rPr>
          <w:rFonts w:hAnsi="標楷體"/>
        </w:rPr>
      </w:pPr>
      <w:r w:rsidRPr="006F69B9">
        <w:rPr>
          <w:rFonts w:hAnsi="標楷體" w:hint="eastAsia"/>
        </w:rPr>
        <w:t>加強動植物防疫檢疫效能，強化農業用藥安全：嚴防國外動植物疫病蟲害入侵，於機場及港口配置47組檢疫犬，執行入境旅客隨身行李與貨物偵測，查獲農畜產品超過5.6萬件，計68萬公噸；辦理畜禽用藥抽驗4.06萬件，合格率99.81％；抽檢市售成品農藥1,000件，其中屬偽農藥8件、劣農藥83件；完成新增農藥延伸使用範圍982項，並送衛生福利部增訂容許量236項，以輔導正確用藥。</w:t>
      </w:r>
    </w:p>
    <w:p w:rsidR="005A2AA4" w:rsidRPr="006F69B9" w:rsidRDefault="005A2AA4" w:rsidP="005A2AA4">
      <w:pPr>
        <w:pStyle w:val="14"/>
        <w:numPr>
          <w:ilvl w:val="0"/>
          <w:numId w:val="24"/>
        </w:numPr>
        <w:snapToGrid w:val="0"/>
        <w:spacing w:line="500" w:lineRule="exact"/>
        <w:rPr>
          <w:rFonts w:hAnsi="標楷體"/>
        </w:rPr>
      </w:pPr>
      <w:r w:rsidRPr="006F69B9">
        <w:rPr>
          <w:rFonts w:hAnsi="標楷體" w:hint="eastAsia"/>
        </w:rPr>
        <w:t>持續推動漁業多元化經營建設，落實漁業資源管理：完成8處天然及人工礁區之覆網清除工作；</w:t>
      </w:r>
      <w:r w:rsidRPr="008916F8">
        <w:rPr>
          <w:rFonts w:hAnsi="標楷體" w:hint="eastAsia"/>
        </w:rPr>
        <w:t>保育沿近海漁業資源</w:t>
      </w:r>
      <w:r>
        <w:rPr>
          <w:rFonts w:hAnsi="標楷體" w:hint="eastAsia"/>
        </w:rPr>
        <w:t>，</w:t>
      </w:r>
      <w:r w:rsidRPr="006F69B9">
        <w:rPr>
          <w:rFonts w:hAnsi="標楷體" w:hint="eastAsia"/>
        </w:rPr>
        <w:t>完成709萬尾魚苗放流；辦理漁港觀光、遊憩等功能多元化利用共12處；辦理漁港老舊設施整修建與維護、防波設施延長改善、碼頭設施加高防災與減災計畫共計35處；辦理漁港疏浚、海岸監測維護及防護措施共計23處。</w:t>
      </w:r>
    </w:p>
    <w:p w:rsidR="005A2AA4" w:rsidRPr="006F69B9" w:rsidRDefault="005A2AA4" w:rsidP="005A2AA4">
      <w:pPr>
        <w:pStyle w:val="14"/>
        <w:numPr>
          <w:ilvl w:val="0"/>
          <w:numId w:val="24"/>
        </w:numPr>
        <w:snapToGrid w:val="0"/>
        <w:spacing w:line="500" w:lineRule="exact"/>
        <w:rPr>
          <w:rFonts w:hAnsi="標楷體"/>
        </w:rPr>
      </w:pPr>
      <w:r w:rsidRPr="006F69B9">
        <w:rPr>
          <w:rFonts w:hAnsi="標楷體" w:hint="eastAsia"/>
        </w:rPr>
        <w:lastRenderedPageBreak/>
        <w:t>推動整體性治山防災，提升災害應變能力：辦理治山防災工程564處，控制土砂量約650萬立方公尺，野溪清疏工程54處；完成土石流防災資訊調查與更新，推動土石流自主防災社區2.0計畫，提出防災監測調整規劃方式和警戒內容。</w:t>
      </w:r>
    </w:p>
    <w:p w:rsidR="005A2AA4" w:rsidRPr="006F69B9" w:rsidRDefault="005A2AA4" w:rsidP="005A2AA4">
      <w:pPr>
        <w:pStyle w:val="1"/>
        <w:spacing w:before="360" w:line="500" w:lineRule="exact"/>
        <w:rPr>
          <w:rFonts w:ascii="標楷體" w:eastAsia="標楷體" w:hAnsi="標楷體"/>
        </w:rPr>
      </w:pPr>
      <w:r w:rsidRPr="006F69B9">
        <w:rPr>
          <w:rFonts w:ascii="標楷體" w:eastAsia="標楷體" w:hAnsi="標楷體" w:hint="eastAsia"/>
        </w:rPr>
        <w:t>十</w:t>
      </w:r>
      <w:r>
        <w:rPr>
          <w:rFonts w:ascii="標楷體" w:eastAsia="標楷體" w:hAnsi="標楷體" w:hint="eastAsia"/>
        </w:rPr>
        <w:t>一</w:t>
      </w:r>
      <w:r w:rsidRPr="006F69B9">
        <w:rPr>
          <w:rFonts w:ascii="標楷體" w:eastAsia="標楷體" w:hAnsi="標楷體" w:hint="eastAsia"/>
        </w:rPr>
        <w:t>、關於衛生福利方面</w:t>
      </w:r>
    </w:p>
    <w:p w:rsidR="005A2AA4" w:rsidRPr="006F69B9" w:rsidRDefault="005A2AA4" w:rsidP="005A2AA4">
      <w:pPr>
        <w:pStyle w:val="13"/>
        <w:snapToGrid w:val="0"/>
        <w:spacing w:line="500" w:lineRule="exact"/>
        <w:ind w:left="0" w:firstLine="601"/>
        <w:rPr>
          <w:rFonts w:hAnsi="標楷體"/>
        </w:rPr>
      </w:pPr>
      <w:r w:rsidRPr="006F69B9">
        <w:rPr>
          <w:rFonts w:hAnsi="標楷體" w:hint="eastAsia"/>
        </w:rPr>
        <w:t>本年度衛生福利施政重點，為保障兒少及身心障礙者權益，促進社會參與；</w:t>
      </w:r>
      <w:r>
        <w:rPr>
          <w:rFonts w:hAnsi="標楷體" w:hint="eastAsia"/>
        </w:rPr>
        <w:t>強化</w:t>
      </w:r>
      <w:r w:rsidRPr="006F69B9">
        <w:rPr>
          <w:rFonts w:hAnsi="標楷體" w:hint="eastAsia"/>
        </w:rPr>
        <w:t>家庭支持與社區照顧服務能量，減輕家庭照顧壓力；提升偏鄉離島地區就醫可近性，保障民眾就醫權益及醫療品質；營造身心健康支持環境，</w:t>
      </w:r>
      <w:r>
        <w:rPr>
          <w:rFonts w:hAnsi="標楷體" w:hint="eastAsia"/>
        </w:rPr>
        <w:t>推展全人全程</w:t>
      </w:r>
      <w:r w:rsidRPr="006F69B9">
        <w:rPr>
          <w:rFonts w:hAnsi="標楷體" w:hint="eastAsia"/>
        </w:rPr>
        <w:t>健康促進；建構食藥安全風險預警防護網，保障食藥消費安全等。一年來施政所獲成效如下：</w:t>
      </w:r>
    </w:p>
    <w:p w:rsidR="005A2AA4" w:rsidRPr="006F69B9" w:rsidRDefault="005A2AA4" w:rsidP="005A2AA4">
      <w:pPr>
        <w:pStyle w:val="14"/>
        <w:numPr>
          <w:ilvl w:val="0"/>
          <w:numId w:val="11"/>
        </w:numPr>
        <w:snapToGrid w:val="0"/>
        <w:spacing w:line="500" w:lineRule="exact"/>
        <w:rPr>
          <w:rFonts w:hAnsi="標楷體"/>
        </w:rPr>
      </w:pPr>
      <w:r w:rsidRPr="006F69B9">
        <w:rPr>
          <w:rFonts w:hAnsi="標楷體" w:hint="eastAsia"/>
        </w:rPr>
        <w:t>優先照顧弱勢族群，健全福利服務體系：推動兒童權利公約，落實兒童及少年福利與權益保障；建置區域型家庭福利服務中心，綿密家庭支持服務網絡；推動身心障礙者權利公約，賡續辦理身心障礙鑑定與需求評估新制，提升服務效益。</w:t>
      </w:r>
    </w:p>
    <w:p w:rsidR="005A2AA4" w:rsidRPr="006F69B9" w:rsidRDefault="005A2AA4" w:rsidP="005A2AA4">
      <w:pPr>
        <w:pStyle w:val="14"/>
        <w:numPr>
          <w:ilvl w:val="0"/>
          <w:numId w:val="11"/>
        </w:numPr>
        <w:snapToGrid w:val="0"/>
        <w:spacing w:line="500" w:lineRule="exact"/>
        <w:rPr>
          <w:rFonts w:hAnsi="標楷體"/>
        </w:rPr>
      </w:pPr>
      <w:r w:rsidRPr="006F69B9">
        <w:rPr>
          <w:rFonts w:hAnsi="標楷體" w:hint="eastAsia"/>
        </w:rPr>
        <w:t>建置優質長照體系，提升長照服務品質：強化在地資源發展、提升社區照顧服務可近性，營造高齡友善的健康環境；推動獨居老人照護及整合性門診，辦理失智老人社區照護服務，提升失智症社區服務普及性；本年度已完成多元日照服務單位368個、設置失智症社區服務據點134處、失智症共照中心20處。</w:t>
      </w:r>
    </w:p>
    <w:p w:rsidR="005A2AA4" w:rsidRPr="006F69B9" w:rsidRDefault="005A2AA4" w:rsidP="005A2AA4">
      <w:pPr>
        <w:pStyle w:val="14"/>
        <w:numPr>
          <w:ilvl w:val="0"/>
          <w:numId w:val="11"/>
        </w:numPr>
        <w:snapToGrid w:val="0"/>
        <w:spacing w:line="500" w:lineRule="exact"/>
        <w:rPr>
          <w:rFonts w:hAnsi="標楷體"/>
        </w:rPr>
      </w:pPr>
      <w:r w:rsidRPr="006F69B9">
        <w:rPr>
          <w:rFonts w:hAnsi="標楷體" w:hint="eastAsia"/>
        </w:rPr>
        <w:t>拓展全方位醫療照護體系，均衡醫療資源分布：建立急重症照護網絡，提升離島及偏遠地區緊急醫療、急重症照護品質；推動醫療糾紛處理及事故補償制度</w:t>
      </w:r>
      <w:r>
        <w:rPr>
          <w:rFonts w:hAnsi="標楷體" w:hint="eastAsia"/>
        </w:rPr>
        <w:t>，建構醫病雙贏的醫療環境</w:t>
      </w:r>
      <w:r w:rsidRPr="006F69B9">
        <w:rPr>
          <w:rFonts w:hAnsi="標楷體" w:hint="eastAsia"/>
        </w:rPr>
        <w:t>；打造社區健康照護管理中心</w:t>
      </w:r>
      <w:r>
        <w:rPr>
          <w:rFonts w:hAnsi="標楷體" w:hint="eastAsia"/>
        </w:rPr>
        <w:t>，</w:t>
      </w:r>
      <w:r w:rsidRPr="006F69B9">
        <w:rPr>
          <w:rFonts w:hAnsi="標楷體" w:hint="eastAsia"/>
        </w:rPr>
        <w:t>提升優質中醫醫療品質。</w:t>
      </w:r>
    </w:p>
    <w:p w:rsidR="005A2AA4" w:rsidRPr="006F69B9" w:rsidRDefault="005A2AA4" w:rsidP="005A2AA4">
      <w:pPr>
        <w:pStyle w:val="14"/>
        <w:numPr>
          <w:ilvl w:val="0"/>
          <w:numId w:val="11"/>
        </w:numPr>
        <w:snapToGrid w:val="0"/>
        <w:spacing w:line="500" w:lineRule="exact"/>
        <w:rPr>
          <w:rFonts w:hAnsi="標楷體"/>
        </w:rPr>
      </w:pPr>
      <w:r>
        <w:rPr>
          <w:rFonts w:hAnsi="標楷體" w:hint="eastAsia"/>
        </w:rPr>
        <w:t>發展</w:t>
      </w:r>
      <w:r w:rsidRPr="006F69B9">
        <w:rPr>
          <w:rFonts w:hAnsi="標楷體" w:hint="eastAsia"/>
        </w:rPr>
        <w:t>健康的支持性環境，促進全民身心健康：強化癌症預防工作，提升癌症篩檢率及精進照護品質，降低癌症病人死亡率；營造健康場域，推動國民營養與肥胖防治；建立高齡化資料倉儲，發展活躍老化決策支援系統。</w:t>
      </w:r>
    </w:p>
    <w:p w:rsidR="005A2AA4" w:rsidRPr="006F69B9" w:rsidRDefault="005A2AA4" w:rsidP="005A2AA4">
      <w:pPr>
        <w:pStyle w:val="14"/>
        <w:numPr>
          <w:ilvl w:val="0"/>
          <w:numId w:val="11"/>
        </w:numPr>
        <w:snapToGrid w:val="0"/>
        <w:spacing w:line="500" w:lineRule="exact"/>
        <w:rPr>
          <w:rFonts w:hAnsi="標楷體"/>
        </w:rPr>
      </w:pPr>
      <w:r w:rsidRPr="006F69B9">
        <w:rPr>
          <w:rFonts w:hAnsi="標楷體" w:hint="eastAsia"/>
        </w:rPr>
        <w:lastRenderedPageBreak/>
        <w:t>提升食品及藥材稽查檢驗量能，構築食品藥物安心消費環境：推動跨部會合作取締不法藥物、黑心食品及減少藥物濫用，整合中央與地方監管分工機制，保障民眾健康；落實中藥品質管制及中藥材安全衛生管理，提升中藥製劑品質與安全。</w:t>
      </w:r>
    </w:p>
    <w:p w:rsidR="005A2AA4" w:rsidRPr="006F69B9" w:rsidRDefault="005A2AA4" w:rsidP="005A2AA4">
      <w:pPr>
        <w:pStyle w:val="1"/>
        <w:spacing w:before="360" w:line="500" w:lineRule="exact"/>
        <w:rPr>
          <w:rFonts w:ascii="標楷體" w:eastAsia="標楷體" w:hAnsi="標楷體"/>
        </w:rPr>
      </w:pPr>
      <w:r>
        <w:rPr>
          <w:rFonts w:ascii="標楷體" w:eastAsia="標楷體" w:hAnsi="標楷體" w:hint="eastAsia"/>
        </w:rPr>
        <w:t>十二</w:t>
      </w:r>
      <w:r w:rsidRPr="006F69B9">
        <w:rPr>
          <w:rFonts w:ascii="標楷體" w:eastAsia="標楷體" w:hAnsi="標楷體" w:hint="eastAsia"/>
        </w:rPr>
        <w:t>、關於環境資源方面</w:t>
      </w:r>
    </w:p>
    <w:p w:rsidR="005A2AA4" w:rsidRPr="006F69B9" w:rsidRDefault="005A2AA4" w:rsidP="005A2AA4">
      <w:pPr>
        <w:pStyle w:val="13"/>
        <w:snapToGrid w:val="0"/>
        <w:spacing w:line="500" w:lineRule="exact"/>
        <w:ind w:left="0" w:firstLine="601"/>
        <w:rPr>
          <w:rFonts w:hAnsi="標楷體"/>
        </w:rPr>
      </w:pPr>
      <w:r w:rsidRPr="006F69B9">
        <w:rPr>
          <w:rFonts w:hAnsi="標楷體" w:hint="eastAsia"/>
        </w:rPr>
        <w:t>本年度環境資源施政重點，為改善空氣品質，保障國民健康；貫徹環境保護工作，提高廢棄物資源回收與再利用；統一建置化學物質資料庫，協助貫徹食品安全；強化事業廢水管理與再利用，加強土壤與地下水污染整治；推動環境永續發展，促進國際環保合作等。一年來施政所獲成效如下：</w:t>
      </w:r>
    </w:p>
    <w:p w:rsidR="005A2AA4" w:rsidRPr="006F69B9" w:rsidRDefault="005A2AA4" w:rsidP="005A2AA4">
      <w:pPr>
        <w:pStyle w:val="14"/>
        <w:numPr>
          <w:ilvl w:val="0"/>
          <w:numId w:val="25"/>
        </w:numPr>
        <w:snapToGrid w:val="0"/>
        <w:spacing w:line="500" w:lineRule="exact"/>
        <w:rPr>
          <w:rFonts w:hAnsi="標楷體"/>
        </w:rPr>
      </w:pPr>
      <w:r w:rsidRPr="006F69B9">
        <w:rPr>
          <w:rFonts w:hAnsi="標楷體" w:hint="eastAsia"/>
        </w:rPr>
        <w:t>推動各項空氣污染源改善計畫，建立空污預警機制：修正「固定污染源空氣污染防制費收費費率」及「移動污染源空氣污染防制費收費費率」；針對細懸浮微粒(PM2.5)污染來源，提出具體之「空氣污染防制行動方案」；修正「空氣品質嚴重惡化緊急防制辦法」，納入細懸浮微粒(PM2.5)，在空氣品質嚴重惡化等級外，新增各項空氣污染物濃度尚未達嚴重惡化之二級預警及一級預警等級，強化民眾及學童防護措施。</w:t>
      </w:r>
    </w:p>
    <w:p w:rsidR="005A2AA4" w:rsidRPr="006F69B9" w:rsidRDefault="005A2AA4" w:rsidP="005A2AA4">
      <w:pPr>
        <w:pStyle w:val="14"/>
        <w:numPr>
          <w:ilvl w:val="0"/>
          <w:numId w:val="25"/>
        </w:numPr>
        <w:snapToGrid w:val="0"/>
        <w:spacing w:line="500" w:lineRule="exact"/>
        <w:rPr>
          <w:rFonts w:hAnsi="標楷體"/>
        </w:rPr>
      </w:pPr>
      <w:r w:rsidRPr="006F69B9">
        <w:rPr>
          <w:rFonts w:hAnsi="標楷體" w:hint="eastAsia"/>
        </w:rPr>
        <w:t>增進廢棄物管理效能，促使資源循環利用：評估廢棄物資源化產物應用於工程建設之成本及效益，規劃及推動2項廢棄物資源化產物運用計畫；完成生物醫療廢棄物滅菌再利用技術及管道研析；針對漁業、醫療及營建廢棄物妥善處理辦理說明會，以提升事業廢棄物管理機制並強化業者妥善處理廢棄物。</w:t>
      </w:r>
    </w:p>
    <w:p w:rsidR="005A2AA4" w:rsidRPr="006F69B9" w:rsidRDefault="005A2AA4" w:rsidP="005A2AA4">
      <w:pPr>
        <w:pStyle w:val="14"/>
        <w:numPr>
          <w:ilvl w:val="0"/>
          <w:numId w:val="25"/>
        </w:numPr>
        <w:snapToGrid w:val="0"/>
        <w:spacing w:line="500" w:lineRule="exact"/>
        <w:rPr>
          <w:rFonts w:hAnsi="標楷體"/>
        </w:rPr>
      </w:pPr>
      <w:r w:rsidRPr="006F69B9">
        <w:rPr>
          <w:rFonts w:hAnsi="標楷體" w:hint="eastAsia"/>
        </w:rPr>
        <w:t>提升化學物質資訊整合及查核，加強化學物質管理：持續擴增「跨部會化學物質資訊服務平台（化學雲）」之功能與應用，以促進協力管理化學物質；為防堵非食品用化學物質流入食品，針對57種具食安風險化學物質，與地方政府共同推動化工原（材）料行輔導訪查計畫，完成輔導訪查家數計3,119家。</w:t>
      </w:r>
    </w:p>
    <w:p w:rsidR="005A2AA4" w:rsidRPr="006F69B9" w:rsidRDefault="005A2AA4" w:rsidP="005A2AA4">
      <w:pPr>
        <w:pStyle w:val="14"/>
        <w:numPr>
          <w:ilvl w:val="0"/>
          <w:numId w:val="25"/>
        </w:numPr>
        <w:snapToGrid w:val="0"/>
        <w:spacing w:line="500" w:lineRule="exact"/>
        <w:rPr>
          <w:rFonts w:hAnsi="標楷體"/>
        </w:rPr>
      </w:pPr>
      <w:r w:rsidRPr="006F69B9">
        <w:rPr>
          <w:rFonts w:hAnsi="標楷體" w:hint="eastAsia"/>
        </w:rPr>
        <w:t>持續積極推動水污染整治，促進水資源永續利用：完成「放流水標準」及「水污染防治法事業分類及定義」等修正或廢止之法規命令計12項；</w:t>
      </w:r>
      <w:r w:rsidRPr="006F69B9">
        <w:rPr>
          <w:rFonts w:hAnsi="標楷體" w:hint="eastAsia"/>
        </w:rPr>
        <w:lastRenderedPageBreak/>
        <w:t>全國50條河川定期水質監測，嚴重污染長度比率3.7％，較90年13.2％大幅改善；督導各地方政府辦理「工業區水污染防治管理計畫」，完成區內事業稽查計3,543廠次，處分計173場次；完成工業區聯合污水處理廠稽查計1,673廠次，處分計22廠次。</w:t>
      </w:r>
    </w:p>
    <w:p w:rsidR="005A2AA4" w:rsidRPr="006F69B9" w:rsidRDefault="005A2AA4" w:rsidP="005A2AA4">
      <w:pPr>
        <w:pStyle w:val="14"/>
        <w:numPr>
          <w:ilvl w:val="0"/>
          <w:numId w:val="25"/>
        </w:numPr>
        <w:snapToGrid w:val="0"/>
        <w:spacing w:line="500" w:lineRule="exact"/>
        <w:rPr>
          <w:rFonts w:hAnsi="標楷體"/>
        </w:rPr>
      </w:pPr>
      <w:r w:rsidRPr="006F69B9">
        <w:rPr>
          <w:rFonts w:hAnsi="標楷體" w:hint="eastAsia"/>
        </w:rPr>
        <w:t>拓展國際環保夥伴合作，提高環保成果之國際能見度：於印尼雅加達舉辦國際電子廢棄物回收管理夥伴年會；協助越南政府規劃土壤及地下水污染整治諮詢工作；舉辦循環經濟工作坊年會，邀請歐盟及新南向國家等13個重要國際夥伴，分享塑膠循環經濟及剩食循環經濟等重要議題。</w:t>
      </w:r>
    </w:p>
    <w:p w:rsidR="005A2AA4" w:rsidRPr="006F69B9" w:rsidRDefault="005A2AA4" w:rsidP="005A2AA4">
      <w:pPr>
        <w:pStyle w:val="1"/>
        <w:spacing w:before="360" w:line="500" w:lineRule="exact"/>
        <w:rPr>
          <w:rFonts w:ascii="標楷體" w:eastAsia="標楷體" w:hAnsi="標楷體"/>
        </w:rPr>
      </w:pPr>
      <w:r w:rsidRPr="00E7038D">
        <w:rPr>
          <w:rFonts w:ascii="標楷體" w:eastAsia="標楷體" w:hAnsi="標楷體" w:hint="eastAsia"/>
        </w:rPr>
        <w:t>十三</w:t>
      </w:r>
      <w:r w:rsidRPr="006F69B9">
        <w:rPr>
          <w:rFonts w:ascii="標楷體" w:eastAsia="標楷體" w:hAnsi="標楷體" w:hint="eastAsia"/>
        </w:rPr>
        <w:t>、關於文化方面</w:t>
      </w:r>
    </w:p>
    <w:p w:rsidR="005A2AA4" w:rsidRPr="006F69B9" w:rsidRDefault="005A2AA4" w:rsidP="005A2AA4">
      <w:pPr>
        <w:pStyle w:val="13"/>
        <w:snapToGrid w:val="0"/>
        <w:spacing w:line="500" w:lineRule="exact"/>
        <w:ind w:left="0" w:firstLine="600"/>
        <w:rPr>
          <w:rFonts w:hAnsi="標楷體"/>
        </w:rPr>
      </w:pPr>
      <w:r w:rsidRPr="006F69B9">
        <w:rPr>
          <w:rFonts w:hAnsi="標楷體" w:hint="eastAsia"/>
        </w:rPr>
        <w:t>本年度文化施政重點，為推動文化創意發展，促進國際文化交流；培育及推廣傳統藝術，扶植傳統表演藝術保存與再生；提升藝文近用體驗，落實藝術在地深根等。一年來施政所獲成效如下：</w:t>
      </w:r>
    </w:p>
    <w:p w:rsidR="005A2AA4" w:rsidRPr="006F69B9" w:rsidRDefault="005A2AA4" w:rsidP="005A2AA4">
      <w:pPr>
        <w:pStyle w:val="14"/>
        <w:numPr>
          <w:ilvl w:val="0"/>
          <w:numId w:val="18"/>
        </w:numPr>
        <w:snapToGrid w:val="0"/>
        <w:spacing w:line="500" w:lineRule="exact"/>
        <w:rPr>
          <w:rFonts w:hAnsi="標楷體"/>
        </w:rPr>
      </w:pPr>
      <w:r w:rsidRPr="006F69B9">
        <w:rPr>
          <w:rFonts w:hAnsi="標楷體" w:hint="eastAsia"/>
        </w:rPr>
        <w:t>提振文化經濟，拓展文化外交：推動文創產業搭橋計畫，協力推動文創產業結合地方文化節慶國際化；辦理青年文化園丁隊計畫，強化與新南向國家文化交流；邀訪國際專業藝文人士</w:t>
      </w:r>
      <w:r>
        <w:rPr>
          <w:rFonts w:hAnsi="標楷體" w:hint="eastAsia"/>
        </w:rPr>
        <w:t>，</w:t>
      </w:r>
      <w:r w:rsidRPr="006F69B9">
        <w:rPr>
          <w:rFonts w:hAnsi="標楷體" w:hint="eastAsia"/>
        </w:rPr>
        <w:t>參與東南亞、西亞、南亞及中南美洲等區域交流計畫。</w:t>
      </w:r>
    </w:p>
    <w:p w:rsidR="005A2AA4" w:rsidRPr="006F69B9" w:rsidRDefault="005A2AA4" w:rsidP="005A2AA4">
      <w:pPr>
        <w:pStyle w:val="14"/>
        <w:numPr>
          <w:ilvl w:val="0"/>
          <w:numId w:val="18"/>
        </w:numPr>
        <w:snapToGrid w:val="0"/>
        <w:spacing w:line="500" w:lineRule="exact"/>
        <w:rPr>
          <w:rFonts w:hAnsi="標楷體"/>
        </w:rPr>
      </w:pPr>
      <w:r w:rsidRPr="006F69B9">
        <w:rPr>
          <w:rFonts w:hAnsi="標楷體" w:hint="eastAsia"/>
        </w:rPr>
        <w:t>健全藝文發展與創作環境，展現傳統藝術豐富多元面向：推展傳統藝術數位典藏與加值運用，辦理展演交流、人才培育與藝術傳承；推動京劇、豫劇、臺灣國樂之展演與發展，整合國家表演藝術資源；辦理「跨藝匯流，傳統入心」跨域加值發展計畫。</w:t>
      </w:r>
    </w:p>
    <w:p w:rsidR="005A2AA4" w:rsidRPr="006F69B9" w:rsidRDefault="005A2AA4" w:rsidP="005A2AA4">
      <w:pPr>
        <w:pStyle w:val="14"/>
        <w:numPr>
          <w:ilvl w:val="0"/>
          <w:numId w:val="18"/>
        </w:numPr>
        <w:snapToGrid w:val="0"/>
        <w:spacing w:line="500" w:lineRule="exact"/>
        <w:rPr>
          <w:rFonts w:hAnsi="標楷體"/>
        </w:rPr>
      </w:pPr>
      <w:r w:rsidRPr="006F69B9">
        <w:rPr>
          <w:rFonts w:hAnsi="標楷體" w:hint="eastAsia"/>
        </w:rPr>
        <w:t>培養藝文欣賞人口，積極推廣全民美育：推動「國美藝術漫步 APP 」上架，提供國立臺灣美術館自主導覽服務；辦理社區生活美學、社區文化、特色產業、社區藝術展演及藝術下鄉等推廣活動。</w:t>
      </w:r>
    </w:p>
    <w:p w:rsidR="005A2AA4" w:rsidRPr="006F69B9" w:rsidRDefault="005A2AA4" w:rsidP="005A2AA4">
      <w:pPr>
        <w:pStyle w:val="1"/>
        <w:spacing w:before="360" w:line="500" w:lineRule="exact"/>
        <w:rPr>
          <w:rFonts w:ascii="標楷體" w:eastAsia="標楷體" w:hAnsi="標楷體"/>
        </w:rPr>
      </w:pPr>
      <w:r w:rsidRPr="00E7038D">
        <w:rPr>
          <w:rFonts w:ascii="標楷體" w:eastAsia="標楷體" w:hAnsi="標楷體" w:hint="eastAsia"/>
        </w:rPr>
        <w:t>十</w:t>
      </w:r>
      <w:r>
        <w:rPr>
          <w:rFonts w:ascii="標楷體" w:eastAsia="標楷體" w:hAnsi="標楷體" w:hint="eastAsia"/>
        </w:rPr>
        <w:t>四</w:t>
      </w:r>
      <w:r w:rsidRPr="00E7038D">
        <w:rPr>
          <w:rFonts w:ascii="標楷體" w:eastAsia="標楷體" w:hAnsi="標楷體" w:hint="eastAsia"/>
        </w:rPr>
        <w:t>、</w:t>
      </w:r>
      <w:r w:rsidRPr="006F69B9">
        <w:rPr>
          <w:rFonts w:ascii="標楷體" w:eastAsia="標楷體" w:hAnsi="標楷體" w:hint="eastAsia"/>
        </w:rPr>
        <w:t>關於科技方面</w:t>
      </w:r>
    </w:p>
    <w:p w:rsidR="005A2AA4" w:rsidRPr="006F69B9" w:rsidRDefault="005A2AA4" w:rsidP="005A2AA4">
      <w:pPr>
        <w:pStyle w:val="13"/>
        <w:snapToGrid w:val="0"/>
        <w:spacing w:line="500" w:lineRule="exact"/>
        <w:ind w:left="0" w:firstLine="601"/>
        <w:rPr>
          <w:rFonts w:hAnsi="標楷體"/>
        </w:rPr>
      </w:pPr>
      <w:r w:rsidRPr="006F69B9">
        <w:rPr>
          <w:rFonts w:hAnsi="標楷體" w:hint="eastAsia"/>
        </w:rPr>
        <w:t>本年度科技施政重點，為強化災害防救技術，減輕災害衝擊與損失；活絡科技人才流通，提升科技競爭力；加強培育創新型高附加價值企業，發展</w:t>
      </w:r>
      <w:r w:rsidRPr="006F69B9">
        <w:rPr>
          <w:rFonts w:hAnsi="標楷體" w:hint="eastAsia"/>
        </w:rPr>
        <w:lastRenderedPageBreak/>
        <w:t>智慧與永續的科學園區；嚴格執行核能安全管制，保障民生及環境輻射安全等。一年來施政所獲成效如下：</w:t>
      </w:r>
    </w:p>
    <w:p w:rsidR="005A2AA4" w:rsidRPr="006F69B9" w:rsidRDefault="005A2AA4" w:rsidP="005A2AA4">
      <w:pPr>
        <w:pStyle w:val="14"/>
        <w:numPr>
          <w:ilvl w:val="0"/>
          <w:numId w:val="19"/>
        </w:numPr>
        <w:snapToGrid w:val="0"/>
        <w:spacing w:line="500" w:lineRule="exact"/>
        <w:rPr>
          <w:rFonts w:hAnsi="標楷體"/>
        </w:rPr>
      </w:pPr>
      <w:r w:rsidRPr="006F69B9">
        <w:rPr>
          <w:rFonts w:hAnsi="標楷體" w:hint="eastAsia"/>
        </w:rPr>
        <w:t>推動災害防救前瞻科技研發，強化災害示警功能：本年度整合颱風洪水、地震、坡地等防（減）災科研技術18件，並結合跨領域巨量資訊、社經與政策研議等，提供公部門災防諮詢、支援災害應變情資服務及災害勘查之評估與建議等計55件，推廣公部門使用災害情資網服務量達3萬餘人次。</w:t>
      </w:r>
    </w:p>
    <w:p w:rsidR="005A2AA4" w:rsidRPr="006F69B9" w:rsidRDefault="005A2AA4" w:rsidP="005A2AA4">
      <w:pPr>
        <w:pStyle w:val="14"/>
        <w:numPr>
          <w:ilvl w:val="0"/>
          <w:numId w:val="19"/>
        </w:numPr>
        <w:snapToGrid w:val="0"/>
        <w:spacing w:line="500" w:lineRule="exact"/>
        <w:rPr>
          <w:rFonts w:hAnsi="標楷體"/>
        </w:rPr>
      </w:pPr>
      <w:r w:rsidRPr="006F69B9">
        <w:rPr>
          <w:rFonts w:hAnsi="標楷體" w:hint="eastAsia"/>
        </w:rPr>
        <w:t>加強培育、留任及延攬科技人才，擴大科技人才交流：延攬國內外優秀科研人才參與計畫或擔任特殊領域教學，培育科技創新人才；補助科研人員赴國外研究與出席國際會議，選送博士級人才至美國參與尖端技術研發；推動海外人才歸國方案，以提升我國科技發展競爭力。</w:t>
      </w:r>
    </w:p>
    <w:p w:rsidR="005A2AA4" w:rsidRPr="006F69B9" w:rsidRDefault="005A2AA4" w:rsidP="005A2AA4">
      <w:pPr>
        <w:pStyle w:val="14"/>
        <w:numPr>
          <w:ilvl w:val="0"/>
          <w:numId w:val="19"/>
        </w:numPr>
        <w:snapToGrid w:val="0"/>
        <w:spacing w:line="500" w:lineRule="exact"/>
        <w:rPr>
          <w:rFonts w:hAnsi="標楷體"/>
        </w:rPr>
      </w:pPr>
      <w:r w:rsidRPr="006F69B9">
        <w:rPr>
          <w:rFonts w:hAnsi="標楷體" w:hint="eastAsia"/>
        </w:rPr>
        <w:t>建構優質服務的智慧園區環境，打造創新經濟生態環境：科學園區發展導入綠色思維，期減少產業活動對環境負面衝擊，促使科技與環境共榮與永續發展；加強培育創新型高附加價值企業，從「效率驅動」轉型為「創新驅動」，協助創新企業發展。</w:t>
      </w:r>
    </w:p>
    <w:p w:rsidR="005A2AA4" w:rsidRPr="006F69B9" w:rsidRDefault="005A2AA4" w:rsidP="005A2AA4">
      <w:pPr>
        <w:pStyle w:val="14"/>
        <w:numPr>
          <w:ilvl w:val="0"/>
          <w:numId w:val="19"/>
        </w:numPr>
        <w:snapToGrid w:val="0"/>
        <w:spacing w:line="500" w:lineRule="exact"/>
        <w:rPr>
          <w:rFonts w:hAnsi="標楷體"/>
        </w:rPr>
      </w:pPr>
      <w:r w:rsidRPr="006F69B9">
        <w:rPr>
          <w:rFonts w:hAnsi="標楷體" w:hint="eastAsia"/>
        </w:rPr>
        <w:t>嚴密放射性廢棄物營運安全管制，維護環境安全品質：辦理放射性物料管制技術訓練，精進管制技能</w:t>
      </w:r>
      <w:r>
        <w:rPr>
          <w:rFonts w:hAnsi="標楷體" w:hint="eastAsia"/>
        </w:rPr>
        <w:t>，</w:t>
      </w:r>
      <w:r w:rsidRPr="006F69B9">
        <w:rPr>
          <w:rFonts w:hAnsi="標楷體" w:hint="eastAsia"/>
        </w:rPr>
        <w:t>本年度無發生工安與輻射安全意外事件；審查台電公司放射性廢棄物貯存庫之十年再評估報告；督促提升蘭嶼貯存場作業安全，辦理蘭嶼環境輻射平行監測，維護當地環境輻射品質。</w:t>
      </w:r>
    </w:p>
    <w:p w:rsidR="005A2AA4" w:rsidRPr="006F69B9" w:rsidRDefault="005A2AA4" w:rsidP="005A2AA4">
      <w:pPr>
        <w:pStyle w:val="1"/>
        <w:spacing w:before="360" w:line="500" w:lineRule="exact"/>
        <w:rPr>
          <w:rFonts w:ascii="標楷體" w:eastAsia="標楷體" w:hAnsi="標楷體"/>
        </w:rPr>
      </w:pPr>
      <w:r w:rsidRPr="006F69B9">
        <w:rPr>
          <w:rFonts w:ascii="標楷體" w:eastAsia="標楷體" w:hAnsi="標楷體" w:hint="eastAsia"/>
        </w:rPr>
        <w:t>十</w:t>
      </w:r>
      <w:r>
        <w:rPr>
          <w:rFonts w:ascii="標楷體" w:eastAsia="標楷體" w:hAnsi="標楷體" w:hint="eastAsia"/>
        </w:rPr>
        <w:t>五</w:t>
      </w:r>
      <w:r w:rsidRPr="006F69B9">
        <w:rPr>
          <w:rFonts w:ascii="標楷體" w:eastAsia="標楷體" w:hAnsi="標楷體" w:hint="eastAsia"/>
        </w:rPr>
        <w:t>、關於兩岸關係方面</w:t>
      </w:r>
    </w:p>
    <w:p w:rsidR="005A2AA4" w:rsidRPr="006F69B9" w:rsidRDefault="005A2AA4" w:rsidP="005A2AA4">
      <w:pPr>
        <w:pStyle w:val="13"/>
        <w:snapToGrid w:val="0"/>
        <w:spacing w:line="500" w:lineRule="exact"/>
        <w:ind w:left="0" w:firstLine="601"/>
        <w:rPr>
          <w:rFonts w:hAnsi="標楷體"/>
        </w:rPr>
      </w:pPr>
      <w:r w:rsidRPr="006F69B9">
        <w:rPr>
          <w:rFonts w:hAnsi="標楷體" w:hint="eastAsia"/>
        </w:rPr>
        <w:t>本年度兩岸關係施政重點，為盱衡整體情勢發展，推動兩岸良性互動與對話溝通；促進兩岸文教交流及資訊對等流通，展現臺灣民主自由及多元人文特色；加強兩岸經貿政策溝通及臺商服務工作，提升臺灣經濟發展動能及產業競爭力；深化與港澳各界交流互動，增進臺港澳實質關係；保存及傳揚蒙藏文化，強化蒙藏文化研究等。一年來施政所獲成效如下：</w:t>
      </w:r>
    </w:p>
    <w:p w:rsidR="005A2AA4" w:rsidRPr="006F69B9" w:rsidRDefault="005A2AA4" w:rsidP="005A2AA4">
      <w:pPr>
        <w:numPr>
          <w:ilvl w:val="0"/>
          <w:numId w:val="12"/>
        </w:numPr>
        <w:snapToGrid w:val="0"/>
        <w:spacing w:line="500" w:lineRule="exact"/>
        <w:rPr>
          <w:rFonts w:ascii="標楷體" w:eastAsia="標楷體" w:hAnsi="標楷體"/>
          <w:sz w:val="28"/>
          <w:szCs w:val="28"/>
        </w:rPr>
      </w:pPr>
      <w:r w:rsidRPr="006F69B9">
        <w:rPr>
          <w:rFonts w:ascii="標楷體" w:eastAsia="標楷體" w:hAnsi="標楷體" w:hint="eastAsia"/>
          <w:sz w:val="28"/>
          <w:szCs w:val="28"/>
        </w:rPr>
        <w:t>研判中國大陸、區域及兩岸情勢，研議兩岸政策與因應：因應兩岸在</w:t>
      </w:r>
      <w:r w:rsidRPr="006F69B9">
        <w:rPr>
          <w:rFonts w:ascii="標楷體" w:eastAsia="標楷體" w:hAnsi="標楷體" w:hint="eastAsia"/>
          <w:sz w:val="28"/>
          <w:szCs w:val="28"/>
        </w:rPr>
        <w:lastRenderedPageBreak/>
        <w:t>重大事件與涉外互動情勢發展，及東、南海等區域形勢、臺美中關係等變化，撰擬研析與應處；委託國內外智庫辦理「兩岸關係：邁向新趨勢」、「中共十九大之權力格局與政策前瞻」及「兩岸交流30年回顧與前瞻」研討會。</w:t>
      </w:r>
    </w:p>
    <w:p w:rsidR="005A2AA4" w:rsidRPr="006F69B9" w:rsidRDefault="005A2AA4" w:rsidP="005A2AA4">
      <w:pPr>
        <w:pStyle w:val="14"/>
        <w:numPr>
          <w:ilvl w:val="0"/>
          <w:numId w:val="12"/>
        </w:numPr>
        <w:snapToGrid w:val="0"/>
        <w:spacing w:line="500" w:lineRule="exact"/>
        <w:rPr>
          <w:rFonts w:hAnsi="標楷體"/>
          <w:szCs w:val="28"/>
        </w:rPr>
      </w:pPr>
      <w:r w:rsidRPr="006F69B9">
        <w:rPr>
          <w:rFonts w:hAnsi="標楷體" w:hint="eastAsia"/>
          <w:szCs w:val="28"/>
        </w:rPr>
        <w:t>輔導與推動兩岸文教交流，傳遞民主價值：持續穩健推動中國大陸學生來臺就學，營造陸生在臺就學及生活友善環境；推動兩岸學術交流，增進彼此瞭解及傳遞臺灣民主價值、多元文化發展。</w:t>
      </w:r>
    </w:p>
    <w:p w:rsidR="005A2AA4" w:rsidRPr="006F69B9" w:rsidRDefault="005A2AA4" w:rsidP="005A2AA4">
      <w:pPr>
        <w:pStyle w:val="14"/>
        <w:numPr>
          <w:ilvl w:val="0"/>
          <w:numId w:val="12"/>
        </w:numPr>
        <w:snapToGrid w:val="0"/>
        <w:spacing w:line="500" w:lineRule="exact"/>
        <w:rPr>
          <w:rFonts w:hAnsi="標楷體"/>
          <w:szCs w:val="28"/>
        </w:rPr>
      </w:pPr>
      <w:r w:rsidRPr="006F69B9">
        <w:rPr>
          <w:rFonts w:hAnsi="標楷體" w:hint="eastAsia"/>
          <w:szCs w:val="28"/>
        </w:rPr>
        <w:t>穩健推動兩岸經貿交流，提升臺商競爭力：持續加強兩岸經貿政策諮詢與溝通，落實兩岸經貿協議執行，動態調整兩岸經貿政策；強化臺商聯繫及輔導服務，掌握中國大陸、區域及兩岸互動情勢發展，提醒臺商注意風險管理。</w:t>
      </w:r>
    </w:p>
    <w:p w:rsidR="005A2AA4" w:rsidRPr="006F69B9" w:rsidRDefault="005A2AA4" w:rsidP="005A2AA4">
      <w:pPr>
        <w:pStyle w:val="14"/>
        <w:numPr>
          <w:ilvl w:val="0"/>
          <w:numId w:val="12"/>
        </w:numPr>
        <w:snapToGrid w:val="0"/>
        <w:spacing w:line="500" w:lineRule="exact"/>
        <w:rPr>
          <w:rFonts w:hAnsi="標楷體"/>
          <w:szCs w:val="28"/>
        </w:rPr>
      </w:pPr>
      <w:r w:rsidRPr="006F69B9">
        <w:rPr>
          <w:rFonts w:hAnsi="標楷體" w:hint="eastAsia"/>
          <w:szCs w:val="28"/>
        </w:rPr>
        <w:t>檢討港澳政策及法規，促進實質發展聯繫：鬆綁港澳相關法規及措施，擴大吸引港澳人士來臺觀光、就學；持續推動臺港澳關係良性發展，強化臺港澳青年交流，全年協助151團2,191人次互訪。</w:t>
      </w:r>
    </w:p>
    <w:p w:rsidR="005A2AA4" w:rsidRPr="006F69B9" w:rsidRDefault="005A2AA4" w:rsidP="005A2AA4">
      <w:pPr>
        <w:pStyle w:val="14"/>
        <w:numPr>
          <w:ilvl w:val="0"/>
          <w:numId w:val="12"/>
        </w:numPr>
        <w:snapToGrid w:val="0"/>
        <w:spacing w:line="500" w:lineRule="exact"/>
        <w:rPr>
          <w:rFonts w:hAnsi="標楷體"/>
          <w:szCs w:val="28"/>
        </w:rPr>
      </w:pPr>
      <w:r w:rsidRPr="006F69B9">
        <w:rPr>
          <w:rFonts w:hAnsi="標楷體" w:hint="eastAsia"/>
          <w:szCs w:val="28"/>
        </w:rPr>
        <w:t>推動臺灣與全球蒙藏人士交流，拓展國際發展空間：協助國立故宮博物院與蒙古科學院暨蒙古駐臺代表處三方簽訂合作備忘錄；協助司法院與蒙古司法總委員會簽訂臺蒙司法合作備忘錄，促進臺蒙學術文化及司法交流；辦理「國際西藏學術研討會」，提供西藏學術研究聯繫管道與資訊交流平臺。</w:t>
      </w:r>
    </w:p>
    <w:p w:rsidR="005A2AA4" w:rsidRPr="006F69B9" w:rsidRDefault="005A2AA4" w:rsidP="005A2AA4">
      <w:pPr>
        <w:pStyle w:val="1"/>
        <w:spacing w:before="360" w:line="500" w:lineRule="exact"/>
        <w:rPr>
          <w:rFonts w:ascii="標楷體" w:eastAsia="標楷體" w:hAnsi="標楷體"/>
        </w:rPr>
      </w:pPr>
      <w:r w:rsidRPr="006F69B9">
        <w:rPr>
          <w:rFonts w:ascii="標楷體" w:eastAsia="標楷體" w:hAnsi="標楷體" w:hint="eastAsia"/>
        </w:rPr>
        <w:t>十</w:t>
      </w:r>
      <w:r>
        <w:rPr>
          <w:rFonts w:ascii="標楷體" w:eastAsia="標楷體" w:hAnsi="標楷體" w:hint="eastAsia"/>
        </w:rPr>
        <w:t>六</w:t>
      </w:r>
      <w:r w:rsidRPr="006F69B9">
        <w:rPr>
          <w:rFonts w:ascii="標楷體" w:eastAsia="標楷體" w:hAnsi="標楷體" w:hint="eastAsia"/>
        </w:rPr>
        <w:t>、關於海洋</w:t>
      </w:r>
      <w:r>
        <w:rPr>
          <w:rFonts w:ascii="標楷體" w:eastAsia="標楷體" w:hAnsi="標楷體" w:hint="eastAsia"/>
        </w:rPr>
        <w:t>事務</w:t>
      </w:r>
      <w:r w:rsidRPr="006F69B9">
        <w:rPr>
          <w:rFonts w:ascii="標楷體" w:eastAsia="標楷體" w:hAnsi="標楷體" w:hint="eastAsia"/>
        </w:rPr>
        <w:t>方面</w:t>
      </w:r>
    </w:p>
    <w:p w:rsidR="005A2AA4" w:rsidRPr="006F69B9" w:rsidRDefault="005A2AA4" w:rsidP="005A2AA4">
      <w:pPr>
        <w:pStyle w:val="13"/>
        <w:snapToGrid w:val="0"/>
        <w:spacing w:line="500" w:lineRule="exact"/>
        <w:ind w:left="0" w:firstLine="600"/>
        <w:rPr>
          <w:rFonts w:hAnsi="標楷體"/>
        </w:rPr>
      </w:pPr>
      <w:r w:rsidRPr="006F69B9">
        <w:rPr>
          <w:rFonts w:hAnsi="標楷體" w:hint="eastAsia"/>
        </w:rPr>
        <w:t>本年度海洋事務施政重點，為保護漁民權益及作業安全，加強海域護漁勤務；強化區域海難救助及搜救合作機制，充實海上災害防救能量；維護岸海治安，力行各項專案查緝工作等。一年來施政所獲成效如下：</w:t>
      </w:r>
    </w:p>
    <w:p w:rsidR="005A2AA4" w:rsidRPr="006F69B9" w:rsidRDefault="005A2AA4" w:rsidP="005A2AA4">
      <w:pPr>
        <w:pStyle w:val="14"/>
        <w:numPr>
          <w:ilvl w:val="0"/>
          <w:numId w:val="13"/>
        </w:numPr>
        <w:snapToGrid w:val="0"/>
        <w:spacing w:line="500" w:lineRule="exact"/>
        <w:rPr>
          <w:rFonts w:hAnsi="標楷體"/>
        </w:rPr>
      </w:pPr>
      <w:r w:rsidRPr="006F69B9">
        <w:rPr>
          <w:rFonts w:hAnsi="標楷體" w:hint="eastAsia"/>
        </w:rPr>
        <w:t>加強專屬經濟海域護漁作為，捍衛國家海洋主權及權益：視專屬經濟海域情勢、漁汛期與突發事件等，機動調整巡護頻率，有效捍衛海洋權益；派遣大型巡防艦至東沙及南沙海域執行「碧海專案」巡護勤務，維護漁民海上作業安全；本年度取締非法越區捕魚345件，扣留船隻</w:t>
      </w:r>
      <w:r w:rsidRPr="006F69B9">
        <w:rPr>
          <w:rFonts w:hAnsi="標楷體" w:hint="eastAsia"/>
        </w:rPr>
        <w:lastRenderedPageBreak/>
        <w:t>77艘、驅離船隻809艘。</w:t>
      </w:r>
    </w:p>
    <w:p w:rsidR="005A2AA4" w:rsidRPr="006F69B9" w:rsidRDefault="005A2AA4" w:rsidP="005A2AA4">
      <w:pPr>
        <w:pStyle w:val="14"/>
        <w:numPr>
          <w:ilvl w:val="0"/>
          <w:numId w:val="13"/>
        </w:numPr>
        <w:snapToGrid w:val="0"/>
        <w:spacing w:line="500" w:lineRule="exact"/>
        <w:rPr>
          <w:rFonts w:hAnsi="標楷體"/>
        </w:rPr>
      </w:pPr>
      <w:r w:rsidRPr="006F69B9">
        <w:rPr>
          <w:rFonts w:hAnsi="標楷體" w:hint="eastAsia"/>
        </w:rPr>
        <w:t>精進海域及岸際救生救難工作，保障民眾生命財產安全：辦理海難救助演練、空中救援及緊急救護等專業訓練，提升海難搜救及災害搶救效能；本年度辦理災難救護及服務工作879件，救護服務人數計7,831人。</w:t>
      </w:r>
    </w:p>
    <w:p w:rsidR="005A2AA4" w:rsidRPr="006F69B9" w:rsidRDefault="005A2AA4" w:rsidP="005A2AA4">
      <w:pPr>
        <w:pStyle w:val="14"/>
        <w:numPr>
          <w:ilvl w:val="0"/>
          <w:numId w:val="13"/>
        </w:numPr>
        <w:snapToGrid w:val="0"/>
        <w:spacing w:line="500" w:lineRule="exact"/>
        <w:rPr>
          <w:rFonts w:hAnsi="標楷體"/>
        </w:rPr>
      </w:pPr>
      <w:r w:rsidRPr="006F69B9">
        <w:rPr>
          <w:rFonts w:hAnsi="標楷體" w:hint="eastAsia"/>
        </w:rPr>
        <w:t>全力掃蕩查緝走私偷渡，維護社會安全秩序：與美國、菲律賓等國執行跨境合作，查獲各級毒品；組成「查緝案件專責小組」，廣蒐各類毒品走私入境情資；本年度查獲槍砲彈藥刀械80件、各式槍枝121枝、彈類4,787顆、毒品5,320公斤；查獲非法入出國58件，嫌犯19人、偷渡犯149人；查獲人口販運5件，嫌犯20人、救助被害人16人。</w:t>
      </w:r>
    </w:p>
    <w:p w:rsidR="005A2AA4" w:rsidRPr="006F69B9" w:rsidRDefault="005A2AA4" w:rsidP="005A2AA4">
      <w:pPr>
        <w:pStyle w:val="1"/>
        <w:spacing w:before="360" w:line="500" w:lineRule="exact"/>
        <w:rPr>
          <w:rFonts w:ascii="標楷體" w:eastAsia="標楷體" w:hAnsi="標楷體"/>
        </w:rPr>
      </w:pPr>
      <w:r>
        <w:rPr>
          <w:rFonts w:ascii="標楷體" w:eastAsia="標楷體" w:hAnsi="標楷體" w:hint="eastAsia"/>
        </w:rPr>
        <w:t>十七</w:t>
      </w:r>
      <w:r w:rsidRPr="006F69B9">
        <w:rPr>
          <w:rFonts w:ascii="標楷體" w:eastAsia="標楷體" w:hAnsi="標楷體" w:hint="eastAsia"/>
        </w:rPr>
        <w:t>、關於</w:t>
      </w:r>
      <w:r>
        <w:rPr>
          <w:rFonts w:ascii="標楷體" w:eastAsia="標楷體" w:hAnsi="標楷體" w:hint="eastAsia"/>
        </w:rPr>
        <w:t>僑務</w:t>
      </w:r>
      <w:r w:rsidRPr="006F69B9">
        <w:rPr>
          <w:rFonts w:ascii="標楷體" w:eastAsia="標楷體" w:hAnsi="標楷體" w:hint="eastAsia"/>
        </w:rPr>
        <w:t>方面</w:t>
      </w:r>
    </w:p>
    <w:p w:rsidR="005A2AA4" w:rsidRPr="00CB6A38" w:rsidRDefault="005A2AA4" w:rsidP="005A2AA4">
      <w:pPr>
        <w:pStyle w:val="14"/>
        <w:snapToGrid w:val="0"/>
        <w:spacing w:line="500" w:lineRule="exact"/>
        <w:ind w:left="0" w:firstLineChars="200" w:firstLine="560"/>
        <w:rPr>
          <w:rFonts w:hAnsi="標楷體"/>
        </w:rPr>
      </w:pPr>
      <w:r w:rsidRPr="00BD50D2">
        <w:rPr>
          <w:rFonts w:hAnsi="標楷體" w:hint="eastAsia"/>
        </w:rPr>
        <w:t>本年度僑務施政重點，為積極聯繫海外僑臺商，促進各國與臺灣經貿合作交流</w:t>
      </w:r>
      <w:r w:rsidRPr="00CB6A38">
        <w:rPr>
          <w:rFonts w:hAnsi="標楷體" w:hint="eastAsia"/>
        </w:rPr>
        <w:t>；積極拓展海外華文教育市場，提升全球正體字華文能見度；積極鼓勵華裔子女來臺升學，充實國家人力資源等。一年來施政所獲成效如下：</w:t>
      </w:r>
    </w:p>
    <w:p w:rsidR="005A2AA4" w:rsidRPr="00BD50D2" w:rsidRDefault="005A2AA4" w:rsidP="005A2AA4">
      <w:pPr>
        <w:pStyle w:val="14"/>
        <w:numPr>
          <w:ilvl w:val="0"/>
          <w:numId w:val="48"/>
        </w:numPr>
        <w:snapToGrid w:val="0"/>
        <w:spacing w:line="500" w:lineRule="exact"/>
        <w:rPr>
          <w:rFonts w:hAnsi="標楷體"/>
        </w:rPr>
      </w:pPr>
      <w:r w:rsidRPr="00CB6A38">
        <w:rPr>
          <w:rFonts w:hAnsi="標楷體" w:hint="eastAsia"/>
        </w:rPr>
        <w:t>強化海外僑臺商組織聯繫服務，輔助開拓海</w:t>
      </w:r>
      <w:r w:rsidRPr="00BD50D2">
        <w:rPr>
          <w:rFonts w:hAnsi="標楷體" w:hint="eastAsia"/>
        </w:rPr>
        <w:t>內外市場商機：配合國家經建發展策略，鼓勵僑臺商回國商機交流，促進海內外產業連結合作；辦理「僑商連鎖加盟創業觀摩團」等9項邀訪活動，計238名僑臺商暨企業主返臺參加，與國內逾142家企業進行互動交流，有效促進海內外商機合作平臺。</w:t>
      </w:r>
    </w:p>
    <w:p w:rsidR="005A2AA4" w:rsidRDefault="005A2AA4" w:rsidP="005A2AA4">
      <w:pPr>
        <w:pStyle w:val="14"/>
        <w:numPr>
          <w:ilvl w:val="0"/>
          <w:numId w:val="48"/>
        </w:numPr>
        <w:snapToGrid w:val="0"/>
        <w:spacing w:line="500" w:lineRule="exact"/>
        <w:rPr>
          <w:rFonts w:hAnsi="標楷體"/>
        </w:rPr>
      </w:pPr>
      <w:r w:rsidRPr="00CB6A38">
        <w:rPr>
          <w:rFonts w:hAnsi="標楷體" w:hint="eastAsia"/>
        </w:rPr>
        <w:t>深耕海外僑教體系，傳揚正體字與優質華語文教學：辦理多元研習課程，培訓僑校教師提升專業知能；順應全球華語文與數位學習趨勢，開發多元教材及營運「全球華文網」以支持海外華文教育。</w:t>
      </w:r>
    </w:p>
    <w:p w:rsidR="005A2AA4" w:rsidRPr="00CB6A38" w:rsidRDefault="005A2AA4" w:rsidP="005A2AA4">
      <w:pPr>
        <w:pStyle w:val="14"/>
        <w:numPr>
          <w:ilvl w:val="0"/>
          <w:numId w:val="48"/>
        </w:numPr>
        <w:snapToGrid w:val="0"/>
        <w:spacing w:line="500" w:lineRule="exact"/>
        <w:rPr>
          <w:rFonts w:hAnsi="標楷體"/>
        </w:rPr>
      </w:pPr>
      <w:r w:rsidRPr="00CB6A38">
        <w:rPr>
          <w:rFonts w:hAnsi="標楷體" w:hint="eastAsia"/>
        </w:rPr>
        <w:t>擴大招收僑生，打造華裔人才培育中心：擴大宣導僑生回國升學多元管道及畢業申請留臺工作，強化辦理僑生實用技職訓練，增進留臺校友組織聯繫服務；辦理僑生在臺生活輔導措施，落實在學僑生生活照顧。</w:t>
      </w:r>
    </w:p>
    <w:p w:rsidR="005A2AA4" w:rsidRPr="001374FA" w:rsidRDefault="005A2AA4" w:rsidP="005A2AA4">
      <w:pPr>
        <w:pStyle w:val="1"/>
        <w:spacing w:before="360" w:line="500" w:lineRule="exact"/>
        <w:rPr>
          <w:rFonts w:ascii="標楷體" w:eastAsia="標楷體" w:hAnsi="標楷體"/>
        </w:rPr>
      </w:pPr>
      <w:r w:rsidRPr="001374FA">
        <w:rPr>
          <w:rFonts w:ascii="標楷體" w:eastAsia="標楷體" w:hAnsi="標楷體" w:hint="eastAsia"/>
        </w:rPr>
        <w:lastRenderedPageBreak/>
        <w:t>十八、關於原住民族</w:t>
      </w:r>
      <w:r>
        <w:rPr>
          <w:rFonts w:ascii="標楷體" w:eastAsia="標楷體" w:hAnsi="標楷體" w:hint="eastAsia"/>
        </w:rPr>
        <w:t>事務</w:t>
      </w:r>
      <w:r w:rsidRPr="001374FA">
        <w:rPr>
          <w:rFonts w:ascii="標楷體" w:eastAsia="標楷體" w:hAnsi="標楷體" w:hint="eastAsia"/>
        </w:rPr>
        <w:t>方面</w:t>
      </w:r>
    </w:p>
    <w:p w:rsidR="005A2AA4" w:rsidRPr="006F69B9" w:rsidRDefault="005A2AA4" w:rsidP="005A2AA4">
      <w:pPr>
        <w:pStyle w:val="13"/>
        <w:snapToGrid w:val="0"/>
        <w:spacing w:line="500" w:lineRule="exact"/>
        <w:ind w:left="0" w:firstLine="601"/>
        <w:rPr>
          <w:rFonts w:hAnsi="標楷體"/>
        </w:rPr>
      </w:pPr>
      <w:r w:rsidRPr="006F69B9">
        <w:rPr>
          <w:rFonts w:hAnsi="標楷體" w:hint="eastAsia"/>
        </w:rPr>
        <w:t>本年度原住民族事務施政重點，為強化原住民族文化資產保存，振興原住民族語言；開創永續之原住民族經濟發展，創造原住民族產業經濟有利環境；加速原住民族基礎建設，增進原住民族居住品質；促進原住民族社會福利，建立原住民族家庭支持服務等。一年來施政所獲成效如下：</w:t>
      </w:r>
    </w:p>
    <w:p w:rsidR="005A2AA4" w:rsidRPr="006F69B9" w:rsidRDefault="005A2AA4" w:rsidP="005A2AA4">
      <w:pPr>
        <w:pStyle w:val="14"/>
        <w:numPr>
          <w:ilvl w:val="0"/>
          <w:numId w:val="15"/>
        </w:numPr>
        <w:snapToGrid w:val="0"/>
        <w:spacing w:line="500" w:lineRule="exact"/>
        <w:rPr>
          <w:rFonts w:hAnsi="標楷體"/>
        </w:rPr>
      </w:pPr>
      <w:r w:rsidRPr="006F69B9">
        <w:rPr>
          <w:rFonts w:hAnsi="標楷體" w:hint="eastAsia"/>
        </w:rPr>
        <w:t>振興原住民族語言與保護文化資產，傳承原住民族傳統：推動原住民族語言振興計畫，培訓原住民族語言振興人員；辦理原住民族語言認證測驗，加強原住民族語言復甦；辦理原住民族文化振興發展計畫，保護原住民</w:t>
      </w:r>
      <w:r>
        <w:rPr>
          <w:rFonts w:hAnsi="標楷體" w:hint="eastAsia"/>
        </w:rPr>
        <w:t>族</w:t>
      </w:r>
      <w:r w:rsidRPr="006F69B9">
        <w:rPr>
          <w:rFonts w:hAnsi="標楷體" w:hint="eastAsia"/>
        </w:rPr>
        <w:t>文化資產</w:t>
      </w:r>
      <w:r>
        <w:rPr>
          <w:rFonts w:hAnsi="標楷體" w:hint="eastAsia"/>
        </w:rPr>
        <w:t>；</w:t>
      </w:r>
      <w:r w:rsidRPr="006F69B9">
        <w:rPr>
          <w:rFonts w:hAnsi="標楷體" w:hint="eastAsia"/>
        </w:rPr>
        <w:t>強化原住民族研究、傳統祭典及文化維護推廣活動，發行出版原住民族文獻電子期刊。</w:t>
      </w:r>
    </w:p>
    <w:p w:rsidR="005A2AA4" w:rsidRPr="006F69B9" w:rsidRDefault="005A2AA4" w:rsidP="005A2AA4">
      <w:pPr>
        <w:pStyle w:val="14"/>
        <w:numPr>
          <w:ilvl w:val="0"/>
          <w:numId w:val="15"/>
        </w:numPr>
        <w:snapToGrid w:val="0"/>
        <w:spacing w:line="500" w:lineRule="exact"/>
        <w:rPr>
          <w:rFonts w:hAnsi="標楷體"/>
        </w:rPr>
      </w:pPr>
      <w:r w:rsidRPr="006F69B9">
        <w:rPr>
          <w:rFonts w:hAnsi="標楷體" w:hint="eastAsia"/>
        </w:rPr>
        <w:t>規劃輔導原住民</w:t>
      </w:r>
      <w:r>
        <w:rPr>
          <w:rFonts w:hAnsi="標楷體" w:hint="eastAsia"/>
        </w:rPr>
        <w:t>族</w:t>
      </w:r>
      <w:r w:rsidRPr="006F69B9">
        <w:rPr>
          <w:rFonts w:hAnsi="標楷體" w:hint="eastAsia"/>
        </w:rPr>
        <w:t>經濟及產業發展，提升原住民族經濟狀況：辦理技藝研習中心訓練計畫，開設22班研習課程；活化及強化原住民族文化產業推展中心營運管理</w:t>
      </w:r>
      <w:r>
        <w:rPr>
          <w:rFonts w:hAnsi="標楷體" w:hint="eastAsia"/>
        </w:rPr>
        <w:t>，</w:t>
      </w:r>
      <w:r w:rsidRPr="006F69B9">
        <w:rPr>
          <w:rFonts w:hAnsi="標楷體" w:hint="eastAsia"/>
        </w:rPr>
        <w:t>參與8場次大型會展，提升產業能見度；補助12個</w:t>
      </w:r>
      <w:r w:rsidR="00F716F9" w:rsidRPr="006F69B9">
        <w:rPr>
          <w:rFonts w:hAnsi="標楷體" w:hint="eastAsia"/>
        </w:rPr>
        <w:t>市</w:t>
      </w:r>
      <w:r w:rsidRPr="006F69B9">
        <w:rPr>
          <w:rFonts w:hAnsi="標楷體" w:hint="eastAsia"/>
        </w:rPr>
        <w:t>縣政府辦理39項行銷活動、捐助40個民間團體辦理</w:t>
      </w:r>
      <w:r w:rsidRPr="00E55043">
        <w:rPr>
          <w:rFonts w:hAnsi="標楷體" w:hint="eastAsia"/>
        </w:rPr>
        <w:t>原住民族</w:t>
      </w:r>
      <w:r w:rsidRPr="006F69B9">
        <w:rPr>
          <w:rFonts w:hAnsi="標楷體" w:hint="eastAsia"/>
        </w:rPr>
        <w:t>產業推廣活動；受理110件原住民族傳統智慧創作專用權申請案，審定7件專用權。</w:t>
      </w:r>
    </w:p>
    <w:p w:rsidR="005A2AA4" w:rsidRPr="006F69B9" w:rsidRDefault="005A2AA4" w:rsidP="005A2AA4">
      <w:pPr>
        <w:pStyle w:val="14"/>
        <w:numPr>
          <w:ilvl w:val="0"/>
          <w:numId w:val="15"/>
        </w:numPr>
        <w:snapToGrid w:val="0"/>
        <w:spacing w:line="500" w:lineRule="exact"/>
        <w:rPr>
          <w:rFonts w:hAnsi="標楷體"/>
        </w:rPr>
      </w:pPr>
      <w:r w:rsidRPr="006F69B9">
        <w:rPr>
          <w:rFonts w:hAnsi="標楷體" w:hint="eastAsia"/>
        </w:rPr>
        <w:t>加強提供原住民族多元居住服務，保障原住民族居住權：補助地方政府辦理經濟弱勢原住民建購及修繕住宅、辦理國宅或集合式平價住宅出租原住民族；補助部落特色道路及公共設施，改善原住民族地區道路及橋梁；興建原住民族部落開放式聚會場所，以提供居民日常及特殊慶典活動空間。</w:t>
      </w:r>
    </w:p>
    <w:p w:rsidR="005A2AA4" w:rsidRPr="006F69B9" w:rsidRDefault="005A2AA4" w:rsidP="005A2AA4">
      <w:pPr>
        <w:pStyle w:val="14"/>
        <w:numPr>
          <w:ilvl w:val="0"/>
          <w:numId w:val="15"/>
        </w:numPr>
        <w:snapToGrid w:val="0"/>
        <w:spacing w:line="500" w:lineRule="exact"/>
        <w:rPr>
          <w:rFonts w:hAnsi="標楷體"/>
        </w:rPr>
      </w:pPr>
      <w:r w:rsidRPr="006F69B9">
        <w:rPr>
          <w:rFonts w:hAnsi="標楷體" w:hint="eastAsia"/>
        </w:rPr>
        <w:t>推動家庭支持在地化福利服務，重視原住民族健康：辦理原住民老人暨身心障礙者養護服務計畫，補助13家養護服務機構，推動設置原住民族家庭服務中心60處；補助原住民參加全民健康保險費，補助國民年金原住民給付，補助地方政府原住民急難救助金。</w:t>
      </w:r>
    </w:p>
    <w:p w:rsidR="005A2AA4" w:rsidRPr="006F69B9" w:rsidRDefault="005A2AA4" w:rsidP="005A2AA4">
      <w:pPr>
        <w:pStyle w:val="1"/>
        <w:spacing w:before="360" w:line="500" w:lineRule="exact"/>
        <w:rPr>
          <w:rFonts w:ascii="標楷體" w:eastAsia="標楷體" w:hAnsi="標楷體"/>
        </w:rPr>
      </w:pPr>
      <w:r w:rsidRPr="006F69B9">
        <w:rPr>
          <w:rFonts w:ascii="標楷體" w:eastAsia="標楷體" w:hAnsi="標楷體" w:hint="eastAsia"/>
        </w:rPr>
        <w:t>十</w:t>
      </w:r>
      <w:r>
        <w:rPr>
          <w:rFonts w:ascii="標楷體" w:eastAsia="標楷體" w:hAnsi="標楷體" w:hint="eastAsia"/>
        </w:rPr>
        <w:t>九</w:t>
      </w:r>
      <w:r w:rsidRPr="006F69B9">
        <w:rPr>
          <w:rFonts w:ascii="標楷體" w:eastAsia="標楷體" w:hAnsi="標楷體" w:hint="eastAsia"/>
        </w:rPr>
        <w:t>、關於客家</w:t>
      </w:r>
      <w:r>
        <w:rPr>
          <w:rFonts w:ascii="標楷體" w:eastAsia="標楷體" w:hAnsi="標楷體" w:hint="eastAsia"/>
        </w:rPr>
        <w:t>事務</w:t>
      </w:r>
      <w:r w:rsidRPr="006F69B9">
        <w:rPr>
          <w:rFonts w:ascii="標楷體" w:eastAsia="標楷體" w:hAnsi="標楷體" w:hint="eastAsia"/>
        </w:rPr>
        <w:t>方面</w:t>
      </w:r>
    </w:p>
    <w:p w:rsidR="005A2AA4" w:rsidRPr="006F69B9" w:rsidRDefault="005A2AA4" w:rsidP="005A2AA4">
      <w:pPr>
        <w:pStyle w:val="13"/>
        <w:snapToGrid w:val="0"/>
        <w:spacing w:line="500" w:lineRule="exact"/>
        <w:ind w:left="0" w:firstLine="601"/>
        <w:rPr>
          <w:rFonts w:hAnsi="標楷體"/>
        </w:rPr>
      </w:pPr>
      <w:r w:rsidRPr="006F69B9">
        <w:rPr>
          <w:rFonts w:hAnsi="標楷體" w:hint="eastAsia"/>
        </w:rPr>
        <w:t>本年度客家</w:t>
      </w:r>
      <w:r>
        <w:rPr>
          <w:rFonts w:hAnsi="標楷體" w:hint="eastAsia"/>
        </w:rPr>
        <w:t>事務</w:t>
      </w:r>
      <w:r w:rsidRPr="006F69B9">
        <w:rPr>
          <w:rFonts w:hAnsi="標楷體" w:hint="eastAsia"/>
        </w:rPr>
        <w:t>施政重點，為建立客語推廣機制，營造友善客語生活環</w:t>
      </w:r>
      <w:r w:rsidRPr="006F69B9">
        <w:rPr>
          <w:rFonts w:hAnsi="標楷體" w:hint="eastAsia"/>
        </w:rPr>
        <w:lastRenderedPageBreak/>
        <w:t>境；強化客家特色產業，推動跨域創新服務；推展客家文化藝術活動，創新客家文化價值；促進臺灣客家文化與國際交流，使客家文化躍升國際舞台等。一年來施政所獲成效如下：</w:t>
      </w:r>
    </w:p>
    <w:p w:rsidR="005A2AA4" w:rsidRPr="006F69B9" w:rsidRDefault="005A2AA4" w:rsidP="005A2AA4">
      <w:pPr>
        <w:pStyle w:val="14"/>
        <w:numPr>
          <w:ilvl w:val="0"/>
          <w:numId w:val="14"/>
        </w:numPr>
        <w:snapToGrid w:val="0"/>
        <w:spacing w:line="500" w:lineRule="exact"/>
        <w:rPr>
          <w:rFonts w:hAnsi="標楷體"/>
        </w:rPr>
      </w:pPr>
      <w:r w:rsidRPr="006F69B9">
        <w:rPr>
          <w:rFonts w:hAnsi="標楷體" w:cs="Arial" w:hint="eastAsia"/>
        </w:rPr>
        <w:t>推動客語進入公共領域，營造多元客語學習環境：推動客家語言復甦，辦理客語能力分級認證包括幼幼、初級、中級暨中高級；推動「客語沉浸式教學試辦專案計畫」，藉由學校教育體系，擴大推動成效，106學年度共計63校(園)、133班、2,790位學生參與。</w:t>
      </w:r>
    </w:p>
    <w:p w:rsidR="005A2AA4" w:rsidRPr="006F69B9" w:rsidRDefault="005A2AA4" w:rsidP="005A2AA4">
      <w:pPr>
        <w:pStyle w:val="14"/>
        <w:numPr>
          <w:ilvl w:val="0"/>
          <w:numId w:val="14"/>
        </w:numPr>
        <w:snapToGrid w:val="0"/>
        <w:spacing w:line="500" w:lineRule="exact"/>
        <w:rPr>
          <w:rFonts w:hAnsi="標楷體"/>
        </w:rPr>
      </w:pPr>
      <w:r w:rsidRPr="006F69B9">
        <w:rPr>
          <w:rFonts w:hAnsi="標楷體" w:hint="eastAsia"/>
        </w:rPr>
        <w:t>利用創新技術加值客家產業，有效協助轉型升級：辦理「客家產業群聚創新推動計畫」，導入創新科技以調節產期及產能，輔導72家業者與客家地區產業緊密合作，開發超過15項創新商品，帶動整體客庄產業產值達10億元；結合地方政府及民間團體辦理「Hakka TAIWAN臺灣客家」商品登錄，輔導業者將客家文化融入產品，增加產品附加價值。</w:t>
      </w:r>
    </w:p>
    <w:p w:rsidR="005A2AA4" w:rsidRPr="006F69B9" w:rsidRDefault="005A2AA4" w:rsidP="005A2AA4">
      <w:pPr>
        <w:pStyle w:val="14"/>
        <w:numPr>
          <w:ilvl w:val="0"/>
          <w:numId w:val="14"/>
        </w:numPr>
        <w:snapToGrid w:val="0"/>
        <w:spacing w:line="500" w:lineRule="exact"/>
        <w:rPr>
          <w:rFonts w:hAnsi="標楷體"/>
        </w:rPr>
      </w:pPr>
      <w:r w:rsidRPr="006F69B9">
        <w:rPr>
          <w:rFonts w:hAnsi="標楷體" w:hint="eastAsia"/>
        </w:rPr>
        <w:t>傳揚客家節慶及藝文展演，</w:t>
      </w:r>
      <w:r w:rsidRPr="001B727E">
        <w:rPr>
          <w:rFonts w:hAnsi="標楷體" w:hint="eastAsia"/>
        </w:rPr>
        <w:t>扶植客家藝文發展</w:t>
      </w:r>
      <w:r w:rsidRPr="006F69B9">
        <w:rPr>
          <w:rFonts w:hAnsi="標楷體" w:hint="eastAsia"/>
        </w:rPr>
        <w:t>：於屏東縣萬巒鄉辦理「2017六堆嘉年華-第52屆六堆運動會」，包括辦理「鬧熱客庄踩街」活動、邀請紙風車劇團演出「六堆的故事」，及舉辦運動競賽及傳統客家民俗競技，約1萬4,900人次參與；辦理精緻客家大戲膨風美人及客家傳統戲曲收冬戲，分別計有5</w:t>
      </w:r>
      <w:r w:rsidRPr="006F69B9">
        <w:rPr>
          <w:rFonts w:hAnsi="標楷體"/>
        </w:rPr>
        <w:t>,</w:t>
      </w:r>
      <w:r w:rsidRPr="006F69B9">
        <w:rPr>
          <w:rFonts w:hAnsi="標楷體" w:hint="eastAsia"/>
        </w:rPr>
        <w:t>2</w:t>
      </w:r>
      <w:r w:rsidRPr="006F69B9">
        <w:rPr>
          <w:rFonts w:hAnsi="標楷體"/>
        </w:rPr>
        <w:t>00</w:t>
      </w:r>
      <w:r w:rsidRPr="006F69B9">
        <w:rPr>
          <w:rFonts w:hAnsi="標楷體" w:hint="eastAsia"/>
        </w:rPr>
        <w:t>人次及</w:t>
      </w:r>
      <w:r w:rsidRPr="006F69B9">
        <w:rPr>
          <w:rFonts w:hAnsi="標楷體"/>
        </w:rPr>
        <w:t>5,</w:t>
      </w:r>
      <w:r w:rsidRPr="006F69B9">
        <w:rPr>
          <w:rFonts w:hAnsi="標楷體" w:hint="eastAsia"/>
        </w:rPr>
        <w:t>000人次觀賞。</w:t>
      </w:r>
    </w:p>
    <w:p w:rsidR="005A2AA4" w:rsidRPr="006F69B9" w:rsidRDefault="005A2AA4" w:rsidP="005A2AA4">
      <w:pPr>
        <w:pStyle w:val="14"/>
        <w:numPr>
          <w:ilvl w:val="0"/>
          <w:numId w:val="14"/>
        </w:numPr>
        <w:snapToGrid w:val="0"/>
        <w:spacing w:line="500" w:lineRule="exact"/>
        <w:rPr>
          <w:rFonts w:hAnsi="標楷體"/>
        </w:rPr>
      </w:pPr>
      <w:r w:rsidRPr="006F69B9">
        <w:rPr>
          <w:rFonts w:hAnsi="標楷體" w:hint="eastAsia"/>
        </w:rPr>
        <w:t>積極進行國際學術交流合作，強化臺灣客家與世界連結：</w:t>
      </w:r>
      <w:r>
        <w:rPr>
          <w:rFonts w:hAnsi="標楷體" w:hint="eastAsia"/>
        </w:rPr>
        <w:t>推動客家國際參與，</w:t>
      </w:r>
      <w:r w:rsidRPr="006F69B9">
        <w:rPr>
          <w:rFonts w:hAnsi="標楷體" w:hint="eastAsia"/>
        </w:rPr>
        <w:t>與印尼客家博物館簽屬客家文化交流合作備忘錄</w:t>
      </w:r>
      <w:r>
        <w:rPr>
          <w:rFonts w:hAnsi="標楷體" w:hint="eastAsia"/>
        </w:rPr>
        <w:t>；與</w:t>
      </w:r>
      <w:r w:rsidRPr="006F69B9">
        <w:rPr>
          <w:rFonts w:hAnsi="標楷體" w:hint="eastAsia"/>
        </w:rPr>
        <w:t>日本國立民族學博物館及國立交通大學客家文化學院，簽署三方學術研究交流合作協定書；辦理博物館與客家研究國際研討會，完成客家論壇與全球客家講座計9次。</w:t>
      </w:r>
    </w:p>
    <w:p w:rsidR="005A2AA4" w:rsidRPr="006F69B9" w:rsidRDefault="005A2AA4" w:rsidP="005A2AA4">
      <w:pPr>
        <w:pStyle w:val="1"/>
        <w:spacing w:before="360" w:line="500" w:lineRule="exact"/>
        <w:rPr>
          <w:rFonts w:ascii="標楷體" w:eastAsia="標楷體" w:hAnsi="標楷體"/>
        </w:rPr>
      </w:pPr>
      <w:r w:rsidRPr="006F69B9">
        <w:rPr>
          <w:rFonts w:ascii="標楷體" w:eastAsia="標楷體" w:hAnsi="標楷體" w:hint="eastAsia"/>
        </w:rPr>
        <w:t>二十、關於</w:t>
      </w:r>
      <w:r>
        <w:rPr>
          <w:rFonts w:ascii="標楷體" w:eastAsia="標楷體" w:hAnsi="標楷體" w:hint="eastAsia"/>
        </w:rPr>
        <w:t>其他</w:t>
      </w:r>
      <w:r w:rsidRPr="006F69B9">
        <w:rPr>
          <w:rFonts w:ascii="標楷體" w:eastAsia="標楷體" w:hAnsi="標楷體" w:hint="eastAsia"/>
        </w:rPr>
        <w:t>政務方面</w:t>
      </w:r>
    </w:p>
    <w:p w:rsidR="005A2AA4" w:rsidRPr="006F69B9" w:rsidRDefault="005A2AA4" w:rsidP="005A2AA4">
      <w:pPr>
        <w:pStyle w:val="13"/>
        <w:snapToGrid w:val="0"/>
        <w:spacing w:line="500" w:lineRule="exact"/>
        <w:ind w:left="0" w:firstLine="600"/>
        <w:rPr>
          <w:rFonts w:hAnsi="標楷體"/>
        </w:rPr>
      </w:pPr>
      <w:r w:rsidRPr="006F69B9">
        <w:rPr>
          <w:rFonts w:hAnsi="標楷體" w:hint="eastAsia"/>
        </w:rPr>
        <w:t>本年度</w:t>
      </w:r>
      <w:r>
        <w:rPr>
          <w:rFonts w:hAnsi="標楷體" w:hint="eastAsia"/>
        </w:rPr>
        <w:t>其他</w:t>
      </w:r>
      <w:r w:rsidRPr="006F69B9">
        <w:rPr>
          <w:rFonts w:hAnsi="標楷體" w:hint="eastAsia"/>
        </w:rPr>
        <w:t>政務施政重點，為</w:t>
      </w:r>
      <w:r w:rsidRPr="00E7038D">
        <w:rPr>
          <w:rFonts w:hAnsi="標楷體" w:hint="eastAsia"/>
        </w:rPr>
        <w:t>掌握國內外經濟脈動與趨勢，開創國家發展新格局；</w:t>
      </w:r>
      <w:r w:rsidRPr="006F69B9">
        <w:rPr>
          <w:rFonts w:hAnsi="標楷體" w:hint="eastAsia"/>
        </w:rPr>
        <w:t>奠定市場公平競爭基礎，匡正事業不當競爭行為；健全預算決策機制，加強政府會計管理，增進統計品質，發揮支援決策功能；打造效能與功</w:t>
      </w:r>
      <w:r w:rsidRPr="006F69B9">
        <w:rPr>
          <w:rFonts w:hAnsi="標楷體" w:hint="eastAsia"/>
        </w:rPr>
        <w:lastRenderedPageBreak/>
        <w:t>績導向之政府人力資源管理措施，提升人事服務效能等。一年來施政所獲成效如下：</w:t>
      </w:r>
    </w:p>
    <w:p w:rsidR="005A2AA4" w:rsidRPr="006F69B9" w:rsidRDefault="005A2AA4" w:rsidP="005A2AA4">
      <w:pPr>
        <w:pStyle w:val="14"/>
        <w:numPr>
          <w:ilvl w:val="0"/>
          <w:numId w:val="10"/>
        </w:numPr>
        <w:snapToGrid w:val="0"/>
        <w:spacing w:line="500" w:lineRule="exact"/>
        <w:rPr>
          <w:rFonts w:hAnsi="標楷體"/>
        </w:rPr>
      </w:pPr>
      <w:r w:rsidRPr="006F69B9">
        <w:rPr>
          <w:rFonts w:hAnsi="標楷體" w:hint="eastAsia"/>
        </w:rPr>
        <w:t>研析經濟政策，協調推動財經措施：完成「當前經濟情勢」、「金融產業發展戰略」研析；</w:t>
      </w:r>
      <w:r>
        <w:rPr>
          <w:rFonts w:hAnsi="標楷體" w:hint="eastAsia"/>
        </w:rPr>
        <w:t>掌握</w:t>
      </w:r>
      <w:r w:rsidRPr="006F69B9">
        <w:rPr>
          <w:rFonts w:hAnsi="標楷體" w:hint="eastAsia"/>
        </w:rPr>
        <w:t>國內外景氣動向，發布景氣指標及對策信號；訂定綠色經濟永續發展目標，提報本院國家永續發展委員會通過。</w:t>
      </w:r>
    </w:p>
    <w:p w:rsidR="005A2AA4" w:rsidRPr="006F69B9" w:rsidRDefault="005A2AA4" w:rsidP="005A2AA4">
      <w:pPr>
        <w:pStyle w:val="14"/>
        <w:numPr>
          <w:ilvl w:val="0"/>
          <w:numId w:val="10"/>
        </w:numPr>
        <w:snapToGrid w:val="0"/>
        <w:spacing w:line="500" w:lineRule="exact"/>
        <w:rPr>
          <w:rFonts w:hAnsi="標楷體"/>
        </w:rPr>
      </w:pPr>
      <w:r w:rsidRPr="006F69B9">
        <w:rPr>
          <w:rFonts w:hAnsi="標楷體" w:hint="eastAsia"/>
        </w:rPr>
        <w:t>完備市場競爭法規，查處妨礙市場競爭行為：持續檢討修正公平交易法及多層次傳銷管理法，研修各項行政規則；審議有關公平交易事項、事業活動及經濟情況之調查事項，以及違反公平交易法與多層次傳銷管理法案件之調查、處分事項。</w:t>
      </w:r>
    </w:p>
    <w:p w:rsidR="005A2AA4" w:rsidRPr="006F69B9" w:rsidRDefault="005A2AA4" w:rsidP="005A2AA4">
      <w:pPr>
        <w:pStyle w:val="14"/>
        <w:numPr>
          <w:ilvl w:val="0"/>
          <w:numId w:val="10"/>
        </w:numPr>
        <w:snapToGrid w:val="0"/>
        <w:spacing w:line="500" w:lineRule="exact"/>
        <w:rPr>
          <w:rFonts w:hAnsi="標楷體"/>
        </w:rPr>
      </w:pPr>
      <w:r w:rsidRPr="006F69B9">
        <w:rPr>
          <w:rFonts w:hAnsi="標楷體" w:hint="eastAsia"/>
        </w:rPr>
        <w:t>嚴守財政紀律籌編預算，強化政府會計決算管理，提升統計效能：依照施政方針，擬定</w:t>
      </w:r>
      <w:r w:rsidRPr="006F69B9">
        <w:rPr>
          <w:rFonts w:hAnsi="標楷體"/>
        </w:rPr>
        <w:t>10</w:t>
      </w:r>
      <w:r w:rsidRPr="006F69B9">
        <w:rPr>
          <w:rFonts w:hAnsi="標楷體" w:hint="eastAsia"/>
        </w:rPr>
        <w:t>7年度中央政府總預算編製辦法，並依統籌財源合理分配之原則，訂定</w:t>
      </w:r>
      <w:r w:rsidRPr="006F69B9">
        <w:rPr>
          <w:rFonts w:hAnsi="標楷體"/>
        </w:rPr>
        <w:t>10</w:t>
      </w:r>
      <w:r w:rsidRPr="006F69B9">
        <w:rPr>
          <w:rFonts w:hAnsi="標楷體" w:hint="eastAsia"/>
        </w:rPr>
        <w:t>7年度中央及地方政府預算籌編原則；彙編</w:t>
      </w:r>
      <w:r w:rsidRPr="006F69B9">
        <w:rPr>
          <w:rFonts w:hAnsi="標楷體"/>
        </w:rPr>
        <w:t>10</w:t>
      </w:r>
      <w:r w:rsidRPr="006F69B9">
        <w:rPr>
          <w:rFonts w:hAnsi="標楷體" w:hint="eastAsia"/>
        </w:rPr>
        <w:t>7年度中央政府總預算案暨附屬單位預算及綜計表（營業及非營業部分），提出於立法院；完成本年度中央政府總預算暨附屬單位預算半年結算報告及綜計表（營業及非營業部分）之編造，送審計部；彙編</w:t>
      </w:r>
      <w:r w:rsidRPr="006F69B9">
        <w:rPr>
          <w:rFonts w:hAnsi="標楷體"/>
        </w:rPr>
        <w:t>10</w:t>
      </w:r>
      <w:r w:rsidRPr="006F69B9">
        <w:rPr>
          <w:rFonts w:hAnsi="標楷體" w:hint="eastAsia"/>
        </w:rPr>
        <w:t>5年度中央政府總決算暨附屬單位決算及綜計表（營業及非營業部分），提出於貴院；編布我國104年及105年社會保障支出統計、完成36項福祉衡量指標更新及進行社會福祉議題分析；編製完成104年國富統計報告。</w:t>
      </w:r>
    </w:p>
    <w:p w:rsidR="005A2AA4" w:rsidRPr="006F69B9" w:rsidRDefault="005A2AA4" w:rsidP="005A2AA4">
      <w:pPr>
        <w:pStyle w:val="1"/>
        <w:numPr>
          <w:ilvl w:val="0"/>
          <w:numId w:val="10"/>
        </w:numPr>
        <w:snapToGrid w:val="0"/>
        <w:spacing w:line="500" w:lineRule="exact"/>
        <w:rPr>
          <w:rFonts w:ascii="標楷體" w:eastAsia="標楷體" w:hAnsi="標楷體"/>
          <w:sz w:val="28"/>
          <w:szCs w:val="28"/>
        </w:rPr>
      </w:pPr>
      <w:r w:rsidRPr="006F69B9">
        <w:rPr>
          <w:rFonts w:ascii="標楷體" w:eastAsia="標楷體" w:hAnsi="標楷體" w:hint="eastAsia"/>
          <w:sz w:val="28"/>
        </w:rPr>
        <w:t>強化公務人力資源資訊能量，協助人力管理決策</w:t>
      </w:r>
      <w:r w:rsidRPr="006F69B9">
        <w:rPr>
          <w:rFonts w:ascii="標楷體" w:eastAsia="標楷體" w:hAnsi="標楷體" w:hint="eastAsia"/>
          <w:sz w:val="28"/>
          <w:szCs w:val="28"/>
        </w:rPr>
        <w:t>：建置「各機關學校用人費用管理資訊系統」，編製用人費用報告提供機關首長決策參據；完成機關年度人力資源報告，協助機關首長瞭解機關人力資本現況；辦理員工協助方案滿意度調查及成效力評估，打造友善公務職場。</w:t>
      </w:r>
    </w:p>
    <w:p w:rsidR="009B3432" w:rsidRDefault="009B3432" w:rsidP="005A2AA4">
      <w:pPr>
        <w:pStyle w:val="1"/>
        <w:spacing w:before="360" w:line="500" w:lineRule="exact"/>
        <w:rPr>
          <w:rFonts w:ascii="標楷體" w:eastAsia="標楷體" w:hAnsi="標楷體"/>
          <w:sz w:val="40"/>
        </w:rPr>
      </w:pPr>
    </w:p>
    <w:p w:rsidR="009B3432" w:rsidRDefault="009B3432" w:rsidP="005A2AA4">
      <w:pPr>
        <w:pStyle w:val="1"/>
        <w:spacing w:before="360" w:line="500" w:lineRule="exact"/>
        <w:rPr>
          <w:rFonts w:ascii="標楷體" w:eastAsia="標楷體" w:hAnsi="標楷體"/>
          <w:sz w:val="40"/>
        </w:rPr>
      </w:pPr>
    </w:p>
    <w:p w:rsidR="009B3432" w:rsidRDefault="009B3432" w:rsidP="005A2AA4">
      <w:pPr>
        <w:pStyle w:val="1"/>
        <w:spacing w:before="360" w:line="500" w:lineRule="exact"/>
        <w:rPr>
          <w:rFonts w:ascii="標楷體" w:eastAsia="標楷體" w:hAnsi="標楷體"/>
          <w:sz w:val="40"/>
        </w:rPr>
      </w:pPr>
    </w:p>
    <w:p w:rsidR="005A2AA4" w:rsidRPr="006F69B9" w:rsidRDefault="005A2AA4" w:rsidP="005A2AA4">
      <w:pPr>
        <w:pStyle w:val="1"/>
        <w:spacing w:before="360" w:line="500" w:lineRule="exact"/>
        <w:rPr>
          <w:rFonts w:ascii="標楷體" w:eastAsia="標楷體" w:hAnsi="標楷體"/>
          <w:sz w:val="40"/>
        </w:rPr>
      </w:pPr>
      <w:r w:rsidRPr="006F69B9">
        <w:rPr>
          <w:rFonts w:ascii="標楷體" w:eastAsia="標楷體" w:hAnsi="標楷體" w:hint="eastAsia"/>
          <w:sz w:val="40"/>
        </w:rPr>
        <w:lastRenderedPageBreak/>
        <w:t>肆、其他重要說明</w:t>
      </w:r>
    </w:p>
    <w:p w:rsidR="005A2AA4" w:rsidRPr="006F69B9" w:rsidRDefault="005A2AA4" w:rsidP="005A2AA4">
      <w:pPr>
        <w:pStyle w:val="3"/>
        <w:snapToGrid w:val="0"/>
        <w:spacing w:line="500" w:lineRule="exact"/>
        <w:ind w:left="567" w:hanging="533"/>
        <w:rPr>
          <w:rFonts w:ascii="標楷體" w:eastAsia="標楷體" w:hAnsi="標楷體"/>
          <w:sz w:val="28"/>
        </w:rPr>
      </w:pPr>
      <w:r w:rsidRPr="006F69B9">
        <w:rPr>
          <w:rFonts w:ascii="標楷體" w:eastAsia="標楷體" w:hAnsi="標楷體" w:hint="eastAsia"/>
          <w:sz w:val="28"/>
        </w:rPr>
        <w:t>一、依「決算法」第</w:t>
      </w:r>
      <w:r w:rsidRPr="006F69B9">
        <w:rPr>
          <w:rFonts w:ascii="標楷體" w:eastAsia="標楷體" w:hAnsi="標楷體"/>
          <w:sz w:val="28"/>
        </w:rPr>
        <w:t>21</w:t>
      </w:r>
      <w:r w:rsidRPr="006F69B9">
        <w:rPr>
          <w:rFonts w:ascii="標楷體" w:eastAsia="標楷體" w:hAnsi="標楷體" w:hint="eastAsia"/>
          <w:sz w:val="28"/>
        </w:rPr>
        <w:t>條規定，中央主計機關應編成總決算書，並將各附屬單位決算彙案編成綜計表，於會計年度結束後4個月內，提出於貴院。基於政府會計年度為曆年制，中央政府總決算暨附屬單位決算及綜計表應於每年</w:t>
      </w:r>
      <w:r w:rsidRPr="006F69B9">
        <w:rPr>
          <w:rFonts w:ascii="標楷體" w:eastAsia="標楷體" w:hAnsi="標楷體"/>
          <w:sz w:val="28"/>
        </w:rPr>
        <w:t>6</w:t>
      </w:r>
      <w:r w:rsidRPr="006F69B9">
        <w:rPr>
          <w:rFonts w:ascii="標楷體" w:eastAsia="標楷體" w:hAnsi="標楷體" w:hint="eastAsia"/>
          <w:sz w:val="28"/>
        </w:rPr>
        <w:t>月底以前編送貴院，惟為期迅速產生預算執行之考核資料，以為核編下年度預算之參考，及增進財務效能起見，自</w:t>
      </w:r>
      <w:r w:rsidRPr="006F69B9">
        <w:rPr>
          <w:rFonts w:ascii="標楷體" w:eastAsia="標楷體" w:hAnsi="標楷體"/>
          <w:sz w:val="28"/>
        </w:rPr>
        <w:t>65</w:t>
      </w:r>
      <w:r w:rsidRPr="006F69B9">
        <w:rPr>
          <w:rFonts w:ascii="標楷體" w:eastAsia="標楷體" w:hAnsi="標楷體" w:hint="eastAsia"/>
          <w:sz w:val="28"/>
        </w:rPr>
        <w:t>年度起均較規定之期限提前</w:t>
      </w:r>
      <w:r w:rsidRPr="006F69B9">
        <w:rPr>
          <w:rFonts w:ascii="標楷體" w:eastAsia="標楷體" w:hAnsi="標楷體"/>
          <w:sz w:val="28"/>
        </w:rPr>
        <w:t>2</w:t>
      </w:r>
      <w:r w:rsidRPr="006F69B9">
        <w:rPr>
          <w:rFonts w:ascii="標楷體" w:eastAsia="標楷體" w:hAnsi="標楷體" w:hint="eastAsia"/>
          <w:sz w:val="28"/>
        </w:rPr>
        <w:t>個月編成。本年度中央政府總決算暨附屬單位決算及綜計表之編製，仍循例提前於</w:t>
      </w:r>
      <w:r w:rsidRPr="006F69B9">
        <w:rPr>
          <w:rFonts w:ascii="標楷體" w:eastAsia="標楷體" w:hAnsi="標楷體"/>
          <w:sz w:val="28"/>
        </w:rPr>
        <w:t>4</w:t>
      </w:r>
      <w:r w:rsidRPr="006F69B9">
        <w:rPr>
          <w:rFonts w:ascii="標楷體" w:eastAsia="標楷體" w:hAnsi="標楷體" w:hint="eastAsia"/>
          <w:sz w:val="28"/>
        </w:rPr>
        <w:t>月底以前完成。</w:t>
      </w:r>
    </w:p>
    <w:p w:rsidR="005A2AA4" w:rsidRPr="006F69B9" w:rsidRDefault="005A2AA4" w:rsidP="009B3432">
      <w:pPr>
        <w:pStyle w:val="3"/>
        <w:snapToGrid w:val="0"/>
        <w:spacing w:line="500" w:lineRule="exact"/>
        <w:ind w:left="567" w:hanging="533"/>
        <w:rPr>
          <w:rFonts w:ascii="標楷體" w:eastAsia="標楷體" w:hAnsi="標楷體"/>
          <w:sz w:val="28"/>
        </w:rPr>
      </w:pPr>
      <w:r w:rsidRPr="006F69B9">
        <w:rPr>
          <w:rFonts w:ascii="標楷體" w:eastAsia="標楷體" w:hAnsi="標楷體" w:hint="eastAsia"/>
          <w:sz w:val="28"/>
        </w:rPr>
        <w:t>二、依「中央總會計制度」第28點規定，總會計年度會計報告得與總決算合併編製，一併送審。為避免重複，自49年度起總決算及總會計相關報表即合併編製；又因「決算法」所規範之審議、公告程序較為完備，爰合併編製後循例以總決算名稱表達。</w:t>
      </w:r>
    </w:p>
    <w:p w:rsidR="005A2AA4" w:rsidRPr="006F69B9" w:rsidRDefault="005A2AA4" w:rsidP="009B3432">
      <w:pPr>
        <w:pStyle w:val="5"/>
        <w:snapToGrid w:val="0"/>
        <w:spacing w:line="500" w:lineRule="exact"/>
        <w:ind w:leftChars="-1" w:left="566" w:hangingChars="203" w:hanging="568"/>
        <w:rPr>
          <w:rFonts w:ascii="標楷體" w:eastAsia="標楷體" w:hAnsi="標楷體"/>
          <w:sz w:val="28"/>
        </w:rPr>
      </w:pPr>
      <w:r w:rsidRPr="006F69B9">
        <w:rPr>
          <w:rFonts w:ascii="標楷體" w:eastAsia="標楷體" w:hAnsi="標楷體" w:hint="eastAsia"/>
          <w:sz w:val="28"/>
        </w:rPr>
        <w:t>三、依「會計法」第17條規定，修</w:t>
      </w:r>
      <w:r w:rsidR="00F716F9">
        <w:rPr>
          <w:rFonts w:ascii="標楷體" w:eastAsia="標楷體" w:hAnsi="標楷體" w:hint="eastAsia"/>
          <w:sz w:val="28"/>
        </w:rPr>
        <w:t>正</w:t>
      </w:r>
      <w:r w:rsidRPr="006F69B9">
        <w:rPr>
          <w:rFonts w:ascii="標楷體" w:eastAsia="標楷體" w:hAnsi="標楷體" w:hint="eastAsia"/>
          <w:sz w:val="28"/>
        </w:rPr>
        <w:t>公務機關適用之「中央政府普通公務單位會計制度之一致規定」，自</w:t>
      </w:r>
      <w:proofErr w:type="gramStart"/>
      <w:r w:rsidRPr="006F69B9">
        <w:rPr>
          <w:rFonts w:ascii="標楷體" w:eastAsia="標楷體" w:hAnsi="標楷體" w:hint="eastAsia"/>
          <w:sz w:val="28"/>
        </w:rPr>
        <w:t>1</w:t>
      </w:r>
      <w:r w:rsidRPr="006F69B9">
        <w:rPr>
          <w:rFonts w:ascii="標楷體" w:eastAsia="標楷體" w:hAnsi="標楷體"/>
          <w:sz w:val="28"/>
        </w:rPr>
        <w:t>05</w:t>
      </w:r>
      <w:proofErr w:type="gramEnd"/>
      <w:r w:rsidRPr="006F69B9">
        <w:rPr>
          <w:rFonts w:ascii="標楷體" w:eastAsia="標楷體" w:hAnsi="標楷體" w:hint="eastAsia"/>
          <w:sz w:val="28"/>
        </w:rPr>
        <w:t>年度起實施。公務機關之會計處理，不追溯適用於以前年度，爰104年度經審定之平衡表各科目列數，原則仍維持，並改依1</w:t>
      </w:r>
      <w:r w:rsidRPr="006F69B9">
        <w:rPr>
          <w:rFonts w:ascii="標楷體" w:eastAsia="標楷體" w:hAnsi="標楷體"/>
          <w:sz w:val="28"/>
        </w:rPr>
        <w:t>05</w:t>
      </w:r>
      <w:r w:rsidRPr="006F69B9">
        <w:rPr>
          <w:rFonts w:ascii="標楷體" w:eastAsia="標楷體" w:hAnsi="標楷體" w:hint="eastAsia"/>
          <w:sz w:val="28"/>
        </w:rPr>
        <w:t>年度實施之「中央政府普通公務單位會計制度之一致規定」相關科目表達。</w:t>
      </w:r>
    </w:p>
    <w:p w:rsidR="005A2AA4" w:rsidRPr="006F69B9" w:rsidRDefault="005A2AA4" w:rsidP="005A2AA4">
      <w:pPr>
        <w:pStyle w:val="5"/>
        <w:snapToGrid w:val="0"/>
        <w:spacing w:line="500" w:lineRule="exact"/>
        <w:ind w:leftChars="12" w:left="600" w:hangingChars="204" w:hanging="571"/>
        <w:rPr>
          <w:rFonts w:ascii="標楷體" w:eastAsia="標楷體" w:hAnsi="標楷體"/>
          <w:sz w:val="28"/>
        </w:rPr>
      </w:pPr>
      <w:r w:rsidRPr="006F69B9">
        <w:rPr>
          <w:rFonts w:ascii="標楷體" w:eastAsia="標楷體" w:hAnsi="標楷體" w:hint="eastAsia"/>
          <w:sz w:val="28"/>
        </w:rPr>
        <w:t>四、中央政府振興經濟擴大公共建設特別預算（</w:t>
      </w:r>
      <w:r w:rsidRPr="006F69B9">
        <w:rPr>
          <w:rFonts w:ascii="標楷體" w:eastAsia="標楷體" w:hAnsi="標楷體"/>
          <w:spacing w:val="-20"/>
          <w:sz w:val="28"/>
        </w:rPr>
        <w:t>100</w:t>
      </w:r>
      <w:r w:rsidRPr="006F69B9">
        <w:rPr>
          <w:rFonts w:ascii="標楷體" w:eastAsia="標楷體" w:hAnsi="標楷體" w:hint="eastAsia"/>
          <w:spacing w:val="-20"/>
          <w:sz w:val="28"/>
        </w:rPr>
        <w:t>年度）、</w:t>
      </w:r>
      <w:r w:rsidRPr="006F69B9">
        <w:rPr>
          <w:rFonts w:ascii="標楷體" w:eastAsia="標楷體" w:hAnsi="標楷體" w:hint="eastAsia"/>
          <w:sz w:val="28"/>
        </w:rPr>
        <w:t>中央政府國軍老舊眷村改建特別預算（</w:t>
      </w:r>
      <w:r w:rsidRPr="006F69B9">
        <w:rPr>
          <w:rFonts w:ascii="標楷體" w:eastAsia="標楷體" w:hAnsi="標楷體"/>
          <w:spacing w:val="-20"/>
          <w:sz w:val="28"/>
        </w:rPr>
        <w:t>86</w:t>
      </w:r>
      <w:r w:rsidRPr="006F69B9">
        <w:rPr>
          <w:rFonts w:ascii="標楷體" w:eastAsia="標楷體" w:hAnsi="標楷體" w:hint="eastAsia"/>
          <w:spacing w:val="-20"/>
          <w:sz w:val="28"/>
        </w:rPr>
        <w:t>年度至</w:t>
      </w:r>
      <w:r w:rsidRPr="006F69B9">
        <w:rPr>
          <w:rFonts w:ascii="標楷體" w:eastAsia="標楷體" w:hAnsi="標楷體"/>
          <w:spacing w:val="-20"/>
          <w:sz w:val="28"/>
        </w:rPr>
        <w:t>94</w:t>
      </w:r>
      <w:r w:rsidRPr="006F69B9">
        <w:rPr>
          <w:rFonts w:ascii="標楷體" w:eastAsia="標楷體" w:hAnsi="標楷體" w:hint="eastAsia"/>
          <w:spacing w:val="-20"/>
          <w:sz w:val="28"/>
        </w:rPr>
        <w:t>年度）、</w:t>
      </w:r>
      <w:r w:rsidRPr="006F69B9">
        <w:rPr>
          <w:rFonts w:ascii="標楷體" w:eastAsia="標楷體" w:hAnsi="標楷體" w:hint="eastAsia"/>
          <w:sz w:val="28"/>
        </w:rPr>
        <w:t>中央政府石門水庫及其集水區整治計畫第</w:t>
      </w:r>
      <w:r w:rsidRPr="006F69B9">
        <w:rPr>
          <w:rFonts w:ascii="標楷體" w:eastAsia="標楷體" w:hAnsi="標楷體"/>
          <w:sz w:val="28"/>
        </w:rPr>
        <w:t>2</w:t>
      </w:r>
      <w:r w:rsidRPr="006F69B9">
        <w:rPr>
          <w:rFonts w:ascii="標楷體" w:eastAsia="標楷體" w:hAnsi="標楷體" w:hint="eastAsia"/>
          <w:sz w:val="28"/>
        </w:rPr>
        <w:t>期特別預算（</w:t>
      </w:r>
      <w:r w:rsidRPr="006F69B9">
        <w:rPr>
          <w:rFonts w:ascii="標楷體" w:eastAsia="標楷體" w:hAnsi="標楷體"/>
          <w:spacing w:val="-20"/>
          <w:sz w:val="28"/>
        </w:rPr>
        <w:t>98</w:t>
      </w:r>
      <w:r w:rsidRPr="006F69B9">
        <w:rPr>
          <w:rFonts w:ascii="標楷體" w:eastAsia="標楷體" w:hAnsi="標楷體" w:hint="eastAsia"/>
          <w:spacing w:val="-20"/>
          <w:sz w:val="28"/>
        </w:rPr>
        <w:t>年度至</w:t>
      </w:r>
      <w:r w:rsidRPr="006F69B9">
        <w:rPr>
          <w:rFonts w:ascii="標楷體" w:eastAsia="標楷體" w:hAnsi="標楷體"/>
          <w:spacing w:val="-20"/>
          <w:sz w:val="28"/>
        </w:rPr>
        <w:t>100</w:t>
      </w:r>
      <w:r w:rsidRPr="006F69B9">
        <w:rPr>
          <w:rFonts w:ascii="標楷體" w:eastAsia="標楷體" w:hAnsi="標楷體" w:hint="eastAsia"/>
          <w:spacing w:val="-20"/>
          <w:sz w:val="28"/>
        </w:rPr>
        <w:t>年度</w:t>
      </w:r>
      <w:r w:rsidRPr="006F69B9">
        <w:rPr>
          <w:rFonts w:ascii="標楷體" w:eastAsia="標楷體" w:hAnsi="標楷體" w:hint="eastAsia"/>
          <w:spacing w:val="-18"/>
          <w:sz w:val="28"/>
        </w:rPr>
        <w:t>）、</w:t>
      </w:r>
      <w:r w:rsidRPr="006F69B9">
        <w:rPr>
          <w:rFonts w:ascii="標楷體" w:eastAsia="標楷體" w:hAnsi="標楷體" w:hint="eastAsia"/>
          <w:sz w:val="28"/>
        </w:rPr>
        <w:t>中央政府流域綜合治理計畫第1期特別預算（</w:t>
      </w:r>
      <w:r w:rsidRPr="006F69B9">
        <w:rPr>
          <w:rFonts w:ascii="標楷體" w:eastAsia="標楷體" w:hAnsi="標楷體" w:hint="eastAsia"/>
          <w:spacing w:val="-20"/>
          <w:sz w:val="28"/>
        </w:rPr>
        <w:t>103年度至104年度）等</w:t>
      </w:r>
      <w:r w:rsidRPr="006F69B9">
        <w:rPr>
          <w:rFonts w:ascii="標楷體" w:eastAsia="標楷體" w:hAnsi="標楷體" w:hint="eastAsia"/>
          <w:sz w:val="28"/>
        </w:rPr>
        <w:t>均已辦理決算，但尚有經審定轉入本年度繼續執行之歲入、歲出及融資調度保留數</w:t>
      </w:r>
      <w:r>
        <w:rPr>
          <w:rFonts w:ascii="標楷體" w:eastAsia="標楷體" w:hAnsi="標楷體" w:hint="eastAsia"/>
          <w:sz w:val="28"/>
        </w:rPr>
        <w:t>。</w:t>
      </w:r>
      <w:r w:rsidRPr="006F69B9">
        <w:rPr>
          <w:rFonts w:ascii="標楷體" w:eastAsia="標楷體" w:hAnsi="標楷體" w:hint="eastAsia"/>
          <w:sz w:val="28"/>
        </w:rPr>
        <w:t>經依據其執行情形，分別編具各該特別決算以前年度歲入、歲出及融資調度轉入數決算表附入本總決算內表達。</w:t>
      </w:r>
    </w:p>
    <w:p w:rsidR="005731DE" w:rsidRPr="005A2AA4" w:rsidRDefault="005731DE" w:rsidP="008B7BD5">
      <w:pPr>
        <w:pStyle w:val="5"/>
        <w:spacing w:line="240" w:lineRule="exact"/>
        <w:ind w:left="0" w:firstLine="0"/>
        <w:rPr>
          <w:rFonts w:ascii="標楷體" w:eastAsia="標楷體" w:hAnsi="標楷體"/>
          <w:color w:val="000000"/>
          <w:sz w:val="28"/>
        </w:rPr>
      </w:pPr>
    </w:p>
    <w:sectPr w:rsidR="005731DE" w:rsidRPr="005A2AA4" w:rsidSect="00011720">
      <w:headerReference w:type="default" r:id="rId12"/>
      <w:footerReference w:type="even" r:id="rId13"/>
      <w:footerReference w:type="default" r:id="rId14"/>
      <w:pgSz w:w="11907" w:h="16840" w:code="9"/>
      <w:pgMar w:top="1418" w:right="1304" w:bottom="1134" w:left="1304" w:header="1134" w:footer="567" w:gutter="0"/>
      <w:cols w:space="72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00A" w:rsidRDefault="0054300A">
      <w:r>
        <w:separator/>
      </w:r>
    </w:p>
  </w:endnote>
  <w:endnote w:type="continuationSeparator" w:id="0">
    <w:p w:rsidR="0054300A" w:rsidRDefault="00543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微軟正黑體"/>
    <w:charset w:val="88"/>
    <w:family w:val="modern"/>
    <w:pitch w:val="fixed"/>
    <w:sig w:usb0="80000001" w:usb1="28091800" w:usb2="00000016" w:usb3="00000000" w:csb0="00100000" w:csb1="00000000"/>
  </w:font>
  <w:font w:name="華康楷書體W5">
    <w:altName w:val="微軟正黑體"/>
    <w:charset w:val="88"/>
    <w:family w:val="script"/>
    <w:pitch w:val="fixed"/>
    <w:sig w:usb0="80000001" w:usb1="28091800" w:usb2="00000016" w:usb3="00000000" w:csb0="00100000" w:csb1="00000000"/>
  </w:font>
  <w:font w:name="Courier New">
    <w:panose1 w:val="02070309020205020404"/>
    <w:charset w:val="00"/>
    <w:family w:val="modern"/>
    <w:pitch w:val="fixed"/>
    <w:sig w:usb0="E0002AFF" w:usb1="C0007843" w:usb2="00000009" w:usb3="00000000" w:csb0="000001FF" w:csb1="00000000"/>
  </w:font>
  <w:font w:name="文鼎標準楷體">
    <w:altName w:val="新細明體"/>
    <w:panose1 w:val="00000000000000000000"/>
    <w:charset w:val="88"/>
    <w:family w:val="modern"/>
    <w:notTrueType/>
    <w:pitch w:val="fixed"/>
    <w:sig w:usb0="00000001" w:usb1="08080000" w:usb2="00000010" w:usb3="00000000" w:csb0="00100000" w:csb1="00000000"/>
  </w:font>
  <w:font w:name="華康中楷體">
    <w:altName w:val="新細明體"/>
    <w:charset w:val="88"/>
    <w:family w:val="modern"/>
    <w:pitch w:val="fixed"/>
    <w:sig w:usb0="00000001" w:usb1="08080000" w:usb2="00000010" w:usb3="00000000" w:csb0="00100000" w:csb1="00000000"/>
  </w:font>
  <w:font w:name="文鼎中楷">
    <w:charset w:val="88"/>
    <w:family w:val="modern"/>
    <w:pitch w:val="fixed"/>
    <w:sig w:usb0="800002A3" w:usb1="38CF7C70" w:usb2="00000016"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39C" w:rsidRPr="00DC7335" w:rsidRDefault="001D439C">
    <w:pPr>
      <w:pStyle w:val="a7"/>
      <w:framePr w:wrap="around" w:vAnchor="text" w:hAnchor="margin" w:xAlign="center" w:y="1"/>
      <w:rPr>
        <w:rStyle w:val="a8"/>
        <w:rFonts w:ascii="標楷體" w:eastAsia="標楷體" w:hAnsi="標楷體"/>
        <w:sz w:val="24"/>
      </w:rPr>
    </w:pPr>
    <w:r w:rsidRPr="00DC7335">
      <w:rPr>
        <w:rStyle w:val="a8"/>
        <w:rFonts w:ascii="標楷體" w:eastAsia="標楷體" w:hAnsi="標楷體" w:hint="eastAsia"/>
        <w:sz w:val="24"/>
      </w:rPr>
      <w:t>甲</w:t>
    </w:r>
    <w:r w:rsidRPr="00DC7335">
      <w:rPr>
        <w:rStyle w:val="a8"/>
        <w:rFonts w:ascii="標楷體" w:eastAsia="標楷體" w:hAnsi="標楷體"/>
        <w:sz w:val="24"/>
      </w:rPr>
      <w:fldChar w:fldCharType="begin"/>
    </w:r>
    <w:r w:rsidRPr="00DC7335">
      <w:rPr>
        <w:rStyle w:val="a8"/>
        <w:rFonts w:ascii="標楷體" w:eastAsia="標楷體" w:hAnsi="標楷體"/>
        <w:sz w:val="24"/>
      </w:rPr>
      <w:instrText xml:space="preserve">PAGE  </w:instrText>
    </w:r>
    <w:r w:rsidRPr="00DC7335">
      <w:rPr>
        <w:rStyle w:val="a8"/>
        <w:rFonts w:ascii="標楷體" w:eastAsia="標楷體" w:hAnsi="標楷體"/>
        <w:sz w:val="24"/>
      </w:rPr>
      <w:fldChar w:fldCharType="separate"/>
    </w:r>
    <w:r w:rsidR="0029411A">
      <w:rPr>
        <w:rStyle w:val="a8"/>
        <w:rFonts w:ascii="標楷體" w:eastAsia="標楷體" w:hAnsi="標楷體"/>
        <w:noProof/>
        <w:sz w:val="24"/>
      </w:rPr>
      <w:t>4</w:t>
    </w:r>
    <w:r w:rsidRPr="00DC7335">
      <w:rPr>
        <w:rStyle w:val="a8"/>
        <w:rFonts w:ascii="標楷體" w:eastAsia="標楷體" w:hAnsi="標楷體"/>
        <w:sz w:val="24"/>
      </w:rPr>
      <w:fldChar w:fldCharType="end"/>
    </w:r>
  </w:p>
  <w:p w:rsidR="001D439C" w:rsidRDefault="001D439C" w:rsidP="00697CFD">
    <w:pPr>
      <w:pStyle w:val="a7"/>
      <w:spacing w:beforeLines="20" w:before="48"/>
      <w:ind w:rightChars="149" w:right="358" w:firstLineChars="1800" w:firstLine="36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39C" w:rsidRPr="0089242A" w:rsidRDefault="001D439C">
    <w:pPr>
      <w:pStyle w:val="a7"/>
      <w:framePr w:wrap="around" w:vAnchor="text" w:hAnchor="margin" w:xAlign="center" w:y="1"/>
      <w:rPr>
        <w:rStyle w:val="a8"/>
        <w:rFonts w:ascii="標楷體" w:eastAsia="標楷體" w:hAnsi="標楷體"/>
        <w:sz w:val="24"/>
      </w:rPr>
    </w:pPr>
    <w:r w:rsidRPr="0089242A">
      <w:rPr>
        <w:rStyle w:val="a8"/>
        <w:rFonts w:ascii="標楷體" w:eastAsia="標楷體" w:hAnsi="標楷體" w:hint="eastAsia"/>
        <w:sz w:val="24"/>
      </w:rPr>
      <w:t>甲</w:t>
    </w:r>
    <w:r w:rsidRPr="0089242A">
      <w:rPr>
        <w:rStyle w:val="a8"/>
        <w:rFonts w:ascii="標楷體" w:eastAsia="標楷體" w:hAnsi="標楷體"/>
        <w:sz w:val="24"/>
      </w:rPr>
      <w:fldChar w:fldCharType="begin"/>
    </w:r>
    <w:r w:rsidRPr="0089242A">
      <w:rPr>
        <w:rStyle w:val="a8"/>
        <w:rFonts w:ascii="標楷體" w:eastAsia="標楷體" w:hAnsi="標楷體"/>
        <w:sz w:val="24"/>
      </w:rPr>
      <w:instrText xml:space="preserve">PAGE  </w:instrText>
    </w:r>
    <w:r w:rsidRPr="0089242A">
      <w:rPr>
        <w:rStyle w:val="a8"/>
        <w:rFonts w:ascii="標楷體" w:eastAsia="標楷體" w:hAnsi="標楷體"/>
        <w:sz w:val="24"/>
      </w:rPr>
      <w:fldChar w:fldCharType="separate"/>
    </w:r>
    <w:r w:rsidR="0029411A">
      <w:rPr>
        <w:rStyle w:val="a8"/>
        <w:rFonts w:ascii="標楷體" w:eastAsia="標楷體" w:hAnsi="標楷體"/>
        <w:noProof/>
        <w:sz w:val="24"/>
      </w:rPr>
      <w:t>3</w:t>
    </w:r>
    <w:r w:rsidRPr="0089242A">
      <w:rPr>
        <w:rStyle w:val="a8"/>
        <w:rFonts w:ascii="標楷體" w:eastAsia="標楷體" w:hAnsi="標楷體"/>
        <w:sz w:val="24"/>
      </w:rPr>
      <w:fldChar w:fldCharType="end"/>
    </w:r>
  </w:p>
  <w:p w:rsidR="001D439C" w:rsidRDefault="001D439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00A" w:rsidRDefault="0054300A">
      <w:r>
        <w:separator/>
      </w:r>
    </w:p>
  </w:footnote>
  <w:footnote w:type="continuationSeparator" w:id="0">
    <w:p w:rsidR="0054300A" w:rsidRDefault="00543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39C" w:rsidRDefault="001D439C">
    <w:pPr>
      <w:pStyle w:val="a9"/>
      <w:jc w:val="right"/>
      <w:rPr>
        <w:rFonts w:ascii="華康楷書體W5" w:eastAsia="華康楷書體W5"/>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DDE"/>
    <w:multiLevelType w:val="hybridMultilevel"/>
    <w:tmpl w:val="384C157E"/>
    <w:lvl w:ilvl="0" w:tplc="1408B8B8">
      <w:start w:val="1"/>
      <w:numFmt w:val="taiwaneseCountingThousand"/>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0781BD1"/>
    <w:multiLevelType w:val="hybridMultilevel"/>
    <w:tmpl w:val="C97A04C6"/>
    <w:lvl w:ilvl="0" w:tplc="93F6EA24">
      <w:start w:val="1"/>
      <w:numFmt w:val="taiwaneseCountingThousand"/>
      <w:lvlText w:val="(%1)"/>
      <w:lvlJc w:val="left"/>
      <w:pPr>
        <w:tabs>
          <w:tab w:val="num" w:pos="840"/>
        </w:tabs>
        <w:ind w:left="840" w:hanging="720"/>
      </w:pPr>
      <w:rPr>
        <w:rFonts w:hint="eastAsia"/>
      </w:rPr>
    </w:lvl>
    <w:lvl w:ilvl="1" w:tplc="04090019">
      <w:start w:val="1"/>
      <w:numFmt w:val="ideographTraditional"/>
      <w:lvlText w:val="%2、"/>
      <w:lvlJc w:val="left"/>
      <w:pPr>
        <w:tabs>
          <w:tab w:val="num" w:pos="2520"/>
        </w:tabs>
        <w:ind w:left="252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6534340"/>
    <w:multiLevelType w:val="hybridMultilevel"/>
    <w:tmpl w:val="68FABAB6"/>
    <w:lvl w:ilvl="0" w:tplc="93F6EA24">
      <w:start w:val="1"/>
      <w:numFmt w:val="taiwaneseCountingThousand"/>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85266F4"/>
    <w:multiLevelType w:val="hybridMultilevel"/>
    <w:tmpl w:val="CC4ABC26"/>
    <w:lvl w:ilvl="0" w:tplc="1408B8B8">
      <w:start w:val="1"/>
      <w:numFmt w:val="taiwaneseCountingThousand"/>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A743FC5"/>
    <w:multiLevelType w:val="hybridMultilevel"/>
    <w:tmpl w:val="45345868"/>
    <w:lvl w:ilvl="0" w:tplc="CF7EBB3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B4A54DA"/>
    <w:multiLevelType w:val="hybridMultilevel"/>
    <w:tmpl w:val="47D6545E"/>
    <w:lvl w:ilvl="0" w:tplc="7EDC59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341DE5"/>
    <w:multiLevelType w:val="hybridMultilevel"/>
    <w:tmpl w:val="452ADF9C"/>
    <w:lvl w:ilvl="0" w:tplc="93F6EA24">
      <w:start w:val="1"/>
      <w:numFmt w:val="taiwaneseCountingThousand"/>
      <w:lvlText w:val="(%1)"/>
      <w:lvlJc w:val="left"/>
      <w:pPr>
        <w:tabs>
          <w:tab w:val="num" w:pos="840"/>
        </w:tabs>
        <w:ind w:left="840" w:hanging="72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48A20EE"/>
    <w:multiLevelType w:val="hybridMultilevel"/>
    <w:tmpl w:val="F99691B0"/>
    <w:lvl w:ilvl="0" w:tplc="93F6EA24">
      <w:start w:val="1"/>
      <w:numFmt w:val="taiwaneseCountingThousand"/>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5F456C7"/>
    <w:multiLevelType w:val="hybridMultilevel"/>
    <w:tmpl w:val="90ACC29C"/>
    <w:lvl w:ilvl="0" w:tplc="93F6EA24">
      <w:start w:val="1"/>
      <w:numFmt w:val="taiwaneseCountingThousand"/>
      <w:lvlText w:val="(%1)"/>
      <w:lvlJc w:val="left"/>
      <w:pPr>
        <w:tabs>
          <w:tab w:val="num" w:pos="840"/>
        </w:tabs>
        <w:ind w:left="840" w:hanging="72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7747565"/>
    <w:multiLevelType w:val="hybridMultilevel"/>
    <w:tmpl w:val="F514B82C"/>
    <w:lvl w:ilvl="0" w:tplc="7DE67130">
      <w:start w:val="1"/>
      <w:numFmt w:val="taiwaneseCountingThousand"/>
      <w:lvlText w:val="%1、"/>
      <w:lvlJc w:val="left"/>
      <w:pPr>
        <w:tabs>
          <w:tab w:val="num" w:pos="840"/>
        </w:tabs>
        <w:ind w:left="840" w:hanging="720"/>
      </w:pPr>
      <w:rPr>
        <w:rFonts w:hint="default"/>
        <w:u w:val="none"/>
        <w:lang w:val="en-US"/>
      </w:rPr>
    </w:lvl>
    <w:lvl w:ilvl="1" w:tplc="E27C38F0">
      <w:start w:val="1"/>
      <w:numFmt w:val="taiwaneseCountingThousand"/>
      <w:lvlText w:val="(%2)"/>
      <w:lvlJc w:val="left"/>
      <w:pPr>
        <w:tabs>
          <w:tab w:val="num" w:pos="1320"/>
        </w:tabs>
        <w:ind w:left="1320" w:hanging="720"/>
      </w:pPr>
      <w:rPr>
        <w:rFonts w:ascii="標楷體" w:eastAsia="標楷體" w:hAnsi="標楷體" w:hint="eastAsia"/>
        <w:sz w:val="28"/>
        <w:szCs w:val="28"/>
      </w:r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0" w15:restartNumberingAfterBreak="0">
    <w:nsid w:val="18657F36"/>
    <w:multiLevelType w:val="hybridMultilevel"/>
    <w:tmpl w:val="5FCC7316"/>
    <w:lvl w:ilvl="0" w:tplc="93F6EA24">
      <w:start w:val="1"/>
      <w:numFmt w:val="taiwaneseCountingThousand"/>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1206DC2"/>
    <w:multiLevelType w:val="hybridMultilevel"/>
    <w:tmpl w:val="0FF47CD0"/>
    <w:lvl w:ilvl="0" w:tplc="1408B8B8">
      <w:start w:val="1"/>
      <w:numFmt w:val="taiwaneseCountingThousand"/>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43256A8"/>
    <w:multiLevelType w:val="multilevel"/>
    <w:tmpl w:val="56ECFDAC"/>
    <w:lvl w:ilvl="0">
      <w:start w:val="1"/>
      <w:numFmt w:val="taiwaneseCountingThousand"/>
      <w:pStyle w:val="a"/>
      <w:suff w:val="nothing"/>
      <w:lvlText w:val="%1、"/>
      <w:lvlJc w:val="left"/>
      <w:pPr>
        <w:ind w:left="567" w:hanging="567"/>
      </w:pPr>
      <w:rPr>
        <w:rFonts w:hint="eastAsia"/>
      </w:rPr>
    </w:lvl>
    <w:lvl w:ilvl="1">
      <w:start w:val="1"/>
      <w:numFmt w:val="taiwaneseCountingThousand"/>
      <w:suff w:val="nothing"/>
      <w:lvlText w:val="（%2）"/>
      <w:lvlJc w:val="left"/>
      <w:pPr>
        <w:ind w:left="1134" w:hanging="850"/>
      </w:pPr>
      <w:rPr>
        <w:rFonts w:hint="eastAsia"/>
      </w:rPr>
    </w:lvl>
    <w:lvl w:ilvl="2">
      <w:start w:val="1"/>
      <w:numFmt w:val="decimalFullWidth"/>
      <w:suff w:val="nothing"/>
      <w:lvlText w:val="%3、"/>
      <w:lvlJc w:val="left"/>
      <w:pPr>
        <w:ind w:left="1695" w:hanging="561"/>
      </w:pPr>
      <w:rPr>
        <w:rFonts w:hint="eastAsia"/>
      </w:rPr>
    </w:lvl>
    <w:lvl w:ilvl="3">
      <w:start w:val="1"/>
      <w:numFmt w:val="decimalFullWidth"/>
      <w:suff w:val="nothing"/>
      <w:lvlText w:val="（%4）"/>
      <w:lvlJc w:val="left"/>
      <w:pPr>
        <w:ind w:left="2257" w:hanging="856"/>
      </w:pPr>
      <w:rPr>
        <w:rFonts w:hint="eastAsia"/>
      </w:rPr>
    </w:lvl>
    <w:lvl w:ilvl="4">
      <w:start w:val="1"/>
      <w:numFmt w:val="ideographTraditional"/>
      <w:suff w:val="nothing"/>
      <w:lvlText w:val="%5、"/>
      <w:lvlJc w:val="left"/>
      <w:pPr>
        <w:ind w:left="3008" w:hanging="640"/>
      </w:pPr>
      <w:rPr>
        <w:rFonts w:hint="eastAsia"/>
      </w:rPr>
    </w:lvl>
    <w:lvl w:ilvl="5">
      <w:start w:val="1"/>
      <w:numFmt w:val="decimal"/>
      <w:lvlText w:val="%6)"/>
      <w:lvlJc w:val="left"/>
      <w:pPr>
        <w:tabs>
          <w:tab w:val="num" w:pos="2988"/>
        </w:tabs>
        <w:ind w:left="2988" w:hanging="1134"/>
      </w:pPr>
      <w:rPr>
        <w:rFonts w:hint="eastAsia"/>
      </w:rPr>
    </w:lvl>
    <w:lvl w:ilvl="6">
      <w:start w:val="1"/>
      <w:numFmt w:val="decimal"/>
      <w:lvlText w:val="(%7)"/>
      <w:lvlJc w:val="left"/>
      <w:pPr>
        <w:tabs>
          <w:tab w:val="num" w:pos="3555"/>
        </w:tabs>
        <w:ind w:left="3555" w:hanging="1276"/>
      </w:pPr>
      <w:rPr>
        <w:rFonts w:hint="eastAsia"/>
      </w:rPr>
    </w:lvl>
    <w:lvl w:ilvl="7">
      <w:start w:val="1"/>
      <w:numFmt w:val="lowerLetter"/>
      <w:lvlText w:val="%8."/>
      <w:lvlJc w:val="left"/>
      <w:pPr>
        <w:tabs>
          <w:tab w:val="num" w:pos="4122"/>
        </w:tabs>
        <w:ind w:left="4122" w:hanging="1418"/>
      </w:pPr>
      <w:rPr>
        <w:rFonts w:hint="eastAsia"/>
      </w:rPr>
    </w:lvl>
    <w:lvl w:ilvl="8">
      <w:start w:val="1"/>
      <w:numFmt w:val="lowerLetter"/>
      <w:lvlText w:val="%9)"/>
      <w:lvlJc w:val="left"/>
      <w:pPr>
        <w:tabs>
          <w:tab w:val="num" w:pos="4830"/>
        </w:tabs>
        <w:ind w:left="4830" w:hanging="1700"/>
      </w:pPr>
      <w:rPr>
        <w:rFonts w:hint="eastAsia"/>
      </w:rPr>
    </w:lvl>
  </w:abstractNum>
  <w:abstractNum w:abstractNumId="13" w15:restartNumberingAfterBreak="0">
    <w:nsid w:val="277031E5"/>
    <w:multiLevelType w:val="hybridMultilevel"/>
    <w:tmpl w:val="93C471C6"/>
    <w:lvl w:ilvl="0" w:tplc="93F6EA24">
      <w:start w:val="1"/>
      <w:numFmt w:val="taiwaneseCountingThousand"/>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A070611"/>
    <w:multiLevelType w:val="hybridMultilevel"/>
    <w:tmpl w:val="AD285A96"/>
    <w:lvl w:ilvl="0" w:tplc="80BAE70E">
      <w:start w:val="1"/>
      <w:numFmt w:val="taiwaneseCountingThousand"/>
      <w:lvlText w:val="（%1）"/>
      <w:lvlJc w:val="left"/>
      <w:pPr>
        <w:ind w:left="888" w:hanging="720"/>
      </w:pPr>
      <w:rPr>
        <w:rFonts w:hint="default"/>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15" w15:restartNumberingAfterBreak="0">
    <w:nsid w:val="2D78045C"/>
    <w:multiLevelType w:val="hybridMultilevel"/>
    <w:tmpl w:val="86A02B50"/>
    <w:lvl w:ilvl="0" w:tplc="93F6EA24">
      <w:start w:val="1"/>
      <w:numFmt w:val="taiwaneseCountingThousand"/>
      <w:lvlText w:val="(%1)"/>
      <w:lvlJc w:val="left"/>
      <w:pPr>
        <w:tabs>
          <w:tab w:val="num" w:pos="840"/>
        </w:tabs>
        <w:ind w:left="840" w:hanging="72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E3853A0"/>
    <w:multiLevelType w:val="hybridMultilevel"/>
    <w:tmpl w:val="FECEC3DA"/>
    <w:lvl w:ilvl="0" w:tplc="F15E58DE">
      <w:start w:val="2"/>
      <w:numFmt w:val="taiwaneseCountingThousand"/>
      <w:lvlText w:val="（%1）"/>
      <w:lvlJc w:val="left"/>
      <w:pPr>
        <w:tabs>
          <w:tab w:val="num" w:pos="855"/>
        </w:tabs>
        <w:ind w:left="855" w:hanging="855"/>
      </w:pPr>
      <w:rPr>
        <w:rFonts w:hint="default"/>
      </w:rPr>
    </w:lvl>
    <w:lvl w:ilvl="1" w:tplc="4B2C3484">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E937681"/>
    <w:multiLevelType w:val="hybridMultilevel"/>
    <w:tmpl w:val="ECCE1A86"/>
    <w:lvl w:ilvl="0" w:tplc="93F6EA24">
      <w:start w:val="1"/>
      <w:numFmt w:val="taiwaneseCountingThousand"/>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EC50921"/>
    <w:multiLevelType w:val="hybridMultilevel"/>
    <w:tmpl w:val="DF08C762"/>
    <w:lvl w:ilvl="0" w:tplc="93F6EA24">
      <w:start w:val="1"/>
      <w:numFmt w:val="taiwaneseCountingThousand"/>
      <w:lvlText w:val="(%1)"/>
      <w:lvlJc w:val="left"/>
      <w:pPr>
        <w:tabs>
          <w:tab w:val="num" w:pos="840"/>
        </w:tabs>
        <w:ind w:left="840" w:hanging="72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3A50C15"/>
    <w:multiLevelType w:val="hybridMultilevel"/>
    <w:tmpl w:val="5FCC7316"/>
    <w:lvl w:ilvl="0" w:tplc="93F6EA24">
      <w:start w:val="1"/>
      <w:numFmt w:val="taiwaneseCountingThousand"/>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41967D4"/>
    <w:multiLevelType w:val="hybridMultilevel"/>
    <w:tmpl w:val="03484EC0"/>
    <w:lvl w:ilvl="0" w:tplc="93F6EA24">
      <w:start w:val="1"/>
      <w:numFmt w:val="taiwaneseCountingThousand"/>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53B5E2B"/>
    <w:multiLevelType w:val="hybridMultilevel"/>
    <w:tmpl w:val="BB96EA26"/>
    <w:lvl w:ilvl="0" w:tplc="2020EBF8">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83B6DC7"/>
    <w:multiLevelType w:val="hybridMultilevel"/>
    <w:tmpl w:val="A1BC1B52"/>
    <w:lvl w:ilvl="0" w:tplc="A04E50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CFB1CB9"/>
    <w:multiLevelType w:val="hybridMultilevel"/>
    <w:tmpl w:val="CC3A8268"/>
    <w:lvl w:ilvl="0" w:tplc="41606CD0">
      <w:start w:val="1"/>
      <w:numFmt w:val="taiwaneseCountingThousand"/>
      <w:pStyle w:val="a0"/>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F5018B1"/>
    <w:multiLevelType w:val="hybridMultilevel"/>
    <w:tmpl w:val="DDA83490"/>
    <w:lvl w:ilvl="0" w:tplc="D7403FAC">
      <w:start w:val="1"/>
      <w:numFmt w:val="taiwaneseCountingThousand"/>
      <w:pStyle w:val="a1"/>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3165E94"/>
    <w:multiLevelType w:val="hybridMultilevel"/>
    <w:tmpl w:val="3166923A"/>
    <w:lvl w:ilvl="0" w:tplc="93F6EA24">
      <w:start w:val="1"/>
      <w:numFmt w:val="taiwaneseCountingThousand"/>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3AC4E75"/>
    <w:multiLevelType w:val="hybridMultilevel"/>
    <w:tmpl w:val="C67886A2"/>
    <w:lvl w:ilvl="0" w:tplc="700E3DD8">
      <w:start w:val="3"/>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8760950"/>
    <w:multiLevelType w:val="hybridMultilevel"/>
    <w:tmpl w:val="F6D4E068"/>
    <w:lvl w:ilvl="0" w:tplc="1408B8B8">
      <w:start w:val="1"/>
      <w:numFmt w:val="taiwaneseCountingThousand"/>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9975AE3"/>
    <w:multiLevelType w:val="hybridMultilevel"/>
    <w:tmpl w:val="F2D442EE"/>
    <w:lvl w:ilvl="0" w:tplc="93F6EA24">
      <w:start w:val="1"/>
      <w:numFmt w:val="taiwaneseCountingThousand"/>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AE9012C"/>
    <w:multiLevelType w:val="hybridMultilevel"/>
    <w:tmpl w:val="66FC63CA"/>
    <w:lvl w:ilvl="0" w:tplc="93F6EA24">
      <w:start w:val="1"/>
      <w:numFmt w:val="taiwaneseCountingThousand"/>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D864D8A"/>
    <w:multiLevelType w:val="multilevel"/>
    <w:tmpl w:val="9494555C"/>
    <w:lvl w:ilvl="0">
      <w:start w:val="1"/>
      <w:numFmt w:val="taiwaneseCountingThousand"/>
      <w:pStyle w:val="a2"/>
      <w:suff w:val="nothing"/>
      <w:lvlText w:val="%1、"/>
      <w:lvlJc w:val="left"/>
      <w:pPr>
        <w:ind w:left="99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31" w15:restartNumberingAfterBreak="0">
    <w:nsid w:val="4F330DA2"/>
    <w:multiLevelType w:val="hybridMultilevel"/>
    <w:tmpl w:val="3F8412FC"/>
    <w:lvl w:ilvl="0" w:tplc="93F6EA24">
      <w:start w:val="1"/>
      <w:numFmt w:val="taiwaneseCountingThousand"/>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3A22475"/>
    <w:multiLevelType w:val="hybridMultilevel"/>
    <w:tmpl w:val="71BA4992"/>
    <w:lvl w:ilvl="0" w:tplc="C2D296D0">
      <w:start w:val="1"/>
      <w:numFmt w:val="taiwaneseCountingThousand"/>
      <w:lvlText w:val="(%1)"/>
      <w:lvlJc w:val="left"/>
      <w:pPr>
        <w:tabs>
          <w:tab w:val="num" w:pos="840"/>
        </w:tabs>
        <w:ind w:left="840" w:hanging="720"/>
      </w:pPr>
      <w:rPr>
        <w:rFonts w:hint="eastAsia"/>
      </w:rPr>
    </w:lvl>
    <w:lvl w:ilvl="1" w:tplc="2E56E1B2">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4A21263"/>
    <w:multiLevelType w:val="hybridMultilevel"/>
    <w:tmpl w:val="46B626B0"/>
    <w:lvl w:ilvl="0" w:tplc="93F6EA24">
      <w:start w:val="1"/>
      <w:numFmt w:val="taiwaneseCountingThousand"/>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4C24F52"/>
    <w:multiLevelType w:val="hybridMultilevel"/>
    <w:tmpl w:val="3D902C04"/>
    <w:lvl w:ilvl="0" w:tplc="FFFFFFFF">
      <w:start w:val="1"/>
      <w:numFmt w:val="decimal"/>
      <w:pStyle w:val="4"/>
      <w:lvlText w:val="%1."/>
      <w:lvlJc w:val="left"/>
      <w:pPr>
        <w:tabs>
          <w:tab w:val="num" w:pos="255"/>
        </w:tabs>
        <w:ind w:left="0" w:firstLine="0"/>
      </w:pPr>
      <w:rPr>
        <w:rFonts w:eastAsia="標楷體" w:hint="eastAsia"/>
        <w:b w:val="0"/>
        <w:i w:val="0"/>
        <w:sz w:val="26"/>
        <w:szCs w:val="26"/>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5" w15:restartNumberingAfterBreak="0">
    <w:nsid w:val="557E0617"/>
    <w:multiLevelType w:val="hybridMultilevel"/>
    <w:tmpl w:val="95F08FB8"/>
    <w:lvl w:ilvl="0" w:tplc="E27C38F0">
      <w:start w:val="1"/>
      <w:numFmt w:val="taiwaneseCountingThousand"/>
      <w:lvlText w:val="(%1)"/>
      <w:lvlJc w:val="left"/>
      <w:pPr>
        <w:tabs>
          <w:tab w:val="num" w:pos="1440"/>
        </w:tabs>
        <w:ind w:left="1440" w:hanging="720"/>
      </w:pPr>
      <w:rPr>
        <w:rFonts w:ascii="標楷體" w:eastAsia="標楷體" w:hAnsi="標楷體" w:hint="eastAsia"/>
        <w:sz w:val="28"/>
        <w:szCs w:val="28"/>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36" w15:restartNumberingAfterBreak="0">
    <w:nsid w:val="56FB17BB"/>
    <w:multiLevelType w:val="hybridMultilevel"/>
    <w:tmpl w:val="12801C40"/>
    <w:lvl w:ilvl="0" w:tplc="B88A08D4">
      <w:start w:val="1"/>
      <w:numFmt w:val="taiwaneseCountingThousand"/>
      <w:lvlText w:val="（%1）"/>
      <w:lvlJc w:val="left"/>
      <w:pPr>
        <w:tabs>
          <w:tab w:val="num" w:pos="975"/>
        </w:tabs>
        <w:ind w:left="97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5CE04B45"/>
    <w:multiLevelType w:val="hybridMultilevel"/>
    <w:tmpl w:val="DB028BE0"/>
    <w:lvl w:ilvl="0" w:tplc="1408B8B8">
      <w:start w:val="1"/>
      <w:numFmt w:val="taiwaneseCountingThousand"/>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5CEF12E0"/>
    <w:multiLevelType w:val="hybridMultilevel"/>
    <w:tmpl w:val="AE2EBC00"/>
    <w:lvl w:ilvl="0" w:tplc="93F6EA24">
      <w:start w:val="1"/>
      <w:numFmt w:val="taiwaneseCountingThousand"/>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5F783FF4"/>
    <w:multiLevelType w:val="hybridMultilevel"/>
    <w:tmpl w:val="681EA118"/>
    <w:lvl w:ilvl="0" w:tplc="93F6EA24">
      <w:start w:val="1"/>
      <w:numFmt w:val="taiwaneseCountingThousand"/>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1CB01A7"/>
    <w:multiLevelType w:val="hybridMultilevel"/>
    <w:tmpl w:val="253AAB2A"/>
    <w:lvl w:ilvl="0" w:tplc="1408B8B8">
      <w:start w:val="1"/>
      <w:numFmt w:val="taiwaneseCountingThousand"/>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2400C83"/>
    <w:multiLevelType w:val="hybridMultilevel"/>
    <w:tmpl w:val="A37EADDA"/>
    <w:lvl w:ilvl="0" w:tplc="0816B20A">
      <w:start w:val="1"/>
      <w:numFmt w:val="decimal"/>
      <w:lvlText w:val="%1."/>
      <w:lvlJc w:val="left"/>
      <w:pPr>
        <w:ind w:left="480" w:hanging="480"/>
      </w:pPr>
      <w:rPr>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3284172"/>
    <w:multiLevelType w:val="hybridMultilevel"/>
    <w:tmpl w:val="1E5AE20E"/>
    <w:lvl w:ilvl="0" w:tplc="93F6EA24">
      <w:start w:val="1"/>
      <w:numFmt w:val="taiwaneseCountingThousand"/>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43" w15:restartNumberingAfterBreak="0">
    <w:nsid w:val="63C42758"/>
    <w:multiLevelType w:val="hybridMultilevel"/>
    <w:tmpl w:val="C614629A"/>
    <w:lvl w:ilvl="0" w:tplc="CFD80734">
      <w:start w:val="1"/>
      <w:numFmt w:val="decimal"/>
      <w:lvlText w:val="%1."/>
      <w:lvlJc w:val="left"/>
      <w:pPr>
        <w:ind w:left="860" w:hanging="360"/>
      </w:pPr>
      <w:rPr>
        <w:rFonts w:hint="default"/>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44" w15:restartNumberingAfterBreak="0">
    <w:nsid w:val="66FC2990"/>
    <w:multiLevelType w:val="hybridMultilevel"/>
    <w:tmpl w:val="79122FD8"/>
    <w:lvl w:ilvl="0" w:tplc="93F6EA24">
      <w:start w:val="1"/>
      <w:numFmt w:val="taiwaneseCountingThousand"/>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67D11BCE"/>
    <w:multiLevelType w:val="hybridMultilevel"/>
    <w:tmpl w:val="CB5E92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A982164"/>
    <w:multiLevelType w:val="hybridMultilevel"/>
    <w:tmpl w:val="7BDAE916"/>
    <w:lvl w:ilvl="0" w:tplc="E27C38F0">
      <w:start w:val="1"/>
      <w:numFmt w:val="taiwaneseCountingThousand"/>
      <w:lvlText w:val="(%1)"/>
      <w:lvlJc w:val="left"/>
      <w:pPr>
        <w:tabs>
          <w:tab w:val="num" w:pos="1440"/>
        </w:tabs>
        <w:ind w:left="1440" w:hanging="720"/>
      </w:pPr>
      <w:rPr>
        <w:rFonts w:ascii="標楷體" w:eastAsia="標楷體" w:hAnsi="標楷體" w:hint="eastAsia"/>
        <w:sz w:val="28"/>
        <w:szCs w:val="28"/>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47" w15:restartNumberingAfterBreak="0">
    <w:nsid w:val="7CA51B85"/>
    <w:multiLevelType w:val="hybridMultilevel"/>
    <w:tmpl w:val="02D4C2D0"/>
    <w:lvl w:ilvl="0" w:tplc="93F6EA24">
      <w:start w:val="1"/>
      <w:numFmt w:val="taiwaneseCountingThousand"/>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7CE412B8"/>
    <w:multiLevelType w:val="hybridMultilevel"/>
    <w:tmpl w:val="83C8FEAA"/>
    <w:lvl w:ilvl="0" w:tplc="1408B8B8">
      <w:start w:val="1"/>
      <w:numFmt w:val="taiwaneseCountingThousand"/>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7DD11BAB"/>
    <w:multiLevelType w:val="hybridMultilevel"/>
    <w:tmpl w:val="53FA1CBE"/>
    <w:lvl w:ilvl="0" w:tplc="93F6EA24">
      <w:start w:val="1"/>
      <w:numFmt w:val="taiwaneseCountingThousand"/>
      <w:lvlText w:val="(%1)"/>
      <w:lvlJc w:val="left"/>
      <w:pPr>
        <w:tabs>
          <w:tab w:val="num" w:pos="840"/>
        </w:tabs>
        <w:ind w:left="840" w:hanging="72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2"/>
  </w:num>
  <w:num w:numId="2">
    <w:abstractNumId w:val="42"/>
  </w:num>
  <w:num w:numId="3">
    <w:abstractNumId w:val="23"/>
  </w:num>
  <w:num w:numId="4">
    <w:abstractNumId w:val="24"/>
  </w:num>
  <w:num w:numId="5">
    <w:abstractNumId w:val="6"/>
  </w:num>
  <w:num w:numId="6">
    <w:abstractNumId w:val="2"/>
  </w:num>
  <w:num w:numId="7">
    <w:abstractNumId w:val="25"/>
  </w:num>
  <w:num w:numId="8">
    <w:abstractNumId w:val="19"/>
  </w:num>
  <w:num w:numId="9">
    <w:abstractNumId w:val="31"/>
  </w:num>
  <w:num w:numId="10">
    <w:abstractNumId w:val="28"/>
  </w:num>
  <w:num w:numId="11">
    <w:abstractNumId w:val="18"/>
  </w:num>
  <w:num w:numId="12">
    <w:abstractNumId w:val="33"/>
  </w:num>
  <w:num w:numId="13">
    <w:abstractNumId w:val="29"/>
  </w:num>
  <w:num w:numId="14">
    <w:abstractNumId w:val="38"/>
  </w:num>
  <w:num w:numId="15">
    <w:abstractNumId w:val="47"/>
  </w:num>
  <w:num w:numId="16">
    <w:abstractNumId w:val="8"/>
  </w:num>
  <w:num w:numId="17">
    <w:abstractNumId w:val="17"/>
  </w:num>
  <w:num w:numId="18">
    <w:abstractNumId w:val="49"/>
  </w:num>
  <w:num w:numId="19">
    <w:abstractNumId w:val="1"/>
  </w:num>
  <w:num w:numId="20">
    <w:abstractNumId w:val="20"/>
  </w:num>
  <w:num w:numId="21">
    <w:abstractNumId w:val="30"/>
  </w:num>
  <w:num w:numId="22">
    <w:abstractNumId w:val="34"/>
    <w:lvlOverride w:ilvl="0">
      <w:startOverride w:val="1"/>
    </w:lvlOverride>
  </w:num>
  <w:num w:numId="23">
    <w:abstractNumId w:val="22"/>
  </w:num>
  <w:num w:numId="24">
    <w:abstractNumId w:val="7"/>
  </w:num>
  <w:num w:numId="25">
    <w:abstractNumId w:val="44"/>
  </w:num>
  <w:num w:numId="26">
    <w:abstractNumId w:val="39"/>
  </w:num>
  <w:num w:numId="27">
    <w:abstractNumId w:val="13"/>
  </w:num>
  <w:num w:numId="28">
    <w:abstractNumId w:val="37"/>
  </w:num>
  <w:num w:numId="29">
    <w:abstractNumId w:val="48"/>
  </w:num>
  <w:num w:numId="30">
    <w:abstractNumId w:val="11"/>
  </w:num>
  <w:num w:numId="31">
    <w:abstractNumId w:val="32"/>
  </w:num>
  <w:num w:numId="32">
    <w:abstractNumId w:val="21"/>
  </w:num>
  <w:num w:numId="33">
    <w:abstractNumId w:val="4"/>
  </w:num>
  <w:num w:numId="34">
    <w:abstractNumId w:val="36"/>
  </w:num>
  <w:num w:numId="35">
    <w:abstractNumId w:val="16"/>
  </w:num>
  <w:num w:numId="36">
    <w:abstractNumId w:val="26"/>
  </w:num>
  <w:num w:numId="37">
    <w:abstractNumId w:val="9"/>
  </w:num>
  <w:num w:numId="38">
    <w:abstractNumId w:val="35"/>
  </w:num>
  <w:num w:numId="39">
    <w:abstractNumId w:val="46"/>
  </w:num>
  <w:num w:numId="40">
    <w:abstractNumId w:val="3"/>
  </w:num>
  <w:num w:numId="41">
    <w:abstractNumId w:val="27"/>
  </w:num>
  <w:num w:numId="42">
    <w:abstractNumId w:val="40"/>
  </w:num>
  <w:num w:numId="43">
    <w:abstractNumId w:val="0"/>
  </w:num>
  <w:num w:numId="44">
    <w:abstractNumId w:val="5"/>
  </w:num>
  <w:num w:numId="45">
    <w:abstractNumId w:val="43"/>
  </w:num>
  <w:num w:numId="46">
    <w:abstractNumId w:val="45"/>
  </w:num>
  <w:num w:numId="47">
    <w:abstractNumId w:val="14"/>
  </w:num>
  <w:num w:numId="48">
    <w:abstractNumId w:val="15"/>
  </w:num>
  <w:num w:numId="49">
    <w:abstractNumId w:val="10"/>
  </w:num>
  <w:num w:numId="50">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4AC"/>
    <w:rsid w:val="00000D6E"/>
    <w:rsid w:val="00001691"/>
    <w:rsid w:val="00002620"/>
    <w:rsid w:val="00002D36"/>
    <w:rsid w:val="0000341C"/>
    <w:rsid w:val="0000352B"/>
    <w:rsid w:val="00003877"/>
    <w:rsid w:val="00004D02"/>
    <w:rsid w:val="0000586A"/>
    <w:rsid w:val="00006640"/>
    <w:rsid w:val="000069D4"/>
    <w:rsid w:val="00007AB3"/>
    <w:rsid w:val="000100A2"/>
    <w:rsid w:val="000107FA"/>
    <w:rsid w:val="000108A6"/>
    <w:rsid w:val="00011332"/>
    <w:rsid w:val="00011720"/>
    <w:rsid w:val="000119D0"/>
    <w:rsid w:val="00012B21"/>
    <w:rsid w:val="00012D6F"/>
    <w:rsid w:val="00013977"/>
    <w:rsid w:val="00013EA6"/>
    <w:rsid w:val="00013F9C"/>
    <w:rsid w:val="00014697"/>
    <w:rsid w:val="00014E10"/>
    <w:rsid w:val="00020680"/>
    <w:rsid w:val="00020D20"/>
    <w:rsid w:val="00021C6B"/>
    <w:rsid w:val="00022FA0"/>
    <w:rsid w:val="00023481"/>
    <w:rsid w:val="000239F4"/>
    <w:rsid w:val="00023A05"/>
    <w:rsid w:val="000245AF"/>
    <w:rsid w:val="00024D1E"/>
    <w:rsid w:val="00026D33"/>
    <w:rsid w:val="0002712A"/>
    <w:rsid w:val="000271FD"/>
    <w:rsid w:val="0002729A"/>
    <w:rsid w:val="000305E2"/>
    <w:rsid w:val="00031878"/>
    <w:rsid w:val="00031B34"/>
    <w:rsid w:val="00031D48"/>
    <w:rsid w:val="00032BB2"/>
    <w:rsid w:val="00033CAB"/>
    <w:rsid w:val="000365EE"/>
    <w:rsid w:val="000370E1"/>
    <w:rsid w:val="000408D5"/>
    <w:rsid w:val="00041BAE"/>
    <w:rsid w:val="0004283D"/>
    <w:rsid w:val="00042CFC"/>
    <w:rsid w:val="000438C0"/>
    <w:rsid w:val="000439B9"/>
    <w:rsid w:val="000447FC"/>
    <w:rsid w:val="00044E1E"/>
    <w:rsid w:val="00045059"/>
    <w:rsid w:val="00045EC2"/>
    <w:rsid w:val="00045F37"/>
    <w:rsid w:val="00046770"/>
    <w:rsid w:val="00047199"/>
    <w:rsid w:val="0004777D"/>
    <w:rsid w:val="00051475"/>
    <w:rsid w:val="000523F0"/>
    <w:rsid w:val="000524F9"/>
    <w:rsid w:val="00053281"/>
    <w:rsid w:val="00053ECB"/>
    <w:rsid w:val="000541B7"/>
    <w:rsid w:val="00054C29"/>
    <w:rsid w:val="00056A0B"/>
    <w:rsid w:val="00056A82"/>
    <w:rsid w:val="00057471"/>
    <w:rsid w:val="00057680"/>
    <w:rsid w:val="00057D54"/>
    <w:rsid w:val="00057D9B"/>
    <w:rsid w:val="00060448"/>
    <w:rsid w:val="00060E33"/>
    <w:rsid w:val="00060FB3"/>
    <w:rsid w:val="00061535"/>
    <w:rsid w:val="00061747"/>
    <w:rsid w:val="00062478"/>
    <w:rsid w:val="00062A21"/>
    <w:rsid w:val="00062FED"/>
    <w:rsid w:val="00063B92"/>
    <w:rsid w:val="00063F03"/>
    <w:rsid w:val="000651BF"/>
    <w:rsid w:val="00065768"/>
    <w:rsid w:val="000659C3"/>
    <w:rsid w:val="00065BEB"/>
    <w:rsid w:val="000667AB"/>
    <w:rsid w:val="00066F97"/>
    <w:rsid w:val="00067022"/>
    <w:rsid w:val="000677B0"/>
    <w:rsid w:val="0006785F"/>
    <w:rsid w:val="00067ACE"/>
    <w:rsid w:val="00073D8D"/>
    <w:rsid w:val="0007411E"/>
    <w:rsid w:val="000753C2"/>
    <w:rsid w:val="00075A80"/>
    <w:rsid w:val="000769A1"/>
    <w:rsid w:val="0007765B"/>
    <w:rsid w:val="0007775B"/>
    <w:rsid w:val="00077FCB"/>
    <w:rsid w:val="00080136"/>
    <w:rsid w:val="00080476"/>
    <w:rsid w:val="00081411"/>
    <w:rsid w:val="0008176E"/>
    <w:rsid w:val="00081E8B"/>
    <w:rsid w:val="00083DBB"/>
    <w:rsid w:val="000842AE"/>
    <w:rsid w:val="00084B03"/>
    <w:rsid w:val="00086857"/>
    <w:rsid w:val="00087423"/>
    <w:rsid w:val="0009001C"/>
    <w:rsid w:val="0009063B"/>
    <w:rsid w:val="0009084C"/>
    <w:rsid w:val="00091627"/>
    <w:rsid w:val="00091876"/>
    <w:rsid w:val="000918A0"/>
    <w:rsid w:val="000933DA"/>
    <w:rsid w:val="00093883"/>
    <w:rsid w:val="0009419D"/>
    <w:rsid w:val="00094244"/>
    <w:rsid w:val="00096A41"/>
    <w:rsid w:val="00097946"/>
    <w:rsid w:val="00097DF1"/>
    <w:rsid w:val="000A06FD"/>
    <w:rsid w:val="000A112A"/>
    <w:rsid w:val="000A2086"/>
    <w:rsid w:val="000A2344"/>
    <w:rsid w:val="000A25DD"/>
    <w:rsid w:val="000A40B3"/>
    <w:rsid w:val="000A4321"/>
    <w:rsid w:val="000A48EA"/>
    <w:rsid w:val="000A4BBB"/>
    <w:rsid w:val="000A5CD3"/>
    <w:rsid w:val="000A6961"/>
    <w:rsid w:val="000A726A"/>
    <w:rsid w:val="000A7543"/>
    <w:rsid w:val="000B0384"/>
    <w:rsid w:val="000B1D44"/>
    <w:rsid w:val="000B1DBA"/>
    <w:rsid w:val="000B1DE7"/>
    <w:rsid w:val="000B305A"/>
    <w:rsid w:val="000B36C6"/>
    <w:rsid w:val="000B3D0E"/>
    <w:rsid w:val="000B3E68"/>
    <w:rsid w:val="000B3E6C"/>
    <w:rsid w:val="000B44D7"/>
    <w:rsid w:val="000B4EE4"/>
    <w:rsid w:val="000B51C4"/>
    <w:rsid w:val="000B6547"/>
    <w:rsid w:val="000B71E7"/>
    <w:rsid w:val="000B7882"/>
    <w:rsid w:val="000C0665"/>
    <w:rsid w:val="000C0949"/>
    <w:rsid w:val="000C131D"/>
    <w:rsid w:val="000C19ED"/>
    <w:rsid w:val="000C1FFD"/>
    <w:rsid w:val="000C2C19"/>
    <w:rsid w:val="000C397C"/>
    <w:rsid w:val="000C41B3"/>
    <w:rsid w:val="000C4524"/>
    <w:rsid w:val="000C4B8E"/>
    <w:rsid w:val="000C5855"/>
    <w:rsid w:val="000C5CE7"/>
    <w:rsid w:val="000C6303"/>
    <w:rsid w:val="000C69EA"/>
    <w:rsid w:val="000C6A1A"/>
    <w:rsid w:val="000C78B0"/>
    <w:rsid w:val="000C7B87"/>
    <w:rsid w:val="000D19F7"/>
    <w:rsid w:val="000D20CE"/>
    <w:rsid w:val="000D3454"/>
    <w:rsid w:val="000D38DA"/>
    <w:rsid w:val="000D3AC6"/>
    <w:rsid w:val="000D510F"/>
    <w:rsid w:val="000D65FA"/>
    <w:rsid w:val="000D66F5"/>
    <w:rsid w:val="000D66F6"/>
    <w:rsid w:val="000D6749"/>
    <w:rsid w:val="000D7B93"/>
    <w:rsid w:val="000E0212"/>
    <w:rsid w:val="000E1450"/>
    <w:rsid w:val="000E1532"/>
    <w:rsid w:val="000E1F3E"/>
    <w:rsid w:val="000E2EC8"/>
    <w:rsid w:val="000E3100"/>
    <w:rsid w:val="000E341E"/>
    <w:rsid w:val="000E34DC"/>
    <w:rsid w:val="000E36A9"/>
    <w:rsid w:val="000E3FA2"/>
    <w:rsid w:val="000E4982"/>
    <w:rsid w:val="000E55D1"/>
    <w:rsid w:val="000E63B6"/>
    <w:rsid w:val="000E6652"/>
    <w:rsid w:val="000F10AD"/>
    <w:rsid w:val="000F11B8"/>
    <w:rsid w:val="000F155A"/>
    <w:rsid w:val="000F31FD"/>
    <w:rsid w:val="000F346D"/>
    <w:rsid w:val="000F34D1"/>
    <w:rsid w:val="000F3A85"/>
    <w:rsid w:val="000F3D4D"/>
    <w:rsid w:val="000F41AE"/>
    <w:rsid w:val="000F4FAD"/>
    <w:rsid w:val="000F5230"/>
    <w:rsid w:val="000F7806"/>
    <w:rsid w:val="000F78DC"/>
    <w:rsid w:val="00101014"/>
    <w:rsid w:val="001010FF"/>
    <w:rsid w:val="00101A2D"/>
    <w:rsid w:val="00102C6D"/>
    <w:rsid w:val="00102E2F"/>
    <w:rsid w:val="00103654"/>
    <w:rsid w:val="00103F05"/>
    <w:rsid w:val="00104944"/>
    <w:rsid w:val="00104E75"/>
    <w:rsid w:val="00104F04"/>
    <w:rsid w:val="0010541E"/>
    <w:rsid w:val="0010680C"/>
    <w:rsid w:val="001079FA"/>
    <w:rsid w:val="00110070"/>
    <w:rsid w:val="00110547"/>
    <w:rsid w:val="001116D6"/>
    <w:rsid w:val="001117D6"/>
    <w:rsid w:val="00111BB6"/>
    <w:rsid w:val="00111F04"/>
    <w:rsid w:val="001124AE"/>
    <w:rsid w:val="00113096"/>
    <w:rsid w:val="00113E93"/>
    <w:rsid w:val="00114641"/>
    <w:rsid w:val="00114CD1"/>
    <w:rsid w:val="0011679E"/>
    <w:rsid w:val="001179F0"/>
    <w:rsid w:val="00117D41"/>
    <w:rsid w:val="001204F4"/>
    <w:rsid w:val="00120F7A"/>
    <w:rsid w:val="0012139E"/>
    <w:rsid w:val="001220AE"/>
    <w:rsid w:val="001228F0"/>
    <w:rsid w:val="00123211"/>
    <w:rsid w:val="001240FC"/>
    <w:rsid w:val="00124D82"/>
    <w:rsid w:val="00125625"/>
    <w:rsid w:val="00125C53"/>
    <w:rsid w:val="00125F04"/>
    <w:rsid w:val="00126321"/>
    <w:rsid w:val="0012746B"/>
    <w:rsid w:val="001276E8"/>
    <w:rsid w:val="001304CB"/>
    <w:rsid w:val="001304EF"/>
    <w:rsid w:val="001310B3"/>
    <w:rsid w:val="0013146E"/>
    <w:rsid w:val="001322C7"/>
    <w:rsid w:val="001347FA"/>
    <w:rsid w:val="00135404"/>
    <w:rsid w:val="00135D58"/>
    <w:rsid w:val="00136AB7"/>
    <w:rsid w:val="001370AD"/>
    <w:rsid w:val="00140209"/>
    <w:rsid w:val="00140370"/>
    <w:rsid w:val="0014042F"/>
    <w:rsid w:val="00140F85"/>
    <w:rsid w:val="00141406"/>
    <w:rsid w:val="00143950"/>
    <w:rsid w:val="00143B9E"/>
    <w:rsid w:val="001447EB"/>
    <w:rsid w:val="001458FD"/>
    <w:rsid w:val="00146585"/>
    <w:rsid w:val="00146716"/>
    <w:rsid w:val="00146E0F"/>
    <w:rsid w:val="00147669"/>
    <w:rsid w:val="00147917"/>
    <w:rsid w:val="00147BB0"/>
    <w:rsid w:val="00147FA7"/>
    <w:rsid w:val="00150B8A"/>
    <w:rsid w:val="00151DFE"/>
    <w:rsid w:val="0015215D"/>
    <w:rsid w:val="00152AE3"/>
    <w:rsid w:val="001545DF"/>
    <w:rsid w:val="0015531A"/>
    <w:rsid w:val="0015551E"/>
    <w:rsid w:val="001555AF"/>
    <w:rsid w:val="00155C8E"/>
    <w:rsid w:val="00155F83"/>
    <w:rsid w:val="0015613F"/>
    <w:rsid w:val="00156358"/>
    <w:rsid w:val="001577EF"/>
    <w:rsid w:val="001610CD"/>
    <w:rsid w:val="00161944"/>
    <w:rsid w:val="00161CAA"/>
    <w:rsid w:val="001631A4"/>
    <w:rsid w:val="00163CB3"/>
    <w:rsid w:val="00164B67"/>
    <w:rsid w:val="00164D50"/>
    <w:rsid w:val="00166109"/>
    <w:rsid w:val="0016696E"/>
    <w:rsid w:val="001669F3"/>
    <w:rsid w:val="00166ADB"/>
    <w:rsid w:val="001675E1"/>
    <w:rsid w:val="001676AF"/>
    <w:rsid w:val="00167A42"/>
    <w:rsid w:val="00167CDA"/>
    <w:rsid w:val="001702AB"/>
    <w:rsid w:val="001706BE"/>
    <w:rsid w:val="001707FE"/>
    <w:rsid w:val="00170D9D"/>
    <w:rsid w:val="0017198D"/>
    <w:rsid w:val="00171CDD"/>
    <w:rsid w:val="00171EA7"/>
    <w:rsid w:val="00172428"/>
    <w:rsid w:val="00173649"/>
    <w:rsid w:val="00173F33"/>
    <w:rsid w:val="001740B2"/>
    <w:rsid w:val="00174191"/>
    <w:rsid w:val="001748AE"/>
    <w:rsid w:val="001760DD"/>
    <w:rsid w:val="001763D6"/>
    <w:rsid w:val="001768E9"/>
    <w:rsid w:val="001769D3"/>
    <w:rsid w:val="00177038"/>
    <w:rsid w:val="00177A3F"/>
    <w:rsid w:val="001801E9"/>
    <w:rsid w:val="00180660"/>
    <w:rsid w:val="00181667"/>
    <w:rsid w:val="0018236C"/>
    <w:rsid w:val="00182970"/>
    <w:rsid w:val="001834FF"/>
    <w:rsid w:val="00183B8C"/>
    <w:rsid w:val="0018520A"/>
    <w:rsid w:val="0018584B"/>
    <w:rsid w:val="00186179"/>
    <w:rsid w:val="0018670C"/>
    <w:rsid w:val="00186D1E"/>
    <w:rsid w:val="00186D5D"/>
    <w:rsid w:val="00186F1D"/>
    <w:rsid w:val="00190E21"/>
    <w:rsid w:val="001912DE"/>
    <w:rsid w:val="00191C11"/>
    <w:rsid w:val="00192432"/>
    <w:rsid w:val="00192497"/>
    <w:rsid w:val="001924C3"/>
    <w:rsid w:val="00193356"/>
    <w:rsid w:val="00193BBE"/>
    <w:rsid w:val="00193DC1"/>
    <w:rsid w:val="001944E5"/>
    <w:rsid w:val="00194651"/>
    <w:rsid w:val="00194AED"/>
    <w:rsid w:val="00195612"/>
    <w:rsid w:val="00195794"/>
    <w:rsid w:val="001958C8"/>
    <w:rsid w:val="001961E0"/>
    <w:rsid w:val="00197B30"/>
    <w:rsid w:val="001A06A2"/>
    <w:rsid w:val="001A07C6"/>
    <w:rsid w:val="001A0A18"/>
    <w:rsid w:val="001A1146"/>
    <w:rsid w:val="001A1734"/>
    <w:rsid w:val="001A21DA"/>
    <w:rsid w:val="001A27C4"/>
    <w:rsid w:val="001A35E2"/>
    <w:rsid w:val="001A3F4E"/>
    <w:rsid w:val="001A401C"/>
    <w:rsid w:val="001A4424"/>
    <w:rsid w:val="001A4B3B"/>
    <w:rsid w:val="001A5120"/>
    <w:rsid w:val="001A586B"/>
    <w:rsid w:val="001A5A59"/>
    <w:rsid w:val="001A65BF"/>
    <w:rsid w:val="001A6C40"/>
    <w:rsid w:val="001A76B5"/>
    <w:rsid w:val="001B0F0A"/>
    <w:rsid w:val="001B16B1"/>
    <w:rsid w:val="001B1EA4"/>
    <w:rsid w:val="001B1F46"/>
    <w:rsid w:val="001B2CDF"/>
    <w:rsid w:val="001B4942"/>
    <w:rsid w:val="001B4E4E"/>
    <w:rsid w:val="001B5265"/>
    <w:rsid w:val="001B5889"/>
    <w:rsid w:val="001B5C45"/>
    <w:rsid w:val="001B60D6"/>
    <w:rsid w:val="001B6A18"/>
    <w:rsid w:val="001B7D00"/>
    <w:rsid w:val="001C0D39"/>
    <w:rsid w:val="001C243C"/>
    <w:rsid w:val="001C24E2"/>
    <w:rsid w:val="001C256E"/>
    <w:rsid w:val="001C2F9E"/>
    <w:rsid w:val="001C6219"/>
    <w:rsid w:val="001C63FE"/>
    <w:rsid w:val="001C6862"/>
    <w:rsid w:val="001D039A"/>
    <w:rsid w:val="001D15E5"/>
    <w:rsid w:val="001D1D27"/>
    <w:rsid w:val="001D3B10"/>
    <w:rsid w:val="001D439C"/>
    <w:rsid w:val="001D57CF"/>
    <w:rsid w:val="001D5AFF"/>
    <w:rsid w:val="001D692E"/>
    <w:rsid w:val="001D7840"/>
    <w:rsid w:val="001E0045"/>
    <w:rsid w:val="001E1269"/>
    <w:rsid w:val="001E1B42"/>
    <w:rsid w:val="001E1E68"/>
    <w:rsid w:val="001E1F5F"/>
    <w:rsid w:val="001E262C"/>
    <w:rsid w:val="001E2983"/>
    <w:rsid w:val="001E46CF"/>
    <w:rsid w:val="001E49A6"/>
    <w:rsid w:val="001E54D9"/>
    <w:rsid w:val="001E58A3"/>
    <w:rsid w:val="001E6816"/>
    <w:rsid w:val="001E781D"/>
    <w:rsid w:val="001E7907"/>
    <w:rsid w:val="001E7EF3"/>
    <w:rsid w:val="001F0C62"/>
    <w:rsid w:val="001F1453"/>
    <w:rsid w:val="001F15D5"/>
    <w:rsid w:val="001F1FDA"/>
    <w:rsid w:val="001F2CD5"/>
    <w:rsid w:val="001F3CFB"/>
    <w:rsid w:val="001F41F8"/>
    <w:rsid w:val="001F460F"/>
    <w:rsid w:val="001F4A7C"/>
    <w:rsid w:val="001F5E21"/>
    <w:rsid w:val="001F61AF"/>
    <w:rsid w:val="001F63C7"/>
    <w:rsid w:val="001F668A"/>
    <w:rsid w:val="001F6BBB"/>
    <w:rsid w:val="001F7479"/>
    <w:rsid w:val="001F750F"/>
    <w:rsid w:val="001F78BB"/>
    <w:rsid w:val="00200689"/>
    <w:rsid w:val="00200AF3"/>
    <w:rsid w:val="0020127D"/>
    <w:rsid w:val="00201D59"/>
    <w:rsid w:val="00201DB5"/>
    <w:rsid w:val="00202394"/>
    <w:rsid w:val="00203BF3"/>
    <w:rsid w:val="002040F2"/>
    <w:rsid w:val="0020436A"/>
    <w:rsid w:val="002045BA"/>
    <w:rsid w:val="00204CF2"/>
    <w:rsid w:val="00205899"/>
    <w:rsid w:val="00205BD9"/>
    <w:rsid w:val="00205DD2"/>
    <w:rsid w:val="002064EC"/>
    <w:rsid w:val="00210C66"/>
    <w:rsid w:val="002110B0"/>
    <w:rsid w:val="00212832"/>
    <w:rsid w:val="0021300B"/>
    <w:rsid w:val="002139DC"/>
    <w:rsid w:val="00213EBF"/>
    <w:rsid w:val="0021419B"/>
    <w:rsid w:val="00214681"/>
    <w:rsid w:val="002150B7"/>
    <w:rsid w:val="00215160"/>
    <w:rsid w:val="0021543A"/>
    <w:rsid w:val="002159EE"/>
    <w:rsid w:val="00215D89"/>
    <w:rsid w:val="002163EF"/>
    <w:rsid w:val="002164D5"/>
    <w:rsid w:val="00216CA3"/>
    <w:rsid w:val="00220455"/>
    <w:rsid w:val="00220C12"/>
    <w:rsid w:val="0022107E"/>
    <w:rsid w:val="00221C98"/>
    <w:rsid w:val="00222C9B"/>
    <w:rsid w:val="00222E0E"/>
    <w:rsid w:val="00223CFC"/>
    <w:rsid w:val="00223F82"/>
    <w:rsid w:val="00224E6B"/>
    <w:rsid w:val="00225238"/>
    <w:rsid w:val="0022525F"/>
    <w:rsid w:val="00225291"/>
    <w:rsid w:val="00226303"/>
    <w:rsid w:val="0022659C"/>
    <w:rsid w:val="002269FD"/>
    <w:rsid w:val="00227938"/>
    <w:rsid w:val="00227FD4"/>
    <w:rsid w:val="00230842"/>
    <w:rsid w:val="0023125F"/>
    <w:rsid w:val="00231FF8"/>
    <w:rsid w:val="002324FC"/>
    <w:rsid w:val="0023287F"/>
    <w:rsid w:val="00232B17"/>
    <w:rsid w:val="00232E82"/>
    <w:rsid w:val="0023300B"/>
    <w:rsid w:val="002341B0"/>
    <w:rsid w:val="002343A7"/>
    <w:rsid w:val="002362DC"/>
    <w:rsid w:val="00236C5A"/>
    <w:rsid w:val="00237937"/>
    <w:rsid w:val="002400A7"/>
    <w:rsid w:val="00240831"/>
    <w:rsid w:val="00240CE8"/>
    <w:rsid w:val="00241337"/>
    <w:rsid w:val="0024237B"/>
    <w:rsid w:val="002426E8"/>
    <w:rsid w:val="002429FB"/>
    <w:rsid w:val="00243161"/>
    <w:rsid w:val="002440BC"/>
    <w:rsid w:val="00244F42"/>
    <w:rsid w:val="00247E38"/>
    <w:rsid w:val="00250D0C"/>
    <w:rsid w:val="00250EB9"/>
    <w:rsid w:val="00251B48"/>
    <w:rsid w:val="00252369"/>
    <w:rsid w:val="00252B97"/>
    <w:rsid w:val="00252F35"/>
    <w:rsid w:val="00254242"/>
    <w:rsid w:val="002544DA"/>
    <w:rsid w:val="00254CD0"/>
    <w:rsid w:val="00254E5F"/>
    <w:rsid w:val="002553DC"/>
    <w:rsid w:val="00255847"/>
    <w:rsid w:val="0025596B"/>
    <w:rsid w:val="0025623A"/>
    <w:rsid w:val="002566F8"/>
    <w:rsid w:val="0025786B"/>
    <w:rsid w:val="00257970"/>
    <w:rsid w:val="00257FE7"/>
    <w:rsid w:val="002603EA"/>
    <w:rsid w:val="0026072F"/>
    <w:rsid w:val="0026074A"/>
    <w:rsid w:val="00260C06"/>
    <w:rsid w:val="00260FF3"/>
    <w:rsid w:val="00261089"/>
    <w:rsid w:val="00261916"/>
    <w:rsid w:val="002620D9"/>
    <w:rsid w:val="00262A2A"/>
    <w:rsid w:val="00262DF2"/>
    <w:rsid w:val="0026427C"/>
    <w:rsid w:val="00265FAF"/>
    <w:rsid w:val="0026689E"/>
    <w:rsid w:val="002670F1"/>
    <w:rsid w:val="00267A0B"/>
    <w:rsid w:val="00270E0B"/>
    <w:rsid w:val="00272BB2"/>
    <w:rsid w:val="00273C61"/>
    <w:rsid w:val="00275DB6"/>
    <w:rsid w:val="0027626D"/>
    <w:rsid w:val="00276843"/>
    <w:rsid w:val="00276A6F"/>
    <w:rsid w:val="00280734"/>
    <w:rsid w:val="00280BB9"/>
    <w:rsid w:val="00280CD9"/>
    <w:rsid w:val="00282A2D"/>
    <w:rsid w:val="0028315F"/>
    <w:rsid w:val="00283632"/>
    <w:rsid w:val="00283F0A"/>
    <w:rsid w:val="002848A2"/>
    <w:rsid w:val="00284B5C"/>
    <w:rsid w:val="002856BE"/>
    <w:rsid w:val="00286E99"/>
    <w:rsid w:val="00290961"/>
    <w:rsid w:val="00291161"/>
    <w:rsid w:val="00291B07"/>
    <w:rsid w:val="00291C06"/>
    <w:rsid w:val="00292440"/>
    <w:rsid w:val="00292F2B"/>
    <w:rsid w:val="00293E90"/>
    <w:rsid w:val="002940B2"/>
    <w:rsid w:val="0029411A"/>
    <w:rsid w:val="00294F49"/>
    <w:rsid w:val="002950B1"/>
    <w:rsid w:val="002951B1"/>
    <w:rsid w:val="0029524C"/>
    <w:rsid w:val="00295B1D"/>
    <w:rsid w:val="00296134"/>
    <w:rsid w:val="0029702A"/>
    <w:rsid w:val="002973CA"/>
    <w:rsid w:val="002A0B77"/>
    <w:rsid w:val="002A12AF"/>
    <w:rsid w:val="002A23D2"/>
    <w:rsid w:val="002A2609"/>
    <w:rsid w:val="002A2D90"/>
    <w:rsid w:val="002A2E54"/>
    <w:rsid w:val="002A4169"/>
    <w:rsid w:val="002A493B"/>
    <w:rsid w:val="002A4EE9"/>
    <w:rsid w:val="002A5D39"/>
    <w:rsid w:val="002A5D4D"/>
    <w:rsid w:val="002A64A2"/>
    <w:rsid w:val="002A680A"/>
    <w:rsid w:val="002A6D32"/>
    <w:rsid w:val="002A6E94"/>
    <w:rsid w:val="002A73AE"/>
    <w:rsid w:val="002A78B4"/>
    <w:rsid w:val="002A7F0E"/>
    <w:rsid w:val="002B0688"/>
    <w:rsid w:val="002B07CE"/>
    <w:rsid w:val="002B098A"/>
    <w:rsid w:val="002B1973"/>
    <w:rsid w:val="002B1A22"/>
    <w:rsid w:val="002B1D28"/>
    <w:rsid w:val="002B2415"/>
    <w:rsid w:val="002B24A5"/>
    <w:rsid w:val="002B2F45"/>
    <w:rsid w:val="002B379C"/>
    <w:rsid w:val="002B40D1"/>
    <w:rsid w:val="002B4419"/>
    <w:rsid w:val="002B4891"/>
    <w:rsid w:val="002B6071"/>
    <w:rsid w:val="002B684B"/>
    <w:rsid w:val="002B6B13"/>
    <w:rsid w:val="002B7765"/>
    <w:rsid w:val="002B7B53"/>
    <w:rsid w:val="002C0331"/>
    <w:rsid w:val="002C0A64"/>
    <w:rsid w:val="002C0F48"/>
    <w:rsid w:val="002C0F73"/>
    <w:rsid w:val="002C314D"/>
    <w:rsid w:val="002C3F92"/>
    <w:rsid w:val="002C5213"/>
    <w:rsid w:val="002C53AD"/>
    <w:rsid w:val="002C5458"/>
    <w:rsid w:val="002C7AEC"/>
    <w:rsid w:val="002C7C0B"/>
    <w:rsid w:val="002D048D"/>
    <w:rsid w:val="002D05D1"/>
    <w:rsid w:val="002D0B30"/>
    <w:rsid w:val="002D1485"/>
    <w:rsid w:val="002D1B47"/>
    <w:rsid w:val="002D2C08"/>
    <w:rsid w:val="002D309E"/>
    <w:rsid w:val="002D3644"/>
    <w:rsid w:val="002D472D"/>
    <w:rsid w:val="002D5004"/>
    <w:rsid w:val="002D563F"/>
    <w:rsid w:val="002D56A8"/>
    <w:rsid w:val="002D58B2"/>
    <w:rsid w:val="002D59F9"/>
    <w:rsid w:val="002D5E62"/>
    <w:rsid w:val="002D6D50"/>
    <w:rsid w:val="002D7627"/>
    <w:rsid w:val="002E08BC"/>
    <w:rsid w:val="002E0CCA"/>
    <w:rsid w:val="002E0F73"/>
    <w:rsid w:val="002E172B"/>
    <w:rsid w:val="002E175F"/>
    <w:rsid w:val="002E2020"/>
    <w:rsid w:val="002E2582"/>
    <w:rsid w:val="002E3F22"/>
    <w:rsid w:val="002E4630"/>
    <w:rsid w:val="002E4856"/>
    <w:rsid w:val="002E6A98"/>
    <w:rsid w:val="002E6AE0"/>
    <w:rsid w:val="002E6B7A"/>
    <w:rsid w:val="002E76A8"/>
    <w:rsid w:val="002E76AE"/>
    <w:rsid w:val="002E7E8B"/>
    <w:rsid w:val="002F01B3"/>
    <w:rsid w:val="002F15CC"/>
    <w:rsid w:val="002F1D41"/>
    <w:rsid w:val="002F43D3"/>
    <w:rsid w:val="002F74B2"/>
    <w:rsid w:val="002F7C37"/>
    <w:rsid w:val="00300855"/>
    <w:rsid w:val="00301AC4"/>
    <w:rsid w:val="0030372B"/>
    <w:rsid w:val="00303C00"/>
    <w:rsid w:val="00303DAF"/>
    <w:rsid w:val="0030460D"/>
    <w:rsid w:val="00305B41"/>
    <w:rsid w:val="00306C72"/>
    <w:rsid w:val="00307042"/>
    <w:rsid w:val="00310144"/>
    <w:rsid w:val="00310559"/>
    <w:rsid w:val="003107D4"/>
    <w:rsid w:val="0031082F"/>
    <w:rsid w:val="00311B98"/>
    <w:rsid w:val="0031207C"/>
    <w:rsid w:val="00312235"/>
    <w:rsid w:val="0031226E"/>
    <w:rsid w:val="00312940"/>
    <w:rsid w:val="00313110"/>
    <w:rsid w:val="00313575"/>
    <w:rsid w:val="00313811"/>
    <w:rsid w:val="00313E1B"/>
    <w:rsid w:val="0031442C"/>
    <w:rsid w:val="0031456B"/>
    <w:rsid w:val="003145AD"/>
    <w:rsid w:val="0031678F"/>
    <w:rsid w:val="0031727F"/>
    <w:rsid w:val="0031772E"/>
    <w:rsid w:val="00317843"/>
    <w:rsid w:val="003178AF"/>
    <w:rsid w:val="00317977"/>
    <w:rsid w:val="003209F1"/>
    <w:rsid w:val="00321E54"/>
    <w:rsid w:val="003220CD"/>
    <w:rsid w:val="00322BEE"/>
    <w:rsid w:val="00323141"/>
    <w:rsid w:val="00323222"/>
    <w:rsid w:val="00324D13"/>
    <w:rsid w:val="0032552D"/>
    <w:rsid w:val="00325EF4"/>
    <w:rsid w:val="0032609B"/>
    <w:rsid w:val="003260A2"/>
    <w:rsid w:val="00330C1F"/>
    <w:rsid w:val="00330E66"/>
    <w:rsid w:val="00331942"/>
    <w:rsid w:val="003320D6"/>
    <w:rsid w:val="0033365E"/>
    <w:rsid w:val="00333877"/>
    <w:rsid w:val="00333F96"/>
    <w:rsid w:val="00333FF3"/>
    <w:rsid w:val="003366C0"/>
    <w:rsid w:val="00336AB3"/>
    <w:rsid w:val="0034063D"/>
    <w:rsid w:val="00340C26"/>
    <w:rsid w:val="003412A4"/>
    <w:rsid w:val="00341981"/>
    <w:rsid w:val="00342D08"/>
    <w:rsid w:val="0034325E"/>
    <w:rsid w:val="00343272"/>
    <w:rsid w:val="00343FE5"/>
    <w:rsid w:val="003441E1"/>
    <w:rsid w:val="00344D32"/>
    <w:rsid w:val="003450B6"/>
    <w:rsid w:val="0034576F"/>
    <w:rsid w:val="00345E01"/>
    <w:rsid w:val="0034685B"/>
    <w:rsid w:val="00346B27"/>
    <w:rsid w:val="00346E52"/>
    <w:rsid w:val="003470AF"/>
    <w:rsid w:val="003473F1"/>
    <w:rsid w:val="00347AC6"/>
    <w:rsid w:val="00347ED3"/>
    <w:rsid w:val="00351174"/>
    <w:rsid w:val="0035131F"/>
    <w:rsid w:val="00351C7D"/>
    <w:rsid w:val="00352836"/>
    <w:rsid w:val="00352AC9"/>
    <w:rsid w:val="00353439"/>
    <w:rsid w:val="00353628"/>
    <w:rsid w:val="00353ADA"/>
    <w:rsid w:val="00353BDD"/>
    <w:rsid w:val="00354177"/>
    <w:rsid w:val="003545EF"/>
    <w:rsid w:val="00354F92"/>
    <w:rsid w:val="00355340"/>
    <w:rsid w:val="003554AC"/>
    <w:rsid w:val="00355793"/>
    <w:rsid w:val="00355836"/>
    <w:rsid w:val="00355C49"/>
    <w:rsid w:val="00355E35"/>
    <w:rsid w:val="0035726A"/>
    <w:rsid w:val="00357E23"/>
    <w:rsid w:val="00360C04"/>
    <w:rsid w:val="003610A8"/>
    <w:rsid w:val="00361F30"/>
    <w:rsid w:val="00362D15"/>
    <w:rsid w:val="00362E68"/>
    <w:rsid w:val="00363585"/>
    <w:rsid w:val="003649EA"/>
    <w:rsid w:val="00366CF7"/>
    <w:rsid w:val="003671F8"/>
    <w:rsid w:val="00367C7A"/>
    <w:rsid w:val="00370538"/>
    <w:rsid w:val="00370A5F"/>
    <w:rsid w:val="003714BB"/>
    <w:rsid w:val="0037279E"/>
    <w:rsid w:val="00372E51"/>
    <w:rsid w:val="00373327"/>
    <w:rsid w:val="00373758"/>
    <w:rsid w:val="0037456A"/>
    <w:rsid w:val="00374B31"/>
    <w:rsid w:val="00375829"/>
    <w:rsid w:val="003758B9"/>
    <w:rsid w:val="003762B8"/>
    <w:rsid w:val="00376321"/>
    <w:rsid w:val="003769C7"/>
    <w:rsid w:val="00377646"/>
    <w:rsid w:val="00377EC3"/>
    <w:rsid w:val="00380293"/>
    <w:rsid w:val="0038054B"/>
    <w:rsid w:val="003814C1"/>
    <w:rsid w:val="00381A31"/>
    <w:rsid w:val="003820A4"/>
    <w:rsid w:val="00382536"/>
    <w:rsid w:val="00382740"/>
    <w:rsid w:val="00382D8D"/>
    <w:rsid w:val="003856EA"/>
    <w:rsid w:val="00385C06"/>
    <w:rsid w:val="00385E41"/>
    <w:rsid w:val="003861C7"/>
    <w:rsid w:val="0038678B"/>
    <w:rsid w:val="00386BA3"/>
    <w:rsid w:val="00387224"/>
    <w:rsid w:val="00387246"/>
    <w:rsid w:val="0038790A"/>
    <w:rsid w:val="00390692"/>
    <w:rsid w:val="0039149E"/>
    <w:rsid w:val="003919AA"/>
    <w:rsid w:val="00391EFC"/>
    <w:rsid w:val="00391FEE"/>
    <w:rsid w:val="0039204D"/>
    <w:rsid w:val="003922AA"/>
    <w:rsid w:val="003923AD"/>
    <w:rsid w:val="0039256A"/>
    <w:rsid w:val="00392B7C"/>
    <w:rsid w:val="00392CBE"/>
    <w:rsid w:val="003938AD"/>
    <w:rsid w:val="00393EA1"/>
    <w:rsid w:val="0039440B"/>
    <w:rsid w:val="00394520"/>
    <w:rsid w:val="00394835"/>
    <w:rsid w:val="00394FF3"/>
    <w:rsid w:val="003951B6"/>
    <w:rsid w:val="003959C6"/>
    <w:rsid w:val="00395BDE"/>
    <w:rsid w:val="003966D3"/>
    <w:rsid w:val="00396AC4"/>
    <w:rsid w:val="00396C40"/>
    <w:rsid w:val="0039701D"/>
    <w:rsid w:val="003979E3"/>
    <w:rsid w:val="00397E99"/>
    <w:rsid w:val="003A1023"/>
    <w:rsid w:val="003A1111"/>
    <w:rsid w:val="003A119E"/>
    <w:rsid w:val="003A1533"/>
    <w:rsid w:val="003A182F"/>
    <w:rsid w:val="003A1BD6"/>
    <w:rsid w:val="003A2232"/>
    <w:rsid w:val="003A2639"/>
    <w:rsid w:val="003A27FA"/>
    <w:rsid w:val="003A2AC3"/>
    <w:rsid w:val="003A3490"/>
    <w:rsid w:val="003A35AC"/>
    <w:rsid w:val="003A3840"/>
    <w:rsid w:val="003A3C36"/>
    <w:rsid w:val="003A4135"/>
    <w:rsid w:val="003A4EFB"/>
    <w:rsid w:val="003A5965"/>
    <w:rsid w:val="003A62F4"/>
    <w:rsid w:val="003A6778"/>
    <w:rsid w:val="003A7074"/>
    <w:rsid w:val="003A7408"/>
    <w:rsid w:val="003B217C"/>
    <w:rsid w:val="003B2F0E"/>
    <w:rsid w:val="003B382C"/>
    <w:rsid w:val="003B3F1B"/>
    <w:rsid w:val="003B4C24"/>
    <w:rsid w:val="003B4E1E"/>
    <w:rsid w:val="003B57A9"/>
    <w:rsid w:val="003B5EE4"/>
    <w:rsid w:val="003B62A7"/>
    <w:rsid w:val="003B7EE5"/>
    <w:rsid w:val="003C1BF2"/>
    <w:rsid w:val="003C1E69"/>
    <w:rsid w:val="003C1FB1"/>
    <w:rsid w:val="003C2205"/>
    <w:rsid w:val="003C237D"/>
    <w:rsid w:val="003C2938"/>
    <w:rsid w:val="003C4F85"/>
    <w:rsid w:val="003C6703"/>
    <w:rsid w:val="003C6931"/>
    <w:rsid w:val="003C6DDA"/>
    <w:rsid w:val="003C77FD"/>
    <w:rsid w:val="003C7F96"/>
    <w:rsid w:val="003D0092"/>
    <w:rsid w:val="003D0227"/>
    <w:rsid w:val="003D160A"/>
    <w:rsid w:val="003D2C5A"/>
    <w:rsid w:val="003D2D38"/>
    <w:rsid w:val="003D2FC3"/>
    <w:rsid w:val="003D42C4"/>
    <w:rsid w:val="003D4F12"/>
    <w:rsid w:val="003D510E"/>
    <w:rsid w:val="003D5169"/>
    <w:rsid w:val="003D70C8"/>
    <w:rsid w:val="003D7348"/>
    <w:rsid w:val="003D743E"/>
    <w:rsid w:val="003D7444"/>
    <w:rsid w:val="003E07C8"/>
    <w:rsid w:val="003E0F73"/>
    <w:rsid w:val="003E1E16"/>
    <w:rsid w:val="003E27F0"/>
    <w:rsid w:val="003E42DC"/>
    <w:rsid w:val="003E4DB6"/>
    <w:rsid w:val="003E4DBD"/>
    <w:rsid w:val="003E528E"/>
    <w:rsid w:val="003E5370"/>
    <w:rsid w:val="003E5DC0"/>
    <w:rsid w:val="003E684C"/>
    <w:rsid w:val="003E6CAC"/>
    <w:rsid w:val="003E705B"/>
    <w:rsid w:val="003E7C30"/>
    <w:rsid w:val="003F07A7"/>
    <w:rsid w:val="003F110E"/>
    <w:rsid w:val="003F11D3"/>
    <w:rsid w:val="003F1B5A"/>
    <w:rsid w:val="003F1C07"/>
    <w:rsid w:val="003F4373"/>
    <w:rsid w:val="003F47DC"/>
    <w:rsid w:val="003F5928"/>
    <w:rsid w:val="003F5C95"/>
    <w:rsid w:val="003F5E40"/>
    <w:rsid w:val="003F6027"/>
    <w:rsid w:val="003F7CA1"/>
    <w:rsid w:val="0040044E"/>
    <w:rsid w:val="0040046B"/>
    <w:rsid w:val="00400DA1"/>
    <w:rsid w:val="00401170"/>
    <w:rsid w:val="00401799"/>
    <w:rsid w:val="004017C5"/>
    <w:rsid w:val="00401914"/>
    <w:rsid w:val="004019DF"/>
    <w:rsid w:val="00401D0D"/>
    <w:rsid w:val="00402B4F"/>
    <w:rsid w:val="00403315"/>
    <w:rsid w:val="00403B96"/>
    <w:rsid w:val="004056AC"/>
    <w:rsid w:val="00405832"/>
    <w:rsid w:val="00405A05"/>
    <w:rsid w:val="004078F8"/>
    <w:rsid w:val="004121DF"/>
    <w:rsid w:val="004123C6"/>
    <w:rsid w:val="00412847"/>
    <w:rsid w:val="00414499"/>
    <w:rsid w:val="0041461B"/>
    <w:rsid w:val="00414D88"/>
    <w:rsid w:val="00415800"/>
    <w:rsid w:val="004165BF"/>
    <w:rsid w:val="00416D33"/>
    <w:rsid w:val="00416DB4"/>
    <w:rsid w:val="00417984"/>
    <w:rsid w:val="00420278"/>
    <w:rsid w:val="00420836"/>
    <w:rsid w:val="004217FF"/>
    <w:rsid w:val="004218B3"/>
    <w:rsid w:val="00421A4A"/>
    <w:rsid w:val="00422706"/>
    <w:rsid w:val="00422F75"/>
    <w:rsid w:val="004235B6"/>
    <w:rsid w:val="00423E40"/>
    <w:rsid w:val="00424707"/>
    <w:rsid w:val="00424851"/>
    <w:rsid w:val="00425631"/>
    <w:rsid w:val="0042565F"/>
    <w:rsid w:val="004265A5"/>
    <w:rsid w:val="00426931"/>
    <w:rsid w:val="00427139"/>
    <w:rsid w:val="00427214"/>
    <w:rsid w:val="004275FE"/>
    <w:rsid w:val="00427B22"/>
    <w:rsid w:val="00427B36"/>
    <w:rsid w:val="00430681"/>
    <w:rsid w:val="00430E5B"/>
    <w:rsid w:val="00431286"/>
    <w:rsid w:val="00431476"/>
    <w:rsid w:val="00433203"/>
    <w:rsid w:val="004335A9"/>
    <w:rsid w:val="00433E41"/>
    <w:rsid w:val="004342AC"/>
    <w:rsid w:val="00434FE9"/>
    <w:rsid w:val="004351CE"/>
    <w:rsid w:val="00435E40"/>
    <w:rsid w:val="004362FD"/>
    <w:rsid w:val="0043636F"/>
    <w:rsid w:val="004366E7"/>
    <w:rsid w:val="004375DE"/>
    <w:rsid w:val="00440E77"/>
    <w:rsid w:val="00440F2D"/>
    <w:rsid w:val="00441E26"/>
    <w:rsid w:val="0044241A"/>
    <w:rsid w:val="00442811"/>
    <w:rsid w:val="00443749"/>
    <w:rsid w:val="00443EE8"/>
    <w:rsid w:val="00444795"/>
    <w:rsid w:val="00444800"/>
    <w:rsid w:val="00444C04"/>
    <w:rsid w:val="00445913"/>
    <w:rsid w:val="004465D7"/>
    <w:rsid w:val="00446C21"/>
    <w:rsid w:val="00450442"/>
    <w:rsid w:val="00450D16"/>
    <w:rsid w:val="00451450"/>
    <w:rsid w:val="00451DD6"/>
    <w:rsid w:val="004521D9"/>
    <w:rsid w:val="0045225F"/>
    <w:rsid w:val="004525CB"/>
    <w:rsid w:val="00452C29"/>
    <w:rsid w:val="00453393"/>
    <w:rsid w:val="004533D6"/>
    <w:rsid w:val="00453F47"/>
    <w:rsid w:val="004546A4"/>
    <w:rsid w:val="004548B7"/>
    <w:rsid w:val="00454A88"/>
    <w:rsid w:val="00455A23"/>
    <w:rsid w:val="00455E56"/>
    <w:rsid w:val="004568F1"/>
    <w:rsid w:val="0045691C"/>
    <w:rsid w:val="00457360"/>
    <w:rsid w:val="00457400"/>
    <w:rsid w:val="004574F3"/>
    <w:rsid w:val="00457876"/>
    <w:rsid w:val="00461455"/>
    <w:rsid w:val="004628C0"/>
    <w:rsid w:val="004630D2"/>
    <w:rsid w:val="00463183"/>
    <w:rsid w:val="004631E6"/>
    <w:rsid w:val="0046357C"/>
    <w:rsid w:val="00464171"/>
    <w:rsid w:val="00464DD4"/>
    <w:rsid w:val="00464E1A"/>
    <w:rsid w:val="004653BA"/>
    <w:rsid w:val="00465D16"/>
    <w:rsid w:val="00466378"/>
    <w:rsid w:val="0046644A"/>
    <w:rsid w:val="00466942"/>
    <w:rsid w:val="004669F2"/>
    <w:rsid w:val="00470BF9"/>
    <w:rsid w:val="00470F44"/>
    <w:rsid w:val="0047110D"/>
    <w:rsid w:val="00471708"/>
    <w:rsid w:val="00471B85"/>
    <w:rsid w:val="004739E8"/>
    <w:rsid w:val="00474513"/>
    <w:rsid w:val="0047497F"/>
    <w:rsid w:val="004751C1"/>
    <w:rsid w:val="00475737"/>
    <w:rsid w:val="0047606D"/>
    <w:rsid w:val="00481E20"/>
    <w:rsid w:val="00482E01"/>
    <w:rsid w:val="00483B57"/>
    <w:rsid w:val="00485386"/>
    <w:rsid w:val="00486530"/>
    <w:rsid w:val="0048676B"/>
    <w:rsid w:val="0048727A"/>
    <w:rsid w:val="00487CA9"/>
    <w:rsid w:val="004903D8"/>
    <w:rsid w:val="0049166B"/>
    <w:rsid w:val="0049397D"/>
    <w:rsid w:val="00493C47"/>
    <w:rsid w:val="0049558C"/>
    <w:rsid w:val="004959D6"/>
    <w:rsid w:val="004960DA"/>
    <w:rsid w:val="00496115"/>
    <w:rsid w:val="00496C07"/>
    <w:rsid w:val="004974E0"/>
    <w:rsid w:val="0049789B"/>
    <w:rsid w:val="00497F0F"/>
    <w:rsid w:val="004A04B6"/>
    <w:rsid w:val="004A0777"/>
    <w:rsid w:val="004A0CC6"/>
    <w:rsid w:val="004A1C37"/>
    <w:rsid w:val="004A29DD"/>
    <w:rsid w:val="004A2D3C"/>
    <w:rsid w:val="004A2DDD"/>
    <w:rsid w:val="004A3AA2"/>
    <w:rsid w:val="004A5592"/>
    <w:rsid w:val="004A5619"/>
    <w:rsid w:val="004A575C"/>
    <w:rsid w:val="004A62D5"/>
    <w:rsid w:val="004A6520"/>
    <w:rsid w:val="004A66EA"/>
    <w:rsid w:val="004B0E23"/>
    <w:rsid w:val="004B1371"/>
    <w:rsid w:val="004B15DD"/>
    <w:rsid w:val="004B1AE7"/>
    <w:rsid w:val="004B21F0"/>
    <w:rsid w:val="004B2212"/>
    <w:rsid w:val="004B3139"/>
    <w:rsid w:val="004B3430"/>
    <w:rsid w:val="004B3B0B"/>
    <w:rsid w:val="004B5FAE"/>
    <w:rsid w:val="004B75C1"/>
    <w:rsid w:val="004C02A9"/>
    <w:rsid w:val="004C0377"/>
    <w:rsid w:val="004C1077"/>
    <w:rsid w:val="004C10B8"/>
    <w:rsid w:val="004C1EE0"/>
    <w:rsid w:val="004C3859"/>
    <w:rsid w:val="004C3F4B"/>
    <w:rsid w:val="004C40C7"/>
    <w:rsid w:val="004C55AE"/>
    <w:rsid w:val="004C6BB7"/>
    <w:rsid w:val="004C708B"/>
    <w:rsid w:val="004C7984"/>
    <w:rsid w:val="004C7E40"/>
    <w:rsid w:val="004D104F"/>
    <w:rsid w:val="004D2631"/>
    <w:rsid w:val="004D31F4"/>
    <w:rsid w:val="004D38A2"/>
    <w:rsid w:val="004D43B0"/>
    <w:rsid w:val="004D4488"/>
    <w:rsid w:val="004D4FF8"/>
    <w:rsid w:val="004D5C1D"/>
    <w:rsid w:val="004D6DF1"/>
    <w:rsid w:val="004D7392"/>
    <w:rsid w:val="004D763A"/>
    <w:rsid w:val="004D7812"/>
    <w:rsid w:val="004E062E"/>
    <w:rsid w:val="004E0A13"/>
    <w:rsid w:val="004E22DB"/>
    <w:rsid w:val="004E25A4"/>
    <w:rsid w:val="004E32A3"/>
    <w:rsid w:val="004E3D9D"/>
    <w:rsid w:val="004E4612"/>
    <w:rsid w:val="004E4AD2"/>
    <w:rsid w:val="004E4B4B"/>
    <w:rsid w:val="004E5726"/>
    <w:rsid w:val="004E584B"/>
    <w:rsid w:val="004E5A66"/>
    <w:rsid w:val="004E5F03"/>
    <w:rsid w:val="004E6534"/>
    <w:rsid w:val="004E6CA1"/>
    <w:rsid w:val="004E7246"/>
    <w:rsid w:val="004E78D1"/>
    <w:rsid w:val="004E7E6A"/>
    <w:rsid w:val="004F05C3"/>
    <w:rsid w:val="004F0AAA"/>
    <w:rsid w:val="004F1152"/>
    <w:rsid w:val="004F1531"/>
    <w:rsid w:val="004F1C01"/>
    <w:rsid w:val="004F2679"/>
    <w:rsid w:val="004F399D"/>
    <w:rsid w:val="004F5272"/>
    <w:rsid w:val="004F5E80"/>
    <w:rsid w:val="004F6917"/>
    <w:rsid w:val="004F6B18"/>
    <w:rsid w:val="005001CB"/>
    <w:rsid w:val="005007F8"/>
    <w:rsid w:val="00500BEA"/>
    <w:rsid w:val="00501150"/>
    <w:rsid w:val="0050129E"/>
    <w:rsid w:val="005022F4"/>
    <w:rsid w:val="00502DB6"/>
    <w:rsid w:val="00503071"/>
    <w:rsid w:val="00503FC2"/>
    <w:rsid w:val="005052F6"/>
    <w:rsid w:val="00505915"/>
    <w:rsid w:val="00506AE0"/>
    <w:rsid w:val="00507BF0"/>
    <w:rsid w:val="00510015"/>
    <w:rsid w:val="00510347"/>
    <w:rsid w:val="00510657"/>
    <w:rsid w:val="005106E9"/>
    <w:rsid w:val="005107F6"/>
    <w:rsid w:val="00511B15"/>
    <w:rsid w:val="00511CC6"/>
    <w:rsid w:val="005129A9"/>
    <w:rsid w:val="00513165"/>
    <w:rsid w:val="005131BD"/>
    <w:rsid w:val="00513C10"/>
    <w:rsid w:val="00514361"/>
    <w:rsid w:val="005144B4"/>
    <w:rsid w:val="00514A0F"/>
    <w:rsid w:val="00515011"/>
    <w:rsid w:val="005153C2"/>
    <w:rsid w:val="0051540B"/>
    <w:rsid w:val="005154A6"/>
    <w:rsid w:val="00516555"/>
    <w:rsid w:val="005209D6"/>
    <w:rsid w:val="00521145"/>
    <w:rsid w:val="005213C1"/>
    <w:rsid w:val="005216E7"/>
    <w:rsid w:val="0052257E"/>
    <w:rsid w:val="0052296B"/>
    <w:rsid w:val="005232F8"/>
    <w:rsid w:val="0052390D"/>
    <w:rsid w:val="00524183"/>
    <w:rsid w:val="0052431E"/>
    <w:rsid w:val="0052446C"/>
    <w:rsid w:val="005245BA"/>
    <w:rsid w:val="005247D3"/>
    <w:rsid w:val="00525173"/>
    <w:rsid w:val="005252B4"/>
    <w:rsid w:val="00525AD9"/>
    <w:rsid w:val="0052659F"/>
    <w:rsid w:val="005317C3"/>
    <w:rsid w:val="005318BB"/>
    <w:rsid w:val="00532269"/>
    <w:rsid w:val="0053229E"/>
    <w:rsid w:val="00533EF7"/>
    <w:rsid w:val="00535434"/>
    <w:rsid w:val="00535D0B"/>
    <w:rsid w:val="00540412"/>
    <w:rsid w:val="00540996"/>
    <w:rsid w:val="005414A2"/>
    <w:rsid w:val="0054170E"/>
    <w:rsid w:val="00542BA7"/>
    <w:rsid w:val="0054300A"/>
    <w:rsid w:val="00543693"/>
    <w:rsid w:val="005439DC"/>
    <w:rsid w:val="00543C96"/>
    <w:rsid w:val="00543DE6"/>
    <w:rsid w:val="00543F61"/>
    <w:rsid w:val="005444E9"/>
    <w:rsid w:val="005445C2"/>
    <w:rsid w:val="0054491E"/>
    <w:rsid w:val="00544B4C"/>
    <w:rsid w:val="00544B6F"/>
    <w:rsid w:val="005462CB"/>
    <w:rsid w:val="0054636B"/>
    <w:rsid w:val="00546FE4"/>
    <w:rsid w:val="00547820"/>
    <w:rsid w:val="00547EFE"/>
    <w:rsid w:val="00550DB8"/>
    <w:rsid w:val="00551941"/>
    <w:rsid w:val="00551980"/>
    <w:rsid w:val="00551CED"/>
    <w:rsid w:val="0055225B"/>
    <w:rsid w:val="005523C6"/>
    <w:rsid w:val="00553FEB"/>
    <w:rsid w:val="00554A49"/>
    <w:rsid w:val="00554F09"/>
    <w:rsid w:val="00555172"/>
    <w:rsid w:val="005557DC"/>
    <w:rsid w:val="005571A6"/>
    <w:rsid w:val="00557348"/>
    <w:rsid w:val="00557385"/>
    <w:rsid w:val="00557601"/>
    <w:rsid w:val="00557CD1"/>
    <w:rsid w:val="0056039E"/>
    <w:rsid w:val="00560EBD"/>
    <w:rsid w:val="005618D0"/>
    <w:rsid w:val="00562EE8"/>
    <w:rsid w:val="005634BB"/>
    <w:rsid w:val="0056425E"/>
    <w:rsid w:val="0056611B"/>
    <w:rsid w:val="00567674"/>
    <w:rsid w:val="005700A9"/>
    <w:rsid w:val="0057015E"/>
    <w:rsid w:val="00570C0F"/>
    <w:rsid w:val="005714A2"/>
    <w:rsid w:val="00571A05"/>
    <w:rsid w:val="00571CDD"/>
    <w:rsid w:val="00571F9D"/>
    <w:rsid w:val="00572C6D"/>
    <w:rsid w:val="005731DE"/>
    <w:rsid w:val="00574130"/>
    <w:rsid w:val="005744B5"/>
    <w:rsid w:val="00574A80"/>
    <w:rsid w:val="00574AD8"/>
    <w:rsid w:val="00575133"/>
    <w:rsid w:val="00576D0E"/>
    <w:rsid w:val="005779B9"/>
    <w:rsid w:val="0058013C"/>
    <w:rsid w:val="00580777"/>
    <w:rsid w:val="00580F68"/>
    <w:rsid w:val="0058120A"/>
    <w:rsid w:val="00581229"/>
    <w:rsid w:val="005817A5"/>
    <w:rsid w:val="00581D46"/>
    <w:rsid w:val="00582035"/>
    <w:rsid w:val="00582399"/>
    <w:rsid w:val="005827CD"/>
    <w:rsid w:val="00582967"/>
    <w:rsid w:val="005834E3"/>
    <w:rsid w:val="005835E9"/>
    <w:rsid w:val="00583E1B"/>
    <w:rsid w:val="00586919"/>
    <w:rsid w:val="005900DD"/>
    <w:rsid w:val="005902C4"/>
    <w:rsid w:val="005911B2"/>
    <w:rsid w:val="0059269E"/>
    <w:rsid w:val="0059347D"/>
    <w:rsid w:val="0059402F"/>
    <w:rsid w:val="00594B6A"/>
    <w:rsid w:val="00594DB2"/>
    <w:rsid w:val="005951B6"/>
    <w:rsid w:val="00595CD1"/>
    <w:rsid w:val="00596791"/>
    <w:rsid w:val="00596887"/>
    <w:rsid w:val="00597E1F"/>
    <w:rsid w:val="005A17F9"/>
    <w:rsid w:val="005A28ED"/>
    <w:rsid w:val="005A2AA4"/>
    <w:rsid w:val="005A2C5D"/>
    <w:rsid w:val="005A3040"/>
    <w:rsid w:val="005A3CE1"/>
    <w:rsid w:val="005A572A"/>
    <w:rsid w:val="005A61C7"/>
    <w:rsid w:val="005A6218"/>
    <w:rsid w:val="005A7C71"/>
    <w:rsid w:val="005A7D85"/>
    <w:rsid w:val="005B0254"/>
    <w:rsid w:val="005B02DC"/>
    <w:rsid w:val="005B1121"/>
    <w:rsid w:val="005B1D20"/>
    <w:rsid w:val="005B1EC7"/>
    <w:rsid w:val="005B4647"/>
    <w:rsid w:val="005B4792"/>
    <w:rsid w:val="005B47D6"/>
    <w:rsid w:val="005B49AB"/>
    <w:rsid w:val="005B6602"/>
    <w:rsid w:val="005C19B1"/>
    <w:rsid w:val="005C1CEA"/>
    <w:rsid w:val="005C2E05"/>
    <w:rsid w:val="005C3876"/>
    <w:rsid w:val="005C41D7"/>
    <w:rsid w:val="005C453A"/>
    <w:rsid w:val="005C52D9"/>
    <w:rsid w:val="005C542C"/>
    <w:rsid w:val="005C5DF9"/>
    <w:rsid w:val="005C7A69"/>
    <w:rsid w:val="005C7D65"/>
    <w:rsid w:val="005D02CF"/>
    <w:rsid w:val="005D0F6E"/>
    <w:rsid w:val="005D1279"/>
    <w:rsid w:val="005D1FAB"/>
    <w:rsid w:val="005D2703"/>
    <w:rsid w:val="005D3078"/>
    <w:rsid w:val="005D4037"/>
    <w:rsid w:val="005D5521"/>
    <w:rsid w:val="005D57BE"/>
    <w:rsid w:val="005D6BD1"/>
    <w:rsid w:val="005D7711"/>
    <w:rsid w:val="005D7D97"/>
    <w:rsid w:val="005E0533"/>
    <w:rsid w:val="005E0F06"/>
    <w:rsid w:val="005E156F"/>
    <w:rsid w:val="005E1E8A"/>
    <w:rsid w:val="005E1EAB"/>
    <w:rsid w:val="005E20D6"/>
    <w:rsid w:val="005E2752"/>
    <w:rsid w:val="005E2762"/>
    <w:rsid w:val="005E36E2"/>
    <w:rsid w:val="005E400C"/>
    <w:rsid w:val="005E4EE8"/>
    <w:rsid w:val="005E5322"/>
    <w:rsid w:val="005E5384"/>
    <w:rsid w:val="005E7071"/>
    <w:rsid w:val="005E732C"/>
    <w:rsid w:val="005E7670"/>
    <w:rsid w:val="005E7F1D"/>
    <w:rsid w:val="005F0156"/>
    <w:rsid w:val="005F0186"/>
    <w:rsid w:val="005F0506"/>
    <w:rsid w:val="005F059B"/>
    <w:rsid w:val="005F0675"/>
    <w:rsid w:val="005F147D"/>
    <w:rsid w:val="005F19D0"/>
    <w:rsid w:val="005F2428"/>
    <w:rsid w:val="005F2A19"/>
    <w:rsid w:val="005F37C8"/>
    <w:rsid w:val="005F4456"/>
    <w:rsid w:val="005F44DF"/>
    <w:rsid w:val="005F527A"/>
    <w:rsid w:val="005F57CF"/>
    <w:rsid w:val="005F5DD7"/>
    <w:rsid w:val="005F70E6"/>
    <w:rsid w:val="005F7685"/>
    <w:rsid w:val="005F7DA2"/>
    <w:rsid w:val="00600067"/>
    <w:rsid w:val="006003D4"/>
    <w:rsid w:val="00600440"/>
    <w:rsid w:val="00600BB1"/>
    <w:rsid w:val="006019FB"/>
    <w:rsid w:val="0060259C"/>
    <w:rsid w:val="006027AD"/>
    <w:rsid w:val="00602DC4"/>
    <w:rsid w:val="0060414B"/>
    <w:rsid w:val="00604264"/>
    <w:rsid w:val="00604AAB"/>
    <w:rsid w:val="00606071"/>
    <w:rsid w:val="0060662C"/>
    <w:rsid w:val="00606D28"/>
    <w:rsid w:val="0060764C"/>
    <w:rsid w:val="00611741"/>
    <w:rsid w:val="00611E18"/>
    <w:rsid w:val="00612073"/>
    <w:rsid w:val="00612963"/>
    <w:rsid w:val="00612A25"/>
    <w:rsid w:val="0061326A"/>
    <w:rsid w:val="006132B4"/>
    <w:rsid w:val="00614057"/>
    <w:rsid w:val="00614388"/>
    <w:rsid w:val="00614BBB"/>
    <w:rsid w:val="00615E48"/>
    <w:rsid w:val="006165B2"/>
    <w:rsid w:val="006202BF"/>
    <w:rsid w:val="00620DA5"/>
    <w:rsid w:val="0062143B"/>
    <w:rsid w:val="00621963"/>
    <w:rsid w:val="00621D0F"/>
    <w:rsid w:val="00621EF5"/>
    <w:rsid w:val="00622588"/>
    <w:rsid w:val="00623820"/>
    <w:rsid w:val="00623CB9"/>
    <w:rsid w:val="00626037"/>
    <w:rsid w:val="00626DAC"/>
    <w:rsid w:val="00627292"/>
    <w:rsid w:val="006275B5"/>
    <w:rsid w:val="006303BF"/>
    <w:rsid w:val="00630585"/>
    <w:rsid w:val="00631EE1"/>
    <w:rsid w:val="006322B7"/>
    <w:rsid w:val="00632CF3"/>
    <w:rsid w:val="00632EBC"/>
    <w:rsid w:val="0063335F"/>
    <w:rsid w:val="00633618"/>
    <w:rsid w:val="00633799"/>
    <w:rsid w:val="00633D5A"/>
    <w:rsid w:val="0063477B"/>
    <w:rsid w:val="00634809"/>
    <w:rsid w:val="00634F2A"/>
    <w:rsid w:val="0063548D"/>
    <w:rsid w:val="006357E3"/>
    <w:rsid w:val="00635F9F"/>
    <w:rsid w:val="00636E75"/>
    <w:rsid w:val="0063770A"/>
    <w:rsid w:val="00640750"/>
    <w:rsid w:val="0064130D"/>
    <w:rsid w:val="006414F9"/>
    <w:rsid w:val="006428E7"/>
    <w:rsid w:val="00642CD9"/>
    <w:rsid w:val="00643127"/>
    <w:rsid w:val="006433F6"/>
    <w:rsid w:val="00643CEE"/>
    <w:rsid w:val="006453EE"/>
    <w:rsid w:val="00645814"/>
    <w:rsid w:val="006466E7"/>
    <w:rsid w:val="00646DAD"/>
    <w:rsid w:val="00646E3A"/>
    <w:rsid w:val="00650478"/>
    <w:rsid w:val="0065057F"/>
    <w:rsid w:val="00651542"/>
    <w:rsid w:val="0065186F"/>
    <w:rsid w:val="00652668"/>
    <w:rsid w:val="00652A63"/>
    <w:rsid w:val="00652B4F"/>
    <w:rsid w:val="00652B55"/>
    <w:rsid w:val="00652D77"/>
    <w:rsid w:val="00654E18"/>
    <w:rsid w:val="006560F3"/>
    <w:rsid w:val="006563EB"/>
    <w:rsid w:val="006565B2"/>
    <w:rsid w:val="006569CE"/>
    <w:rsid w:val="00656D16"/>
    <w:rsid w:val="00657111"/>
    <w:rsid w:val="006573F8"/>
    <w:rsid w:val="00657CF2"/>
    <w:rsid w:val="00661C5B"/>
    <w:rsid w:val="0066249B"/>
    <w:rsid w:val="00662FBE"/>
    <w:rsid w:val="00664846"/>
    <w:rsid w:val="0066563C"/>
    <w:rsid w:val="006656BB"/>
    <w:rsid w:val="006657C1"/>
    <w:rsid w:val="006660F4"/>
    <w:rsid w:val="00666647"/>
    <w:rsid w:val="00667CAF"/>
    <w:rsid w:val="0067017D"/>
    <w:rsid w:val="0067100F"/>
    <w:rsid w:val="00671119"/>
    <w:rsid w:val="00671DBD"/>
    <w:rsid w:val="006722CD"/>
    <w:rsid w:val="0067342F"/>
    <w:rsid w:val="00673555"/>
    <w:rsid w:val="006748DE"/>
    <w:rsid w:val="00674C43"/>
    <w:rsid w:val="00675349"/>
    <w:rsid w:val="00675FB7"/>
    <w:rsid w:val="0067748C"/>
    <w:rsid w:val="0067750D"/>
    <w:rsid w:val="00677E63"/>
    <w:rsid w:val="0068177E"/>
    <w:rsid w:val="00681A36"/>
    <w:rsid w:val="00682340"/>
    <w:rsid w:val="006826A8"/>
    <w:rsid w:val="00682DD5"/>
    <w:rsid w:val="0068302D"/>
    <w:rsid w:val="006837FC"/>
    <w:rsid w:val="0068389E"/>
    <w:rsid w:val="00683D88"/>
    <w:rsid w:val="006847FE"/>
    <w:rsid w:val="0068510B"/>
    <w:rsid w:val="006858EF"/>
    <w:rsid w:val="00686C48"/>
    <w:rsid w:val="00686E3E"/>
    <w:rsid w:val="00687028"/>
    <w:rsid w:val="006871CA"/>
    <w:rsid w:val="00690228"/>
    <w:rsid w:val="006905B7"/>
    <w:rsid w:val="006908DF"/>
    <w:rsid w:val="00690914"/>
    <w:rsid w:val="00690EA3"/>
    <w:rsid w:val="0069112B"/>
    <w:rsid w:val="00691C6B"/>
    <w:rsid w:val="00692BA2"/>
    <w:rsid w:val="0069339E"/>
    <w:rsid w:val="006935D2"/>
    <w:rsid w:val="00693DF7"/>
    <w:rsid w:val="00694840"/>
    <w:rsid w:val="00694846"/>
    <w:rsid w:val="00694BC7"/>
    <w:rsid w:val="00694C59"/>
    <w:rsid w:val="00696CD2"/>
    <w:rsid w:val="0069706D"/>
    <w:rsid w:val="00697826"/>
    <w:rsid w:val="00697CFD"/>
    <w:rsid w:val="006A01E8"/>
    <w:rsid w:val="006A0699"/>
    <w:rsid w:val="006A11C3"/>
    <w:rsid w:val="006A21A6"/>
    <w:rsid w:val="006A2B1A"/>
    <w:rsid w:val="006A2CD4"/>
    <w:rsid w:val="006A2EA7"/>
    <w:rsid w:val="006A2F82"/>
    <w:rsid w:val="006A30F9"/>
    <w:rsid w:val="006A3196"/>
    <w:rsid w:val="006A33F7"/>
    <w:rsid w:val="006A381D"/>
    <w:rsid w:val="006A4A50"/>
    <w:rsid w:val="006A4E39"/>
    <w:rsid w:val="006A5057"/>
    <w:rsid w:val="006A5B27"/>
    <w:rsid w:val="006A6585"/>
    <w:rsid w:val="006A6C87"/>
    <w:rsid w:val="006A6F74"/>
    <w:rsid w:val="006B008D"/>
    <w:rsid w:val="006B0C00"/>
    <w:rsid w:val="006B162C"/>
    <w:rsid w:val="006B1B0F"/>
    <w:rsid w:val="006B2F4D"/>
    <w:rsid w:val="006B35D2"/>
    <w:rsid w:val="006B410D"/>
    <w:rsid w:val="006B4A58"/>
    <w:rsid w:val="006B591D"/>
    <w:rsid w:val="006B62B5"/>
    <w:rsid w:val="006B6DE6"/>
    <w:rsid w:val="006C0509"/>
    <w:rsid w:val="006C0F59"/>
    <w:rsid w:val="006C19EE"/>
    <w:rsid w:val="006C1CDF"/>
    <w:rsid w:val="006C20B6"/>
    <w:rsid w:val="006C2176"/>
    <w:rsid w:val="006C21C9"/>
    <w:rsid w:val="006C2238"/>
    <w:rsid w:val="006C2511"/>
    <w:rsid w:val="006C258E"/>
    <w:rsid w:val="006C3786"/>
    <w:rsid w:val="006C3A10"/>
    <w:rsid w:val="006C3A2B"/>
    <w:rsid w:val="006C423F"/>
    <w:rsid w:val="006C44AC"/>
    <w:rsid w:val="006C4B3C"/>
    <w:rsid w:val="006C5518"/>
    <w:rsid w:val="006C57BC"/>
    <w:rsid w:val="006C591F"/>
    <w:rsid w:val="006C5CED"/>
    <w:rsid w:val="006C769A"/>
    <w:rsid w:val="006D0169"/>
    <w:rsid w:val="006D0511"/>
    <w:rsid w:val="006D26CA"/>
    <w:rsid w:val="006D2A0C"/>
    <w:rsid w:val="006D3FE4"/>
    <w:rsid w:val="006D44E0"/>
    <w:rsid w:val="006D4C1C"/>
    <w:rsid w:val="006D52EA"/>
    <w:rsid w:val="006D61AE"/>
    <w:rsid w:val="006D6249"/>
    <w:rsid w:val="006D65ED"/>
    <w:rsid w:val="006D6E1F"/>
    <w:rsid w:val="006E01ED"/>
    <w:rsid w:val="006E02D8"/>
    <w:rsid w:val="006E0927"/>
    <w:rsid w:val="006E0A14"/>
    <w:rsid w:val="006E134F"/>
    <w:rsid w:val="006E19A8"/>
    <w:rsid w:val="006E1A4F"/>
    <w:rsid w:val="006E1FAB"/>
    <w:rsid w:val="006E28BD"/>
    <w:rsid w:val="006E3C89"/>
    <w:rsid w:val="006E48B7"/>
    <w:rsid w:val="006E5533"/>
    <w:rsid w:val="006E5D67"/>
    <w:rsid w:val="006E5FB4"/>
    <w:rsid w:val="006E6D84"/>
    <w:rsid w:val="006E7210"/>
    <w:rsid w:val="006E799B"/>
    <w:rsid w:val="006F00CD"/>
    <w:rsid w:val="006F0CD8"/>
    <w:rsid w:val="006F1181"/>
    <w:rsid w:val="006F1471"/>
    <w:rsid w:val="006F2139"/>
    <w:rsid w:val="006F5E7E"/>
    <w:rsid w:val="006F6850"/>
    <w:rsid w:val="006F6FC5"/>
    <w:rsid w:val="006F748E"/>
    <w:rsid w:val="00700EE9"/>
    <w:rsid w:val="00701C02"/>
    <w:rsid w:val="00701E8B"/>
    <w:rsid w:val="00701FE7"/>
    <w:rsid w:val="00702C16"/>
    <w:rsid w:val="0070433A"/>
    <w:rsid w:val="00704906"/>
    <w:rsid w:val="007051D0"/>
    <w:rsid w:val="007052AD"/>
    <w:rsid w:val="0070560B"/>
    <w:rsid w:val="0070610E"/>
    <w:rsid w:val="00707E43"/>
    <w:rsid w:val="00710D7E"/>
    <w:rsid w:val="0071152F"/>
    <w:rsid w:val="007118FA"/>
    <w:rsid w:val="007143D9"/>
    <w:rsid w:val="00714934"/>
    <w:rsid w:val="00714C58"/>
    <w:rsid w:val="00714D9E"/>
    <w:rsid w:val="00714FDA"/>
    <w:rsid w:val="007153A4"/>
    <w:rsid w:val="0071575B"/>
    <w:rsid w:val="00715933"/>
    <w:rsid w:val="0071768B"/>
    <w:rsid w:val="007214DB"/>
    <w:rsid w:val="00721523"/>
    <w:rsid w:val="00721E2F"/>
    <w:rsid w:val="007224F0"/>
    <w:rsid w:val="00722EA6"/>
    <w:rsid w:val="00722F01"/>
    <w:rsid w:val="00723563"/>
    <w:rsid w:val="0072389B"/>
    <w:rsid w:val="00724526"/>
    <w:rsid w:val="00724A40"/>
    <w:rsid w:val="00725D4F"/>
    <w:rsid w:val="00725D87"/>
    <w:rsid w:val="0072614B"/>
    <w:rsid w:val="0072616B"/>
    <w:rsid w:val="0072640F"/>
    <w:rsid w:val="007267E3"/>
    <w:rsid w:val="00727056"/>
    <w:rsid w:val="0072784E"/>
    <w:rsid w:val="00727887"/>
    <w:rsid w:val="0072792F"/>
    <w:rsid w:val="007302C7"/>
    <w:rsid w:val="00730773"/>
    <w:rsid w:val="00731797"/>
    <w:rsid w:val="00731CC7"/>
    <w:rsid w:val="007321D7"/>
    <w:rsid w:val="00732A9E"/>
    <w:rsid w:val="00732D3E"/>
    <w:rsid w:val="00733502"/>
    <w:rsid w:val="007337F1"/>
    <w:rsid w:val="0073401C"/>
    <w:rsid w:val="00734540"/>
    <w:rsid w:val="00734D2C"/>
    <w:rsid w:val="007351B8"/>
    <w:rsid w:val="007351D5"/>
    <w:rsid w:val="007356F1"/>
    <w:rsid w:val="00735D88"/>
    <w:rsid w:val="007369ED"/>
    <w:rsid w:val="00736B98"/>
    <w:rsid w:val="00736DFA"/>
    <w:rsid w:val="00737118"/>
    <w:rsid w:val="00737E93"/>
    <w:rsid w:val="0074039C"/>
    <w:rsid w:val="007405FD"/>
    <w:rsid w:val="0074076F"/>
    <w:rsid w:val="00741125"/>
    <w:rsid w:val="00741682"/>
    <w:rsid w:val="00743041"/>
    <w:rsid w:val="00744CAD"/>
    <w:rsid w:val="00744D50"/>
    <w:rsid w:val="00745DFC"/>
    <w:rsid w:val="007466C6"/>
    <w:rsid w:val="00746BBA"/>
    <w:rsid w:val="00746E05"/>
    <w:rsid w:val="00746FF1"/>
    <w:rsid w:val="00747763"/>
    <w:rsid w:val="007478D1"/>
    <w:rsid w:val="00747CE0"/>
    <w:rsid w:val="00747D29"/>
    <w:rsid w:val="00750D07"/>
    <w:rsid w:val="007525E2"/>
    <w:rsid w:val="00753228"/>
    <w:rsid w:val="00753A76"/>
    <w:rsid w:val="007557FF"/>
    <w:rsid w:val="0075584D"/>
    <w:rsid w:val="007568B5"/>
    <w:rsid w:val="007579A7"/>
    <w:rsid w:val="00757A3E"/>
    <w:rsid w:val="007605FF"/>
    <w:rsid w:val="007608C4"/>
    <w:rsid w:val="00761BF8"/>
    <w:rsid w:val="00761C28"/>
    <w:rsid w:val="007629A9"/>
    <w:rsid w:val="00762F11"/>
    <w:rsid w:val="007635DB"/>
    <w:rsid w:val="00763D28"/>
    <w:rsid w:val="00765341"/>
    <w:rsid w:val="0076558E"/>
    <w:rsid w:val="0076609E"/>
    <w:rsid w:val="00766685"/>
    <w:rsid w:val="00766C62"/>
    <w:rsid w:val="00767C6D"/>
    <w:rsid w:val="0077064A"/>
    <w:rsid w:val="00770779"/>
    <w:rsid w:val="007708E0"/>
    <w:rsid w:val="007718F0"/>
    <w:rsid w:val="007721B3"/>
    <w:rsid w:val="007732FA"/>
    <w:rsid w:val="00773C38"/>
    <w:rsid w:val="00774B33"/>
    <w:rsid w:val="00774B69"/>
    <w:rsid w:val="00775288"/>
    <w:rsid w:val="00775B79"/>
    <w:rsid w:val="00775DD5"/>
    <w:rsid w:val="00775EDC"/>
    <w:rsid w:val="0077628B"/>
    <w:rsid w:val="00776ADE"/>
    <w:rsid w:val="00776C90"/>
    <w:rsid w:val="00776F5A"/>
    <w:rsid w:val="00777099"/>
    <w:rsid w:val="0077709C"/>
    <w:rsid w:val="00777117"/>
    <w:rsid w:val="00777C1A"/>
    <w:rsid w:val="007800B0"/>
    <w:rsid w:val="00780361"/>
    <w:rsid w:val="007809D5"/>
    <w:rsid w:val="00780F50"/>
    <w:rsid w:val="00782773"/>
    <w:rsid w:val="0078285B"/>
    <w:rsid w:val="007839BD"/>
    <w:rsid w:val="00783FE5"/>
    <w:rsid w:val="00784102"/>
    <w:rsid w:val="007841E7"/>
    <w:rsid w:val="00784536"/>
    <w:rsid w:val="00785DF4"/>
    <w:rsid w:val="00785E49"/>
    <w:rsid w:val="00786372"/>
    <w:rsid w:val="00786713"/>
    <w:rsid w:val="00786719"/>
    <w:rsid w:val="007868E8"/>
    <w:rsid w:val="00786A4B"/>
    <w:rsid w:val="00787422"/>
    <w:rsid w:val="007903DC"/>
    <w:rsid w:val="0079088B"/>
    <w:rsid w:val="00791235"/>
    <w:rsid w:val="0079125A"/>
    <w:rsid w:val="00791A13"/>
    <w:rsid w:val="007922B6"/>
    <w:rsid w:val="0079241C"/>
    <w:rsid w:val="0079254B"/>
    <w:rsid w:val="00793F6E"/>
    <w:rsid w:val="007941D3"/>
    <w:rsid w:val="0079449E"/>
    <w:rsid w:val="00794A5E"/>
    <w:rsid w:val="00794B82"/>
    <w:rsid w:val="00794EB0"/>
    <w:rsid w:val="007953C2"/>
    <w:rsid w:val="00795931"/>
    <w:rsid w:val="00795C42"/>
    <w:rsid w:val="00796A1D"/>
    <w:rsid w:val="007973AA"/>
    <w:rsid w:val="007977DB"/>
    <w:rsid w:val="00797A5F"/>
    <w:rsid w:val="00797C53"/>
    <w:rsid w:val="007A0AE4"/>
    <w:rsid w:val="007A14C9"/>
    <w:rsid w:val="007A18CD"/>
    <w:rsid w:val="007A295C"/>
    <w:rsid w:val="007A2FEF"/>
    <w:rsid w:val="007A3274"/>
    <w:rsid w:val="007A3BD0"/>
    <w:rsid w:val="007A3D94"/>
    <w:rsid w:val="007A557E"/>
    <w:rsid w:val="007A58E8"/>
    <w:rsid w:val="007A5C7C"/>
    <w:rsid w:val="007A7C27"/>
    <w:rsid w:val="007B0768"/>
    <w:rsid w:val="007B169E"/>
    <w:rsid w:val="007B17B2"/>
    <w:rsid w:val="007B1DD2"/>
    <w:rsid w:val="007B216E"/>
    <w:rsid w:val="007B3F39"/>
    <w:rsid w:val="007B4D5F"/>
    <w:rsid w:val="007B5221"/>
    <w:rsid w:val="007B5979"/>
    <w:rsid w:val="007B5D23"/>
    <w:rsid w:val="007B65CC"/>
    <w:rsid w:val="007B6E2F"/>
    <w:rsid w:val="007B76B3"/>
    <w:rsid w:val="007C037F"/>
    <w:rsid w:val="007C1385"/>
    <w:rsid w:val="007C1C95"/>
    <w:rsid w:val="007C31B2"/>
    <w:rsid w:val="007C3610"/>
    <w:rsid w:val="007C49D1"/>
    <w:rsid w:val="007C4BF2"/>
    <w:rsid w:val="007C5F2F"/>
    <w:rsid w:val="007C5F48"/>
    <w:rsid w:val="007C63BC"/>
    <w:rsid w:val="007C7465"/>
    <w:rsid w:val="007D0AF2"/>
    <w:rsid w:val="007D0C82"/>
    <w:rsid w:val="007D0D6F"/>
    <w:rsid w:val="007D1C60"/>
    <w:rsid w:val="007D203B"/>
    <w:rsid w:val="007D2391"/>
    <w:rsid w:val="007D2461"/>
    <w:rsid w:val="007D2747"/>
    <w:rsid w:val="007D2A83"/>
    <w:rsid w:val="007D2C12"/>
    <w:rsid w:val="007D3DDC"/>
    <w:rsid w:val="007D4219"/>
    <w:rsid w:val="007D4645"/>
    <w:rsid w:val="007D494D"/>
    <w:rsid w:val="007D4F07"/>
    <w:rsid w:val="007D5F6A"/>
    <w:rsid w:val="007D63EF"/>
    <w:rsid w:val="007D7E04"/>
    <w:rsid w:val="007D7FFD"/>
    <w:rsid w:val="007E1CE2"/>
    <w:rsid w:val="007E3C0E"/>
    <w:rsid w:val="007E441C"/>
    <w:rsid w:val="007E5B0D"/>
    <w:rsid w:val="007E663D"/>
    <w:rsid w:val="007E7008"/>
    <w:rsid w:val="007E70A5"/>
    <w:rsid w:val="007E7275"/>
    <w:rsid w:val="007F0CD2"/>
    <w:rsid w:val="007F0F0B"/>
    <w:rsid w:val="007F1702"/>
    <w:rsid w:val="007F3EE7"/>
    <w:rsid w:val="007F419B"/>
    <w:rsid w:val="007F4256"/>
    <w:rsid w:val="007F42BE"/>
    <w:rsid w:val="007F488C"/>
    <w:rsid w:val="007F4E96"/>
    <w:rsid w:val="007F66BE"/>
    <w:rsid w:val="007F6B8D"/>
    <w:rsid w:val="007F711F"/>
    <w:rsid w:val="007F742B"/>
    <w:rsid w:val="00802446"/>
    <w:rsid w:val="00803538"/>
    <w:rsid w:val="008039D6"/>
    <w:rsid w:val="00803F16"/>
    <w:rsid w:val="00804BF5"/>
    <w:rsid w:val="008052D6"/>
    <w:rsid w:val="00805738"/>
    <w:rsid w:val="00805FB9"/>
    <w:rsid w:val="00806986"/>
    <w:rsid w:val="00807315"/>
    <w:rsid w:val="00807CAD"/>
    <w:rsid w:val="00810734"/>
    <w:rsid w:val="00811057"/>
    <w:rsid w:val="008111A7"/>
    <w:rsid w:val="0081154E"/>
    <w:rsid w:val="00811767"/>
    <w:rsid w:val="0081187F"/>
    <w:rsid w:val="00811C18"/>
    <w:rsid w:val="008127EA"/>
    <w:rsid w:val="00812D99"/>
    <w:rsid w:val="00812E02"/>
    <w:rsid w:val="0081462E"/>
    <w:rsid w:val="00817073"/>
    <w:rsid w:val="0081727B"/>
    <w:rsid w:val="00820CDD"/>
    <w:rsid w:val="008212FB"/>
    <w:rsid w:val="008212FC"/>
    <w:rsid w:val="008223AA"/>
    <w:rsid w:val="0082286B"/>
    <w:rsid w:val="0082386D"/>
    <w:rsid w:val="00823ABA"/>
    <w:rsid w:val="00823CF7"/>
    <w:rsid w:val="00824054"/>
    <w:rsid w:val="00824345"/>
    <w:rsid w:val="00825088"/>
    <w:rsid w:val="00825AFD"/>
    <w:rsid w:val="00826DD0"/>
    <w:rsid w:val="00827359"/>
    <w:rsid w:val="00827469"/>
    <w:rsid w:val="00827ACE"/>
    <w:rsid w:val="00827E45"/>
    <w:rsid w:val="00830B06"/>
    <w:rsid w:val="0083108F"/>
    <w:rsid w:val="00833AC8"/>
    <w:rsid w:val="00833BA1"/>
    <w:rsid w:val="00833DB2"/>
    <w:rsid w:val="00834811"/>
    <w:rsid w:val="00834A55"/>
    <w:rsid w:val="00834DCC"/>
    <w:rsid w:val="00835022"/>
    <w:rsid w:val="0083521F"/>
    <w:rsid w:val="00836F64"/>
    <w:rsid w:val="00837192"/>
    <w:rsid w:val="008403E0"/>
    <w:rsid w:val="008406B9"/>
    <w:rsid w:val="008412E1"/>
    <w:rsid w:val="00841E24"/>
    <w:rsid w:val="008431C9"/>
    <w:rsid w:val="0084386F"/>
    <w:rsid w:val="00843B45"/>
    <w:rsid w:val="00843D9A"/>
    <w:rsid w:val="008449B9"/>
    <w:rsid w:val="00844C0A"/>
    <w:rsid w:val="00845219"/>
    <w:rsid w:val="00845BDD"/>
    <w:rsid w:val="00845FFE"/>
    <w:rsid w:val="008462D6"/>
    <w:rsid w:val="008465B6"/>
    <w:rsid w:val="00846AAA"/>
    <w:rsid w:val="00847018"/>
    <w:rsid w:val="00847298"/>
    <w:rsid w:val="0084774D"/>
    <w:rsid w:val="00847A57"/>
    <w:rsid w:val="00850A77"/>
    <w:rsid w:val="0085140F"/>
    <w:rsid w:val="008520E7"/>
    <w:rsid w:val="00852992"/>
    <w:rsid w:val="00854BFB"/>
    <w:rsid w:val="00855096"/>
    <w:rsid w:val="0085540F"/>
    <w:rsid w:val="00855EDF"/>
    <w:rsid w:val="00856577"/>
    <w:rsid w:val="00856FE3"/>
    <w:rsid w:val="00857625"/>
    <w:rsid w:val="0085765B"/>
    <w:rsid w:val="00860561"/>
    <w:rsid w:val="008606F2"/>
    <w:rsid w:val="008608B7"/>
    <w:rsid w:val="00860FC9"/>
    <w:rsid w:val="008613EF"/>
    <w:rsid w:val="00861C82"/>
    <w:rsid w:val="0086206B"/>
    <w:rsid w:val="0086224B"/>
    <w:rsid w:val="0086241B"/>
    <w:rsid w:val="008628F3"/>
    <w:rsid w:val="00863846"/>
    <w:rsid w:val="00863A18"/>
    <w:rsid w:val="00863E2C"/>
    <w:rsid w:val="00865427"/>
    <w:rsid w:val="008656A7"/>
    <w:rsid w:val="00865C73"/>
    <w:rsid w:val="00865F68"/>
    <w:rsid w:val="00866009"/>
    <w:rsid w:val="0086642A"/>
    <w:rsid w:val="00866F39"/>
    <w:rsid w:val="00867E06"/>
    <w:rsid w:val="00867F65"/>
    <w:rsid w:val="00870314"/>
    <w:rsid w:val="00870508"/>
    <w:rsid w:val="0087102B"/>
    <w:rsid w:val="0087120A"/>
    <w:rsid w:val="008714A8"/>
    <w:rsid w:val="00871DF1"/>
    <w:rsid w:val="008722BB"/>
    <w:rsid w:val="00873A95"/>
    <w:rsid w:val="00874BB4"/>
    <w:rsid w:val="0087547D"/>
    <w:rsid w:val="00875A57"/>
    <w:rsid w:val="00876198"/>
    <w:rsid w:val="0087659A"/>
    <w:rsid w:val="008775CA"/>
    <w:rsid w:val="008777FE"/>
    <w:rsid w:val="00880915"/>
    <w:rsid w:val="00880F3A"/>
    <w:rsid w:val="00881D4F"/>
    <w:rsid w:val="00883B44"/>
    <w:rsid w:val="00884BCC"/>
    <w:rsid w:val="0088512B"/>
    <w:rsid w:val="00885A1E"/>
    <w:rsid w:val="00885B6F"/>
    <w:rsid w:val="00885E01"/>
    <w:rsid w:val="00886444"/>
    <w:rsid w:val="008907E0"/>
    <w:rsid w:val="008911EC"/>
    <w:rsid w:val="00891210"/>
    <w:rsid w:val="00891D9E"/>
    <w:rsid w:val="00892172"/>
    <w:rsid w:val="0089242A"/>
    <w:rsid w:val="008925EF"/>
    <w:rsid w:val="0089384B"/>
    <w:rsid w:val="008938D4"/>
    <w:rsid w:val="00893CB0"/>
    <w:rsid w:val="00895EC8"/>
    <w:rsid w:val="008963B9"/>
    <w:rsid w:val="00896795"/>
    <w:rsid w:val="00896EBF"/>
    <w:rsid w:val="00897E2F"/>
    <w:rsid w:val="008A01C4"/>
    <w:rsid w:val="008A04EA"/>
    <w:rsid w:val="008A1171"/>
    <w:rsid w:val="008A16A1"/>
    <w:rsid w:val="008A1703"/>
    <w:rsid w:val="008A1F04"/>
    <w:rsid w:val="008A1F44"/>
    <w:rsid w:val="008A230B"/>
    <w:rsid w:val="008A23E1"/>
    <w:rsid w:val="008A4C4D"/>
    <w:rsid w:val="008A4C99"/>
    <w:rsid w:val="008A6313"/>
    <w:rsid w:val="008A6B5C"/>
    <w:rsid w:val="008A6BDB"/>
    <w:rsid w:val="008A6C41"/>
    <w:rsid w:val="008B0367"/>
    <w:rsid w:val="008B113D"/>
    <w:rsid w:val="008B12AC"/>
    <w:rsid w:val="008B2447"/>
    <w:rsid w:val="008B2A40"/>
    <w:rsid w:val="008B3CB0"/>
    <w:rsid w:val="008B40AD"/>
    <w:rsid w:val="008B42F6"/>
    <w:rsid w:val="008B4776"/>
    <w:rsid w:val="008B4DA7"/>
    <w:rsid w:val="008B4F38"/>
    <w:rsid w:val="008B55EB"/>
    <w:rsid w:val="008B5999"/>
    <w:rsid w:val="008B5A26"/>
    <w:rsid w:val="008B7BD5"/>
    <w:rsid w:val="008B7DE7"/>
    <w:rsid w:val="008C04D1"/>
    <w:rsid w:val="008C0BE1"/>
    <w:rsid w:val="008C1D86"/>
    <w:rsid w:val="008C1F1D"/>
    <w:rsid w:val="008C29BB"/>
    <w:rsid w:val="008C2F60"/>
    <w:rsid w:val="008C35D2"/>
    <w:rsid w:val="008C3B51"/>
    <w:rsid w:val="008C4806"/>
    <w:rsid w:val="008C4D19"/>
    <w:rsid w:val="008C509E"/>
    <w:rsid w:val="008D021B"/>
    <w:rsid w:val="008D0305"/>
    <w:rsid w:val="008D0906"/>
    <w:rsid w:val="008D1941"/>
    <w:rsid w:val="008D1F5D"/>
    <w:rsid w:val="008D2378"/>
    <w:rsid w:val="008D259F"/>
    <w:rsid w:val="008D2D7B"/>
    <w:rsid w:val="008D4864"/>
    <w:rsid w:val="008D4C0F"/>
    <w:rsid w:val="008D6468"/>
    <w:rsid w:val="008D6C78"/>
    <w:rsid w:val="008D6ED8"/>
    <w:rsid w:val="008D705F"/>
    <w:rsid w:val="008D7B83"/>
    <w:rsid w:val="008D7B8C"/>
    <w:rsid w:val="008E0A5E"/>
    <w:rsid w:val="008E1301"/>
    <w:rsid w:val="008E1464"/>
    <w:rsid w:val="008E26C9"/>
    <w:rsid w:val="008E42B2"/>
    <w:rsid w:val="008E4C39"/>
    <w:rsid w:val="008E531F"/>
    <w:rsid w:val="008E5488"/>
    <w:rsid w:val="008E5848"/>
    <w:rsid w:val="008E5C55"/>
    <w:rsid w:val="008E6175"/>
    <w:rsid w:val="008E6DE9"/>
    <w:rsid w:val="008E7478"/>
    <w:rsid w:val="008E7AC2"/>
    <w:rsid w:val="008E7BD5"/>
    <w:rsid w:val="008F1CAD"/>
    <w:rsid w:val="008F2C94"/>
    <w:rsid w:val="008F3B71"/>
    <w:rsid w:val="008F3EFD"/>
    <w:rsid w:val="008F461B"/>
    <w:rsid w:val="008F5050"/>
    <w:rsid w:val="008F5205"/>
    <w:rsid w:val="008F535F"/>
    <w:rsid w:val="008F661A"/>
    <w:rsid w:val="008F7505"/>
    <w:rsid w:val="008F7C5E"/>
    <w:rsid w:val="00900105"/>
    <w:rsid w:val="00900179"/>
    <w:rsid w:val="0090045A"/>
    <w:rsid w:val="0090067B"/>
    <w:rsid w:val="009009B9"/>
    <w:rsid w:val="00900D3A"/>
    <w:rsid w:val="009015A2"/>
    <w:rsid w:val="00901CE0"/>
    <w:rsid w:val="00901F3A"/>
    <w:rsid w:val="00902111"/>
    <w:rsid w:val="0090233C"/>
    <w:rsid w:val="00902552"/>
    <w:rsid w:val="00903A78"/>
    <w:rsid w:val="00903CA9"/>
    <w:rsid w:val="0090499F"/>
    <w:rsid w:val="00904A8F"/>
    <w:rsid w:val="00904C5D"/>
    <w:rsid w:val="00904E75"/>
    <w:rsid w:val="009054B6"/>
    <w:rsid w:val="009061CF"/>
    <w:rsid w:val="00906C38"/>
    <w:rsid w:val="009100CE"/>
    <w:rsid w:val="00910417"/>
    <w:rsid w:val="00910500"/>
    <w:rsid w:val="00910D9C"/>
    <w:rsid w:val="00910F6F"/>
    <w:rsid w:val="009113C7"/>
    <w:rsid w:val="00911560"/>
    <w:rsid w:val="00911F72"/>
    <w:rsid w:val="009129B8"/>
    <w:rsid w:val="00913E04"/>
    <w:rsid w:val="00914324"/>
    <w:rsid w:val="0091436F"/>
    <w:rsid w:val="00914FF3"/>
    <w:rsid w:val="00915118"/>
    <w:rsid w:val="0091566F"/>
    <w:rsid w:val="00915692"/>
    <w:rsid w:val="0091579C"/>
    <w:rsid w:val="009158C1"/>
    <w:rsid w:val="00916DD1"/>
    <w:rsid w:val="00917A43"/>
    <w:rsid w:val="00917BE6"/>
    <w:rsid w:val="00920D6C"/>
    <w:rsid w:val="0092341F"/>
    <w:rsid w:val="00923485"/>
    <w:rsid w:val="00923CCD"/>
    <w:rsid w:val="00924420"/>
    <w:rsid w:val="00924C2A"/>
    <w:rsid w:val="00924F26"/>
    <w:rsid w:val="009251E0"/>
    <w:rsid w:val="00925F27"/>
    <w:rsid w:val="00926144"/>
    <w:rsid w:val="009266AC"/>
    <w:rsid w:val="00927955"/>
    <w:rsid w:val="00927AC3"/>
    <w:rsid w:val="009300D8"/>
    <w:rsid w:val="00930760"/>
    <w:rsid w:val="00930DE5"/>
    <w:rsid w:val="009312D3"/>
    <w:rsid w:val="00931355"/>
    <w:rsid w:val="00931950"/>
    <w:rsid w:val="009322CF"/>
    <w:rsid w:val="00932414"/>
    <w:rsid w:val="0093374D"/>
    <w:rsid w:val="00933801"/>
    <w:rsid w:val="00935895"/>
    <w:rsid w:val="00935C05"/>
    <w:rsid w:val="00936DC3"/>
    <w:rsid w:val="00936DDE"/>
    <w:rsid w:val="00936EDF"/>
    <w:rsid w:val="0093716B"/>
    <w:rsid w:val="009376EC"/>
    <w:rsid w:val="009409C7"/>
    <w:rsid w:val="009411F3"/>
    <w:rsid w:val="00941FF4"/>
    <w:rsid w:val="00942260"/>
    <w:rsid w:val="00943524"/>
    <w:rsid w:val="00945EE0"/>
    <w:rsid w:val="009461A9"/>
    <w:rsid w:val="00946DD1"/>
    <w:rsid w:val="009475DF"/>
    <w:rsid w:val="00951719"/>
    <w:rsid w:val="00952050"/>
    <w:rsid w:val="00952858"/>
    <w:rsid w:val="00952958"/>
    <w:rsid w:val="00953002"/>
    <w:rsid w:val="009534E6"/>
    <w:rsid w:val="00954174"/>
    <w:rsid w:val="0095486F"/>
    <w:rsid w:val="00955651"/>
    <w:rsid w:val="0095573A"/>
    <w:rsid w:val="00955F44"/>
    <w:rsid w:val="00956359"/>
    <w:rsid w:val="009563ED"/>
    <w:rsid w:val="00960037"/>
    <w:rsid w:val="00960446"/>
    <w:rsid w:val="00960D5F"/>
    <w:rsid w:val="009612CF"/>
    <w:rsid w:val="009616E5"/>
    <w:rsid w:val="00962101"/>
    <w:rsid w:val="0096268D"/>
    <w:rsid w:val="0096296F"/>
    <w:rsid w:val="00963C4A"/>
    <w:rsid w:val="00964459"/>
    <w:rsid w:val="00964D9F"/>
    <w:rsid w:val="00964E4C"/>
    <w:rsid w:val="00966563"/>
    <w:rsid w:val="00966D3D"/>
    <w:rsid w:val="00967AA2"/>
    <w:rsid w:val="00967DE6"/>
    <w:rsid w:val="009709F4"/>
    <w:rsid w:val="00970AEA"/>
    <w:rsid w:val="009710A2"/>
    <w:rsid w:val="009710C6"/>
    <w:rsid w:val="009714D6"/>
    <w:rsid w:val="009717A0"/>
    <w:rsid w:val="0097283E"/>
    <w:rsid w:val="0097340A"/>
    <w:rsid w:val="00973E2B"/>
    <w:rsid w:val="009743EB"/>
    <w:rsid w:val="00974D05"/>
    <w:rsid w:val="00974D9E"/>
    <w:rsid w:val="00975056"/>
    <w:rsid w:val="009762E8"/>
    <w:rsid w:val="009763EC"/>
    <w:rsid w:val="0097663C"/>
    <w:rsid w:val="00976B73"/>
    <w:rsid w:val="009770DD"/>
    <w:rsid w:val="00977627"/>
    <w:rsid w:val="0097772A"/>
    <w:rsid w:val="00977B6E"/>
    <w:rsid w:val="00977F12"/>
    <w:rsid w:val="0098057B"/>
    <w:rsid w:val="0098086D"/>
    <w:rsid w:val="009814D5"/>
    <w:rsid w:val="00981BA3"/>
    <w:rsid w:val="00981E5A"/>
    <w:rsid w:val="00982954"/>
    <w:rsid w:val="0098314A"/>
    <w:rsid w:val="00984F22"/>
    <w:rsid w:val="00985040"/>
    <w:rsid w:val="009852CB"/>
    <w:rsid w:val="009855D4"/>
    <w:rsid w:val="00985E0E"/>
    <w:rsid w:val="00986483"/>
    <w:rsid w:val="009865C0"/>
    <w:rsid w:val="00986BEF"/>
    <w:rsid w:val="00990B1D"/>
    <w:rsid w:val="00991785"/>
    <w:rsid w:val="00991D9D"/>
    <w:rsid w:val="009923E7"/>
    <w:rsid w:val="0099294C"/>
    <w:rsid w:val="00993936"/>
    <w:rsid w:val="00993B6B"/>
    <w:rsid w:val="00994711"/>
    <w:rsid w:val="00994F60"/>
    <w:rsid w:val="009951B3"/>
    <w:rsid w:val="009952F8"/>
    <w:rsid w:val="009953BD"/>
    <w:rsid w:val="00995468"/>
    <w:rsid w:val="009957EA"/>
    <w:rsid w:val="00995D09"/>
    <w:rsid w:val="00995E1D"/>
    <w:rsid w:val="00996172"/>
    <w:rsid w:val="009964A3"/>
    <w:rsid w:val="009964C1"/>
    <w:rsid w:val="00997780"/>
    <w:rsid w:val="009977B9"/>
    <w:rsid w:val="00997AEE"/>
    <w:rsid w:val="009A010F"/>
    <w:rsid w:val="009A186B"/>
    <w:rsid w:val="009A1953"/>
    <w:rsid w:val="009A2853"/>
    <w:rsid w:val="009A3489"/>
    <w:rsid w:val="009A3841"/>
    <w:rsid w:val="009A3A60"/>
    <w:rsid w:val="009A4B21"/>
    <w:rsid w:val="009A5756"/>
    <w:rsid w:val="009A663B"/>
    <w:rsid w:val="009A681B"/>
    <w:rsid w:val="009A6B9E"/>
    <w:rsid w:val="009A6BA6"/>
    <w:rsid w:val="009A7F60"/>
    <w:rsid w:val="009B1C22"/>
    <w:rsid w:val="009B2228"/>
    <w:rsid w:val="009B2792"/>
    <w:rsid w:val="009B33D4"/>
    <w:rsid w:val="009B3432"/>
    <w:rsid w:val="009B3C6A"/>
    <w:rsid w:val="009B3DC8"/>
    <w:rsid w:val="009B4190"/>
    <w:rsid w:val="009B43E7"/>
    <w:rsid w:val="009B4ADF"/>
    <w:rsid w:val="009B4BCB"/>
    <w:rsid w:val="009B4DD6"/>
    <w:rsid w:val="009B53D0"/>
    <w:rsid w:val="009B56A5"/>
    <w:rsid w:val="009B57EB"/>
    <w:rsid w:val="009B5921"/>
    <w:rsid w:val="009B5DB7"/>
    <w:rsid w:val="009B6064"/>
    <w:rsid w:val="009B60F1"/>
    <w:rsid w:val="009B6118"/>
    <w:rsid w:val="009B670A"/>
    <w:rsid w:val="009B6D03"/>
    <w:rsid w:val="009B7163"/>
    <w:rsid w:val="009B7F1F"/>
    <w:rsid w:val="009C040C"/>
    <w:rsid w:val="009C0596"/>
    <w:rsid w:val="009C0DC2"/>
    <w:rsid w:val="009C18F3"/>
    <w:rsid w:val="009C1D4C"/>
    <w:rsid w:val="009C2F0F"/>
    <w:rsid w:val="009C3A03"/>
    <w:rsid w:val="009C55FB"/>
    <w:rsid w:val="009C5ED7"/>
    <w:rsid w:val="009C6EFC"/>
    <w:rsid w:val="009C6F03"/>
    <w:rsid w:val="009C70DD"/>
    <w:rsid w:val="009C7FC5"/>
    <w:rsid w:val="009D0185"/>
    <w:rsid w:val="009D1C2E"/>
    <w:rsid w:val="009D201B"/>
    <w:rsid w:val="009D2435"/>
    <w:rsid w:val="009D261B"/>
    <w:rsid w:val="009D3D7F"/>
    <w:rsid w:val="009D433A"/>
    <w:rsid w:val="009D4AE2"/>
    <w:rsid w:val="009D6060"/>
    <w:rsid w:val="009D73BE"/>
    <w:rsid w:val="009E061A"/>
    <w:rsid w:val="009E0B26"/>
    <w:rsid w:val="009E0CF1"/>
    <w:rsid w:val="009E3C3C"/>
    <w:rsid w:val="009E59CA"/>
    <w:rsid w:val="009E5D01"/>
    <w:rsid w:val="009E5D75"/>
    <w:rsid w:val="009E7F81"/>
    <w:rsid w:val="009F0643"/>
    <w:rsid w:val="009F0EF5"/>
    <w:rsid w:val="009F1547"/>
    <w:rsid w:val="009F1760"/>
    <w:rsid w:val="009F1C5F"/>
    <w:rsid w:val="009F2511"/>
    <w:rsid w:val="009F3217"/>
    <w:rsid w:val="009F35D9"/>
    <w:rsid w:val="009F39D3"/>
    <w:rsid w:val="009F412C"/>
    <w:rsid w:val="009F42D9"/>
    <w:rsid w:val="009F488F"/>
    <w:rsid w:val="009F4DDA"/>
    <w:rsid w:val="009F60A3"/>
    <w:rsid w:val="009F6502"/>
    <w:rsid w:val="009F6579"/>
    <w:rsid w:val="009F701D"/>
    <w:rsid w:val="009F7CAA"/>
    <w:rsid w:val="009F7D16"/>
    <w:rsid w:val="009F7FE7"/>
    <w:rsid w:val="00A004DD"/>
    <w:rsid w:val="00A0051B"/>
    <w:rsid w:val="00A0152C"/>
    <w:rsid w:val="00A016E4"/>
    <w:rsid w:val="00A019DF"/>
    <w:rsid w:val="00A021AC"/>
    <w:rsid w:val="00A030A1"/>
    <w:rsid w:val="00A03549"/>
    <w:rsid w:val="00A0399E"/>
    <w:rsid w:val="00A0400D"/>
    <w:rsid w:val="00A04267"/>
    <w:rsid w:val="00A04574"/>
    <w:rsid w:val="00A047E0"/>
    <w:rsid w:val="00A04E75"/>
    <w:rsid w:val="00A05162"/>
    <w:rsid w:val="00A051EF"/>
    <w:rsid w:val="00A0554F"/>
    <w:rsid w:val="00A0655B"/>
    <w:rsid w:val="00A06EC4"/>
    <w:rsid w:val="00A071A9"/>
    <w:rsid w:val="00A0791A"/>
    <w:rsid w:val="00A10201"/>
    <w:rsid w:val="00A106EE"/>
    <w:rsid w:val="00A11181"/>
    <w:rsid w:val="00A11A8C"/>
    <w:rsid w:val="00A11BA4"/>
    <w:rsid w:val="00A12DEC"/>
    <w:rsid w:val="00A13018"/>
    <w:rsid w:val="00A13101"/>
    <w:rsid w:val="00A13589"/>
    <w:rsid w:val="00A1468D"/>
    <w:rsid w:val="00A14873"/>
    <w:rsid w:val="00A14B5A"/>
    <w:rsid w:val="00A154F0"/>
    <w:rsid w:val="00A16156"/>
    <w:rsid w:val="00A16779"/>
    <w:rsid w:val="00A1678F"/>
    <w:rsid w:val="00A20240"/>
    <w:rsid w:val="00A205CC"/>
    <w:rsid w:val="00A22611"/>
    <w:rsid w:val="00A24095"/>
    <w:rsid w:val="00A2451E"/>
    <w:rsid w:val="00A24F29"/>
    <w:rsid w:val="00A2503D"/>
    <w:rsid w:val="00A2513C"/>
    <w:rsid w:val="00A25708"/>
    <w:rsid w:val="00A25800"/>
    <w:rsid w:val="00A25AA8"/>
    <w:rsid w:val="00A2668B"/>
    <w:rsid w:val="00A2712C"/>
    <w:rsid w:val="00A27540"/>
    <w:rsid w:val="00A306A4"/>
    <w:rsid w:val="00A31ADF"/>
    <w:rsid w:val="00A31BD8"/>
    <w:rsid w:val="00A31EAF"/>
    <w:rsid w:val="00A32D7D"/>
    <w:rsid w:val="00A333A5"/>
    <w:rsid w:val="00A3451E"/>
    <w:rsid w:val="00A34FA0"/>
    <w:rsid w:val="00A3610D"/>
    <w:rsid w:val="00A36B22"/>
    <w:rsid w:val="00A40A6C"/>
    <w:rsid w:val="00A4163E"/>
    <w:rsid w:val="00A43576"/>
    <w:rsid w:val="00A43759"/>
    <w:rsid w:val="00A43784"/>
    <w:rsid w:val="00A4398D"/>
    <w:rsid w:val="00A43B84"/>
    <w:rsid w:val="00A43E98"/>
    <w:rsid w:val="00A4471A"/>
    <w:rsid w:val="00A4499A"/>
    <w:rsid w:val="00A45B7B"/>
    <w:rsid w:val="00A4620F"/>
    <w:rsid w:val="00A46556"/>
    <w:rsid w:val="00A46781"/>
    <w:rsid w:val="00A470C8"/>
    <w:rsid w:val="00A50A8F"/>
    <w:rsid w:val="00A534B7"/>
    <w:rsid w:val="00A53CBE"/>
    <w:rsid w:val="00A54FC4"/>
    <w:rsid w:val="00A564B3"/>
    <w:rsid w:val="00A565CD"/>
    <w:rsid w:val="00A62445"/>
    <w:rsid w:val="00A62459"/>
    <w:rsid w:val="00A63818"/>
    <w:rsid w:val="00A63945"/>
    <w:rsid w:val="00A640BB"/>
    <w:rsid w:val="00A64552"/>
    <w:rsid w:val="00A6491E"/>
    <w:rsid w:val="00A65DD4"/>
    <w:rsid w:val="00A66276"/>
    <w:rsid w:val="00A66C65"/>
    <w:rsid w:val="00A66D02"/>
    <w:rsid w:val="00A67790"/>
    <w:rsid w:val="00A7093E"/>
    <w:rsid w:val="00A7103D"/>
    <w:rsid w:val="00A71EA7"/>
    <w:rsid w:val="00A7209C"/>
    <w:rsid w:val="00A730DF"/>
    <w:rsid w:val="00A74446"/>
    <w:rsid w:val="00A746A8"/>
    <w:rsid w:val="00A74BCC"/>
    <w:rsid w:val="00A754E9"/>
    <w:rsid w:val="00A75D10"/>
    <w:rsid w:val="00A7611D"/>
    <w:rsid w:val="00A76CC0"/>
    <w:rsid w:val="00A7736F"/>
    <w:rsid w:val="00A80007"/>
    <w:rsid w:val="00A82EE3"/>
    <w:rsid w:val="00A83857"/>
    <w:rsid w:val="00A83E5E"/>
    <w:rsid w:val="00A84921"/>
    <w:rsid w:val="00A85CE5"/>
    <w:rsid w:val="00A85F16"/>
    <w:rsid w:val="00A85FCB"/>
    <w:rsid w:val="00A85FEA"/>
    <w:rsid w:val="00A86253"/>
    <w:rsid w:val="00A86831"/>
    <w:rsid w:val="00A869BF"/>
    <w:rsid w:val="00A87025"/>
    <w:rsid w:val="00A90B01"/>
    <w:rsid w:val="00A91C1B"/>
    <w:rsid w:val="00A93829"/>
    <w:rsid w:val="00A93918"/>
    <w:rsid w:val="00A942C0"/>
    <w:rsid w:val="00A955B6"/>
    <w:rsid w:val="00A95B96"/>
    <w:rsid w:val="00A96B7B"/>
    <w:rsid w:val="00A96F23"/>
    <w:rsid w:val="00A971AB"/>
    <w:rsid w:val="00A97F2B"/>
    <w:rsid w:val="00AA090C"/>
    <w:rsid w:val="00AA10B7"/>
    <w:rsid w:val="00AA1E1C"/>
    <w:rsid w:val="00AA2348"/>
    <w:rsid w:val="00AA25AC"/>
    <w:rsid w:val="00AA28B2"/>
    <w:rsid w:val="00AA304E"/>
    <w:rsid w:val="00AA37ED"/>
    <w:rsid w:val="00AA39C3"/>
    <w:rsid w:val="00AA442D"/>
    <w:rsid w:val="00AA4649"/>
    <w:rsid w:val="00AA46AB"/>
    <w:rsid w:val="00AA5B7C"/>
    <w:rsid w:val="00AA656F"/>
    <w:rsid w:val="00AA6788"/>
    <w:rsid w:val="00AA7BE4"/>
    <w:rsid w:val="00AB122B"/>
    <w:rsid w:val="00AB127D"/>
    <w:rsid w:val="00AB1D5E"/>
    <w:rsid w:val="00AB389E"/>
    <w:rsid w:val="00AB42EA"/>
    <w:rsid w:val="00AB53AF"/>
    <w:rsid w:val="00AB590F"/>
    <w:rsid w:val="00AB59C7"/>
    <w:rsid w:val="00AB60DF"/>
    <w:rsid w:val="00AB6EF7"/>
    <w:rsid w:val="00AB700B"/>
    <w:rsid w:val="00AB7F47"/>
    <w:rsid w:val="00AC02DE"/>
    <w:rsid w:val="00AC23E4"/>
    <w:rsid w:val="00AC24B2"/>
    <w:rsid w:val="00AC3372"/>
    <w:rsid w:val="00AC438D"/>
    <w:rsid w:val="00AC47C7"/>
    <w:rsid w:val="00AC4F3D"/>
    <w:rsid w:val="00AC6DC0"/>
    <w:rsid w:val="00AC74C8"/>
    <w:rsid w:val="00AD0999"/>
    <w:rsid w:val="00AD15D6"/>
    <w:rsid w:val="00AD19DF"/>
    <w:rsid w:val="00AD3755"/>
    <w:rsid w:val="00AD3D72"/>
    <w:rsid w:val="00AD3D80"/>
    <w:rsid w:val="00AD4809"/>
    <w:rsid w:val="00AD4B5B"/>
    <w:rsid w:val="00AD5A0E"/>
    <w:rsid w:val="00AD5DAD"/>
    <w:rsid w:val="00AD643C"/>
    <w:rsid w:val="00AD6662"/>
    <w:rsid w:val="00AD7170"/>
    <w:rsid w:val="00AD7623"/>
    <w:rsid w:val="00AE03B0"/>
    <w:rsid w:val="00AE1232"/>
    <w:rsid w:val="00AE12D1"/>
    <w:rsid w:val="00AE2AF1"/>
    <w:rsid w:val="00AE383E"/>
    <w:rsid w:val="00AE44FE"/>
    <w:rsid w:val="00AE7670"/>
    <w:rsid w:val="00AF0A39"/>
    <w:rsid w:val="00AF0BB4"/>
    <w:rsid w:val="00AF0E16"/>
    <w:rsid w:val="00AF0E4C"/>
    <w:rsid w:val="00AF10C6"/>
    <w:rsid w:val="00AF116D"/>
    <w:rsid w:val="00AF1511"/>
    <w:rsid w:val="00AF199E"/>
    <w:rsid w:val="00AF3751"/>
    <w:rsid w:val="00AF39B3"/>
    <w:rsid w:val="00AF4420"/>
    <w:rsid w:val="00AF451A"/>
    <w:rsid w:val="00AF54FD"/>
    <w:rsid w:val="00AF57B5"/>
    <w:rsid w:val="00AF6DE8"/>
    <w:rsid w:val="00AF6EAC"/>
    <w:rsid w:val="00AF7A63"/>
    <w:rsid w:val="00B00207"/>
    <w:rsid w:val="00B005BF"/>
    <w:rsid w:val="00B01025"/>
    <w:rsid w:val="00B0170A"/>
    <w:rsid w:val="00B024C5"/>
    <w:rsid w:val="00B02D07"/>
    <w:rsid w:val="00B02FAE"/>
    <w:rsid w:val="00B0310E"/>
    <w:rsid w:val="00B03C19"/>
    <w:rsid w:val="00B03D23"/>
    <w:rsid w:val="00B03D4B"/>
    <w:rsid w:val="00B04BC9"/>
    <w:rsid w:val="00B050A3"/>
    <w:rsid w:val="00B05B3B"/>
    <w:rsid w:val="00B06361"/>
    <w:rsid w:val="00B06F6E"/>
    <w:rsid w:val="00B106C8"/>
    <w:rsid w:val="00B107F9"/>
    <w:rsid w:val="00B108BD"/>
    <w:rsid w:val="00B11052"/>
    <w:rsid w:val="00B11070"/>
    <w:rsid w:val="00B11C04"/>
    <w:rsid w:val="00B1235B"/>
    <w:rsid w:val="00B12825"/>
    <w:rsid w:val="00B12C3F"/>
    <w:rsid w:val="00B12D59"/>
    <w:rsid w:val="00B135D1"/>
    <w:rsid w:val="00B136E8"/>
    <w:rsid w:val="00B15803"/>
    <w:rsid w:val="00B15B14"/>
    <w:rsid w:val="00B15B85"/>
    <w:rsid w:val="00B16D83"/>
    <w:rsid w:val="00B17E1C"/>
    <w:rsid w:val="00B20D15"/>
    <w:rsid w:val="00B20E65"/>
    <w:rsid w:val="00B22FA2"/>
    <w:rsid w:val="00B241A2"/>
    <w:rsid w:val="00B242E4"/>
    <w:rsid w:val="00B244F8"/>
    <w:rsid w:val="00B2599E"/>
    <w:rsid w:val="00B2630E"/>
    <w:rsid w:val="00B270FB"/>
    <w:rsid w:val="00B27874"/>
    <w:rsid w:val="00B27A13"/>
    <w:rsid w:val="00B302F9"/>
    <w:rsid w:val="00B3095F"/>
    <w:rsid w:val="00B31D4D"/>
    <w:rsid w:val="00B322A6"/>
    <w:rsid w:val="00B3244F"/>
    <w:rsid w:val="00B326C1"/>
    <w:rsid w:val="00B32A1E"/>
    <w:rsid w:val="00B32C83"/>
    <w:rsid w:val="00B32D07"/>
    <w:rsid w:val="00B33053"/>
    <w:rsid w:val="00B33E9A"/>
    <w:rsid w:val="00B356D9"/>
    <w:rsid w:val="00B3593E"/>
    <w:rsid w:val="00B3777B"/>
    <w:rsid w:val="00B377EF"/>
    <w:rsid w:val="00B4057E"/>
    <w:rsid w:val="00B41440"/>
    <w:rsid w:val="00B41939"/>
    <w:rsid w:val="00B41EE3"/>
    <w:rsid w:val="00B42178"/>
    <w:rsid w:val="00B42665"/>
    <w:rsid w:val="00B42C78"/>
    <w:rsid w:val="00B4347E"/>
    <w:rsid w:val="00B43BFB"/>
    <w:rsid w:val="00B45D5E"/>
    <w:rsid w:val="00B460B7"/>
    <w:rsid w:val="00B47306"/>
    <w:rsid w:val="00B4747D"/>
    <w:rsid w:val="00B47A93"/>
    <w:rsid w:val="00B500F4"/>
    <w:rsid w:val="00B504B9"/>
    <w:rsid w:val="00B50C8A"/>
    <w:rsid w:val="00B523C6"/>
    <w:rsid w:val="00B531C3"/>
    <w:rsid w:val="00B534D3"/>
    <w:rsid w:val="00B5388A"/>
    <w:rsid w:val="00B53E8D"/>
    <w:rsid w:val="00B549E1"/>
    <w:rsid w:val="00B55061"/>
    <w:rsid w:val="00B55296"/>
    <w:rsid w:val="00B5541A"/>
    <w:rsid w:val="00B56EFA"/>
    <w:rsid w:val="00B5788A"/>
    <w:rsid w:val="00B607A9"/>
    <w:rsid w:val="00B62792"/>
    <w:rsid w:val="00B62E7B"/>
    <w:rsid w:val="00B63195"/>
    <w:rsid w:val="00B63415"/>
    <w:rsid w:val="00B63E70"/>
    <w:rsid w:val="00B6448C"/>
    <w:rsid w:val="00B667EA"/>
    <w:rsid w:val="00B66FDD"/>
    <w:rsid w:val="00B67646"/>
    <w:rsid w:val="00B709AA"/>
    <w:rsid w:val="00B70C4A"/>
    <w:rsid w:val="00B715EE"/>
    <w:rsid w:val="00B7161E"/>
    <w:rsid w:val="00B7179B"/>
    <w:rsid w:val="00B71A67"/>
    <w:rsid w:val="00B72256"/>
    <w:rsid w:val="00B722E8"/>
    <w:rsid w:val="00B723C0"/>
    <w:rsid w:val="00B7303B"/>
    <w:rsid w:val="00B73448"/>
    <w:rsid w:val="00B73FAC"/>
    <w:rsid w:val="00B7565B"/>
    <w:rsid w:val="00B758DE"/>
    <w:rsid w:val="00B75BB8"/>
    <w:rsid w:val="00B75DEF"/>
    <w:rsid w:val="00B77BA9"/>
    <w:rsid w:val="00B80C37"/>
    <w:rsid w:val="00B81D5B"/>
    <w:rsid w:val="00B8263A"/>
    <w:rsid w:val="00B826D5"/>
    <w:rsid w:val="00B83A32"/>
    <w:rsid w:val="00B844D5"/>
    <w:rsid w:val="00B846E6"/>
    <w:rsid w:val="00B84B53"/>
    <w:rsid w:val="00B855B0"/>
    <w:rsid w:val="00B87A2E"/>
    <w:rsid w:val="00B87D35"/>
    <w:rsid w:val="00B87DBA"/>
    <w:rsid w:val="00B921C1"/>
    <w:rsid w:val="00B924AE"/>
    <w:rsid w:val="00B92D62"/>
    <w:rsid w:val="00B932FC"/>
    <w:rsid w:val="00B93429"/>
    <w:rsid w:val="00B94423"/>
    <w:rsid w:val="00B94F88"/>
    <w:rsid w:val="00B94FA2"/>
    <w:rsid w:val="00B955CB"/>
    <w:rsid w:val="00B95747"/>
    <w:rsid w:val="00B96C6B"/>
    <w:rsid w:val="00B96CA1"/>
    <w:rsid w:val="00B96D1B"/>
    <w:rsid w:val="00BA20AC"/>
    <w:rsid w:val="00BA2DEB"/>
    <w:rsid w:val="00BA46E9"/>
    <w:rsid w:val="00BA4A07"/>
    <w:rsid w:val="00BA4ACB"/>
    <w:rsid w:val="00BA4EDC"/>
    <w:rsid w:val="00BA622D"/>
    <w:rsid w:val="00BB00EB"/>
    <w:rsid w:val="00BB01D5"/>
    <w:rsid w:val="00BB0DA1"/>
    <w:rsid w:val="00BB1A94"/>
    <w:rsid w:val="00BB1BB8"/>
    <w:rsid w:val="00BB1C15"/>
    <w:rsid w:val="00BB1F8D"/>
    <w:rsid w:val="00BB2C4E"/>
    <w:rsid w:val="00BB2E9F"/>
    <w:rsid w:val="00BB351B"/>
    <w:rsid w:val="00BB3787"/>
    <w:rsid w:val="00BB5D72"/>
    <w:rsid w:val="00BB5FBC"/>
    <w:rsid w:val="00BB5FF3"/>
    <w:rsid w:val="00BB635A"/>
    <w:rsid w:val="00BB65B7"/>
    <w:rsid w:val="00BB77C6"/>
    <w:rsid w:val="00BC0408"/>
    <w:rsid w:val="00BC0B2B"/>
    <w:rsid w:val="00BC0C14"/>
    <w:rsid w:val="00BC1017"/>
    <w:rsid w:val="00BC2130"/>
    <w:rsid w:val="00BC21F0"/>
    <w:rsid w:val="00BC2925"/>
    <w:rsid w:val="00BC3183"/>
    <w:rsid w:val="00BC344B"/>
    <w:rsid w:val="00BC4D3B"/>
    <w:rsid w:val="00BC5778"/>
    <w:rsid w:val="00BC5A12"/>
    <w:rsid w:val="00BC5D56"/>
    <w:rsid w:val="00BC5EF2"/>
    <w:rsid w:val="00BD0360"/>
    <w:rsid w:val="00BD09CC"/>
    <w:rsid w:val="00BD18FB"/>
    <w:rsid w:val="00BD1AA0"/>
    <w:rsid w:val="00BD1B12"/>
    <w:rsid w:val="00BD22A9"/>
    <w:rsid w:val="00BD2CCC"/>
    <w:rsid w:val="00BD3222"/>
    <w:rsid w:val="00BD3EFD"/>
    <w:rsid w:val="00BD5671"/>
    <w:rsid w:val="00BD689D"/>
    <w:rsid w:val="00BD69C4"/>
    <w:rsid w:val="00BD6C40"/>
    <w:rsid w:val="00BD6E39"/>
    <w:rsid w:val="00BD6E3B"/>
    <w:rsid w:val="00BD7223"/>
    <w:rsid w:val="00BD7D70"/>
    <w:rsid w:val="00BE058E"/>
    <w:rsid w:val="00BE196A"/>
    <w:rsid w:val="00BE1F02"/>
    <w:rsid w:val="00BE31C3"/>
    <w:rsid w:val="00BE3BFF"/>
    <w:rsid w:val="00BE515A"/>
    <w:rsid w:val="00BE59BC"/>
    <w:rsid w:val="00BE6039"/>
    <w:rsid w:val="00BE61CC"/>
    <w:rsid w:val="00BE72B3"/>
    <w:rsid w:val="00BE79B7"/>
    <w:rsid w:val="00BF0B7A"/>
    <w:rsid w:val="00BF0EAC"/>
    <w:rsid w:val="00BF1829"/>
    <w:rsid w:val="00BF191C"/>
    <w:rsid w:val="00BF2754"/>
    <w:rsid w:val="00BF2FD1"/>
    <w:rsid w:val="00BF41AE"/>
    <w:rsid w:val="00BF5077"/>
    <w:rsid w:val="00BF51DE"/>
    <w:rsid w:val="00BF6748"/>
    <w:rsid w:val="00BF687B"/>
    <w:rsid w:val="00BF691D"/>
    <w:rsid w:val="00BF6F1D"/>
    <w:rsid w:val="00BF79C2"/>
    <w:rsid w:val="00BF79FF"/>
    <w:rsid w:val="00C00191"/>
    <w:rsid w:val="00C00869"/>
    <w:rsid w:val="00C01CE0"/>
    <w:rsid w:val="00C0219E"/>
    <w:rsid w:val="00C023F3"/>
    <w:rsid w:val="00C0283A"/>
    <w:rsid w:val="00C02CC0"/>
    <w:rsid w:val="00C04CD1"/>
    <w:rsid w:val="00C04D16"/>
    <w:rsid w:val="00C04D78"/>
    <w:rsid w:val="00C0538D"/>
    <w:rsid w:val="00C0595B"/>
    <w:rsid w:val="00C11741"/>
    <w:rsid w:val="00C119DA"/>
    <w:rsid w:val="00C125D8"/>
    <w:rsid w:val="00C12936"/>
    <w:rsid w:val="00C140A2"/>
    <w:rsid w:val="00C15FEE"/>
    <w:rsid w:val="00C17A21"/>
    <w:rsid w:val="00C202F0"/>
    <w:rsid w:val="00C204B1"/>
    <w:rsid w:val="00C22043"/>
    <w:rsid w:val="00C2240C"/>
    <w:rsid w:val="00C225C9"/>
    <w:rsid w:val="00C232E8"/>
    <w:rsid w:val="00C23A7C"/>
    <w:rsid w:val="00C24059"/>
    <w:rsid w:val="00C248E7"/>
    <w:rsid w:val="00C24B4A"/>
    <w:rsid w:val="00C25C86"/>
    <w:rsid w:val="00C2608F"/>
    <w:rsid w:val="00C26537"/>
    <w:rsid w:val="00C26D72"/>
    <w:rsid w:val="00C27341"/>
    <w:rsid w:val="00C27358"/>
    <w:rsid w:val="00C273ED"/>
    <w:rsid w:val="00C27DAD"/>
    <w:rsid w:val="00C30A2E"/>
    <w:rsid w:val="00C30B62"/>
    <w:rsid w:val="00C3129B"/>
    <w:rsid w:val="00C3174E"/>
    <w:rsid w:val="00C317BC"/>
    <w:rsid w:val="00C31EE4"/>
    <w:rsid w:val="00C32670"/>
    <w:rsid w:val="00C328B0"/>
    <w:rsid w:val="00C334AD"/>
    <w:rsid w:val="00C3424A"/>
    <w:rsid w:val="00C34EA8"/>
    <w:rsid w:val="00C352AC"/>
    <w:rsid w:val="00C35C49"/>
    <w:rsid w:val="00C3643F"/>
    <w:rsid w:val="00C36749"/>
    <w:rsid w:val="00C36ACB"/>
    <w:rsid w:val="00C37A44"/>
    <w:rsid w:val="00C421E6"/>
    <w:rsid w:val="00C42799"/>
    <w:rsid w:val="00C42B43"/>
    <w:rsid w:val="00C43411"/>
    <w:rsid w:val="00C4344D"/>
    <w:rsid w:val="00C4452C"/>
    <w:rsid w:val="00C447C7"/>
    <w:rsid w:val="00C44D92"/>
    <w:rsid w:val="00C4598D"/>
    <w:rsid w:val="00C46739"/>
    <w:rsid w:val="00C4745E"/>
    <w:rsid w:val="00C47D78"/>
    <w:rsid w:val="00C50303"/>
    <w:rsid w:val="00C5112A"/>
    <w:rsid w:val="00C51A61"/>
    <w:rsid w:val="00C5206D"/>
    <w:rsid w:val="00C524E9"/>
    <w:rsid w:val="00C52BED"/>
    <w:rsid w:val="00C53C34"/>
    <w:rsid w:val="00C544CF"/>
    <w:rsid w:val="00C54B14"/>
    <w:rsid w:val="00C55686"/>
    <w:rsid w:val="00C55A51"/>
    <w:rsid w:val="00C564E5"/>
    <w:rsid w:val="00C579E3"/>
    <w:rsid w:val="00C57C35"/>
    <w:rsid w:val="00C602F4"/>
    <w:rsid w:val="00C60594"/>
    <w:rsid w:val="00C607A5"/>
    <w:rsid w:val="00C611B7"/>
    <w:rsid w:val="00C61897"/>
    <w:rsid w:val="00C64012"/>
    <w:rsid w:val="00C6449F"/>
    <w:rsid w:val="00C64636"/>
    <w:rsid w:val="00C646E9"/>
    <w:rsid w:val="00C64840"/>
    <w:rsid w:val="00C66221"/>
    <w:rsid w:val="00C665B9"/>
    <w:rsid w:val="00C71936"/>
    <w:rsid w:val="00C719BC"/>
    <w:rsid w:val="00C72A25"/>
    <w:rsid w:val="00C734C3"/>
    <w:rsid w:val="00C739B8"/>
    <w:rsid w:val="00C74235"/>
    <w:rsid w:val="00C74CD2"/>
    <w:rsid w:val="00C75BCF"/>
    <w:rsid w:val="00C762D7"/>
    <w:rsid w:val="00C76335"/>
    <w:rsid w:val="00C77749"/>
    <w:rsid w:val="00C77CC7"/>
    <w:rsid w:val="00C77E32"/>
    <w:rsid w:val="00C8003D"/>
    <w:rsid w:val="00C80989"/>
    <w:rsid w:val="00C80DB1"/>
    <w:rsid w:val="00C80EB7"/>
    <w:rsid w:val="00C822F5"/>
    <w:rsid w:val="00C83547"/>
    <w:rsid w:val="00C8541D"/>
    <w:rsid w:val="00C86A1C"/>
    <w:rsid w:val="00C86EF4"/>
    <w:rsid w:val="00C87326"/>
    <w:rsid w:val="00C90A39"/>
    <w:rsid w:val="00C917D1"/>
    <w:rsid w:val="00C91A86"/>
    <w:rsid w:val="00C92305"/>
    <w:rsid w:val="00C937C9"/>
    <w:rsid w:val="00C93BD3"/>
    <w:rsid w:val="00C95236"/>
    <w:rsid w:val="00C96164"/>
    <w:rsid w:val="00C96741"/>
    <w:rsid w:val="00C9690E"/>
    <w:rsid w:val="00C9725D"/>
    <w:rsid w:val="00C97423"/>
    <w:rsid w:val="00C97E0B"/>
    <w:rsid w:val="00CA1AB6"/>
    <w:rsid w:val="00CA22EB"/>
    <w:rsid w:val="00CA304E"/>
    <w:rsid w:val="00CA306E"/>
    <w:rsid w:val="00CA3F2E"/>
    <w:rsid w:val="00CA5E6D"/>
    <w:rsid w:val="00CA5F9A"/>
    <w:rsid w:val="00CA666F"/>
    <w:rsid w:val="00CA7405"/>
    <w:rsid w:val="00CA7F98"/>
    <w:rsid w:val="00CB10AF"/>
    <w:rsid w:val="00CB1666"/>
    <w:rsid w:val="00CB1890"/>
    <w:rsid w:val="00CB198E"/>
    <w:rsid w:val="00CB1EED"/>
    <w:rsid w:val="00CB22C4"/>
    <w:rsid w:val="00CB2FD9"/>
    <w:rsid w:val="00CB35EC"/>
    <w:rsid w:val="00CB387B"/>
    <w:rsid w:val="00CB44A2"/>
    <w:rsid w:val="00CB484F"/>
    <w:rsid w:val="00CB4943"/>
    <w:rsid w:val="00CB532C"/>
    <w:rsid w:val="00CB5966"/>
    <w:rsid w:val="00CB78CC"/>
    <w:rsid w:val="00CB7B0A"/>
    <w:rsid w:val="00CB7B0D"/>
    <w:rsid w:val="00CC0017"/>
    <w:rsid w:val="00CC03EA"/>
    <w:rsid w:val="00CC217A"/>
    <w:rsid w:val="00CC2640"/>
    <w:rsid w:val="00CC3DEF"/>
    <w:rsid w:val="00CC6F4F"/>
    <w:rsid w:val="00CC7341"/>
    <w:rsid w:val="00CC745A"/>
    <w:rsid w:val="00CC7A09"/>
    <w:rsid w:val="00CD0873"/>
    <w:rsid w:val="00CD2056"/>
    <w:rsid w:val="00CD29EC"/>
    <w:rsid w:val="00CD3372"/>
    <w:rsid w:val="00CD35B3"/>
    <w:rsid w:val="00CD38FE"/>
    <w:rsid w:val="00CD50E5"/>
    <w:rsid w:val="00CD53D0"/>
    <w:rsid w:val="00CD58B4"/>
    <w:rsid w:val="00CD7EF8"/>
    <w:rsid w:val="00CE0224"/>
    <w:rsid w:val="00CE0734"/>
    <w:rsid w:val="00CE08BE"/>
    <w:rsid w:val="00CE10C0"/>
    <w:rsid w:val="00CE1646"/>
    <w:rsid w:val="00CE2049"/>
    <w:rsid w:val="00CE2790"/>
    <w:rsid w:val="00CE286C"/>
    <w:rsid w:val="00CE2DDF"/>
    <w:rsid w:val="00CE3E62"/>
    <w:rsid w:val="00CE4263"/>
    <w:rsid w:val="00CE443B"/>
    <w:rsid w:val="00CE4521"/>
    <w:rsid w:val="00CE4B01"/>
    <w:rsid w:val="00CE6099"/>
    <w:rsid w:val="00CE68F7"/>
    <w:rsid w:val="00CE7C06"/>
    <w:rsid w:val="00CF0774"/>
    <w:rsid w:val="00CF0FFB"/>
    <w:rsid w:val="00CF13A6"/>
    <w:rsid w:val="00CF1E62"/>
    <w:rsid w:val="00CF21C0"/>
    <w:rsid w:val="00CF30E4"/>
    <w:rsid w:val="00CF32E5"/>
    <w:rsid w:val="00CF38EF"/>
    <w:rsid w:val="00CF4568"/>
    <w:rsid w:val="00CF470A"/>
    <w:rsid w:val="00CF5278"/>
    <w:rsid w:val="00CF5A97"/>
    <w:rsid w:val="00CF6321"/>
    <w:rsid w:val="00CF6F2E"/>
    <w:rsid w:val="00CF7CDD"/>
    <w:rsid w:val="00D01045"/>
    <w:rsid w:val="00D014B2"/>
    <w:rsid w:val="00D015E1"/>
    <w:rsid w:val="00D015F9"/>
    <w:rsid w:val="00D01A7C"/>
    <w:rsid w:val="00D01EA5"/>
    <w:rsid w:val="00D02942"/>
    <w:rsid w:val="00D03C64"/>
    <w:rsid w:val="00D052E7"/>
    <w:rsid w:val="00D05882"/>
    <w:rsid w:val="00D05BA2"/>
    <w:rsid w:val="00D06B8F"/>
    <w:rsid w:val="00D07412"/>
    <w:rsid w:val="00D0747D"/>
    <w:rsid w:val="00D074BB"/>
    <w:rsid w:val="00D0790D"/>
    <w:rsid w:val="00D107DB"/>
    <w:rsid w:val="00D10D80"/>
    <w:rsid w:val="00D12205"/>
    <w:rsid w:val="00D12DF7"/>
    <w:rsid w:val="00D15BF5"/>
    <w:rsid w:val="00D165BD"/>
    <w:rsid w:val="00D1760A"/>
    <w:rsid w:val="00D1787A"/>
    <w:rsid w:val="00D17957"/>
    <w:rsid w:val="00D179CA"/>
    <w:rsid w:val="00D17C55"/>
    <w:rsid w:val="00D20F23"/>
    <w:rsid w:val="00D225B3"/>
    <w:rsid w:val="00D2462F"/>
    <w:rsid w:val="00D24BFF"/>
    <w:rsid w:val="00D25D11"/>
    <w:rsid w:val="00D26185"/>
    <w:rsid w:val="00D26B1C"/>
    <w:rsid w:val="00D277E2"/>
    <w:rsid w:val="00D309CF"/>
    <w:rsid w:val="00D30BD5"/>
    <w:rsid w:val="00D30ECE"/>
    <w:rsid w:val="00D31A12"/>
    <w:rsid w:val="00D322F8"/>
    <w:rsid w:val="00D32B7F"/>
    <w:rsid w:val="00D3511B"/>
    <w:rsid w:val="00D3529A"/>
    <w:rsid w:val="00D35CDC"/>
    <w:rsid w:val="00D36165"/>
    <w:rsid w:val="00D36825"/>
    <w:rsid w:val="00D3773A"/>
    <w:rsid w:val="00D40258"/>
    <w:rsid w:val="00D41348"/>
    <w:rsid w:val="00D414DD"/>
    <w:rsid w:val="00D41E57"/>
    <w:rsid w:val="00D41F1E"/>
    <w:rsid w:val="00D41F64"/>
    <w:rsid w:val="00D42905"/>
    <w:rsid w:val="00D42BFB"/>
    <w:rsid w:val="00D434D3"/>
    <w:rsid w:val="00D44C7C"/>
    <w:rsid w:val="00D450CF"/>
    <w:rsid w:val="00D466B7"/>
    <w:rsid w:val="00D47624"/>
    <w:rsid w:val="00D501E1"/>
    <w:rsid w:val="00D51FBD"/>
    <w:rsid w:val="00D525A8"/>
    <w:rsid w:val="00D525FC"/>
    <w:rsid w:val="00D53276"/>
    <w:rsid w:val="00D53668"/>
    <w:rsid w:val="00D5394C"/>
    <w:rsid w:val="00D54D0F"/>
    <w:rsid w:val="00D5506F"/>
    <w:rsid w:val="00D551D5"/>
    <w:rsid w:val="00D56435"/>
    <w:rsid w:val="00D564B8"/>
    <w:rsid w:val="00D567F0"/>
    <w:rsid w:val="00D56F20"/>
    <w:rsid w:val="00D57941"/>
    <w:rsid w:val="00D57DB5"/>
    <w:rsid w:val="00D60107"/>
    <w:rsid w:val="00D601A1"/>
    <w:rsid w:val="00D60562"/>
    <w:rsid w:val="00D622E0"/>
    <w:rsid w:val="00D626F9"/>
    <w:rsid w:val="00D629F3"/>
    <w:rsid w:val="00D6364A"/>
    <w:rsid w:val="00D6374D"/>
    <w:rsid w:val="00D63EF3"/>
    <w:rsid w:val="00D63F2D"/>
    <w:rsid w:val="00D64DA7"/>
    <w:rsid w:val="00D65488"/>
    <w:rsid w:val="00D66B1D"/>
    <w:rsid w:val="00D70208"/>
    <w:rsid w:val="00D70F57"/>
    <w:rsid w:val="00D725EA"/>
    <w:rsid w:val="00D7278C"/>
    <w:rsid w:val="00D7293E"/>
    <w:rsid w:val="00D737BD"/>
    <w:rsid w:val="00D737CD"/>
    <w:rsid w:val="00D73B58"/>
    <w:rsid w:val="00D73C0C"/>
    <w:rsid w:val="00D7439E"/>
    <w:rsid w:val="00D745F7"/>
    <w:rsid w:val="00D74720"/>
    <w:rsid w:val="00D7538E"/>
    <w:rsid w:val="00D756F1"/>
    <w:rsid w:val="00D75CDE"/>
    <w:rsid w:val="00D77068"/>
    <w:rsid w:val="00D770B1"/>
    <w:rsid w:val="00D772F7"/>
    <w:rsid w:val="00D773BC"/>
    <w:rsid w:val="00D77D3B"/>
    <w:rsid w:val="00D8000D"/>
    <w:rsid w:val="00D8056A"/>
    <w:rsid w:val="00D806E1"/>
    <w:rsid w:val="00D80A62"/>
    <w:rsid w:val="00D80BCF"/>
    <w:rsid w:val="00D81DDC"/>
    <w:rsid w:val="00D81E9E"/>
    <w:rsid w:val="00D82143"/>
    <w:rsid w:val="00D826E5"/>
    <w:rsid w:val="00D82853"/>
    <w:rsid w:val="00D82895"/>
    <w:rsid w:val="00D830AA"/>
    <w:rsid w:val="00D83968"/>
    <w:rsid w:val="00D83D2E"/>
    <w:rsid w:val="00D83D41"/>
    <w:rsid w:val="00D852D5"/>
    <w:rsid w:val="00D85611"/>
    <w:rsid w:val="00D8652D"/>
    <w:rsid w:val="00D86598"/>
    <w:rsid w:val="00D87A42"/>
    <w:rsid w:val="00D87E7A"/>
    <w:rsid w:val="00D90551"/>
    <w:rsid w:val="00D908A5"/>
    <w:rsid w:val="00D90AE9"/>
    <w:rsid w:val="00D91E94"/>
    <w:rsid w:val="00D92090"/>
    <w:rsid w:val="00D9223D"/>
    <w:rsid w:val="00D92D62"/>
    <w:rsid w:val="00D9340A"/>
    <w:rsid w:val="00D93568"/>
    <w:rsid w:val="00D93C0C"/>
    <w:rsid w:val="00D93E69"/>
    <w:rsid w:val="00D944A7"/>
    <w:rsid w:val="00D946AF"/>
    <w:rsid w:val="00D94EC1"/>
    <w:rsid w:val="00D95FFD"/>
    <w:rsid w:val="00D96120"/>
    <w:rsid w:val="00D96A9E"/>
    <w:rsid w:val="00D9737C"/>
    <w:rsid w:val="00DA041F"/>
    <w:rsid w:val="00DA1A16"/>
    <w:rsid w:val="00DA21F2"/>
    <w:rsid w:val="00DA3BAD"/>
    <w:rsid w:val="00DA41ED"/>
    <w:rsid w:val="00DA46FE"/>
    <w:rsid w:val="00DA52F5"/>
    <w:rsid w:val="00DA59F7"/>
    <w:rsid w:val="00DA6486"/>
    <w:rsid w:val="00DA7ABD"/>
    <w:rsid w:val="00DA7F2B"/>
    <w:rsid w:val="00DB163F"/>
    <w:rsid w:val="00DB1941"/>
    <w:rsid w:val="00DB1F82"/>
    <w:rsid w:val="00DB25F3"/>
    <w:rsid w:val="00DB269D"/>
    <w:rsid w:val="00DB49C3"/>
    <w:rsid w:val="00DB5F8C"/>
    <w:rsid w:val="00DB6879"/>
    <w:rsid w:val="00DB6A1C"/>
    <w:rsid w:val="00DB716C"/>
    <w:rsid w:val="00DB781E"/>
    <w:rsid w:val="00DB7AF4"/>
    <w:rsid w:val="00DC0493"/>
    <w:rsid w:val="00DC055C"/>
    <w:rsid w:val="00DC13A5"/>
    <w:rsid w:val="00DC1B1B"/>
    <w:rsid w:val="00DC21FA"/>
    <w:rsid w:val="00DC2281"/>
    <w:rsid w:val="00DC3FB8"/>
    <w:rsid w:val="00DC4874"/>
    <w:rsid w:val="00DC498D"/>
    <w:rsid w:val="00DC5B25"/>
    <w:rsid w:val="00DC5D00"/>
    <w:rsid w:val="00DC6126"/>
    <w:rsid w:val="00DC6642"/>
    <w:rsid w:val="00DC68B0"/>
    <w:rsid w:val="00DC6A7F"/>
    <w:rsid w:val="00DC7335"/>
    <w:rsid w:val="00DC7418"/>
    <w:rsid w:val="00DC75DD"/>
    <w:rsid w:val="00DC7849"/>
    <w:rsid w:val="00DC78C7"/>
    <w:rsid w:val="00DC7D01"/>
    <w:rsid w:val="00DD05E1"/>
    <w:rsid w:val="00DD172E"/>
    <w:rsid w:val="00DD1E76"/>
    <w:rsid w:val="00DD20E9"/>
    <w:rsid w:val="00DD3129"/>
    <w:rsid w:val="00DD5F92"/>
    <w:rsid w:val="00DD60C2"/>
    <w:rsid w:val="00DD6F80"/>
    <w:rsid w:val="00DD7119"/>
    <w:rsid w:val="00DE0378"/>
    <w:rsid w:val="00DE08C2"/>
    <w:rsid w:val="00DE0A12"/>
    <w:rsid w:val="00DE0B10"/>
    <w:rsid w:val="00DE14A9"/>
    <w:rsid w:val="00DE15A5"/>
    <w:rsid w:val="00DE173B"/>
    <w:rsid w:val="00DE19E6"/>
    <w:rsid w:val="00DE2772"/>
    <w:rsid w:val="00DE2950"/>
    <w:rsid w:val="00DE2BD4"/>
    <w:rsid w:val="00DE314F"/>
    <w:rsid w:val="00DE3409"/>
    <w:rsid w:val="00DE3440"/>
    <w:rsid w:val="00DE51EB"/>
    <w:rsid w:val="00DE5D03"/>
    <w:rsid w:val="00DF0EBF"/>
    <w:rsid w:val="00DF0FA6"/>
    <w:rsid w:val="00DF16A5"/>
    <w:rsid w:val="00DF2A45"/>
    <w:rsid w:val="00DF3D73"/>
    <w:rsid w:val="00DF4197"/>
    <w:rsid w:val="00DF463E"/>
    <w:rsid w:val="00DF4F65"/>
    <w:rsid w:val="00DF503C"/>
    <w:rsid w:val="00DF5A91"/>
    <w:rsid w:val="00DF67DF"/>
    <w:rsid w:val="00DF6D6B"/>
    <w:rsid w:val="00DF6F90"/>
    <w:rsid w:val="00DF6FDD"/>
    <w:rsid w:val="00DF7653"/>
    <w:rsid w:val="00E00868"/>
    <w:rsid w:val="00E01191"/>
    <w:rsid w:val="00E01370"/>
    <w:rsid w:val="00E01893"/>
    <w:rsid w:val="00E019D2"/>
    <w:rsid w:val="00E020F1"/>
    <w:rsid w:val="00E03A0C"/>
    <w:rsid w:val="00E03F27"/>
    <w:rsid w:val="00E0465F"/>
    <w:rsid w:val="00E052C1"/>
    <w:rsid w:val="00E0724C"/>
    <w:rsid w:val="00E07838"/>
    <w:rsid w:val="00E078A4"/>
    <w:rsid w:val="00E079BE"/>
    <w:rsid w:val="00E10066"/>
    <w:rsid w:val="00E10CB7"/>
    <w:rsid w:val="00E10E7D"/>
    <w:rsid w:val="00E114A4"/>
    <w:rsid w:val="00E11BD8"/>
    <w:rsid w:val="00E13090"/>
    <w:rsid w:val="00E133F1"/>
    <w:rsid w:val="00E13B3D"/>
    <w:rsid w:val="00E14100"/>
    <w:rsid w:val="00E14640"/>
    <w:rsid w:val="00E14C94"/>
    <w:rsid w:val="00E165B8"/>
    <w:rsid w:val="00E169EA"/>
    <w:rsid w:val="00E16A61"/>
    <w:rsid w:val="00E200B4"/>
    <w:rsid w:val="00E202FA"/>
    <w:rsid w:val="00E20936"/>
    <w:rsid w:val="00E20966"/>
    <w:rsid w:val="00E20BAB"/>
    <w:rsid w:val="00E20CC4"/>
    <w:rsid w:val="00E20F72"/>
    <w:rsid w:val="00E214AB"/>
    <w:rsid w:val="00E21542"/>
    <w:rsid w:val="00E21993"/>
    <w:rsid w:val="00E219E7"/>
    <w:rsid w:val="00E21C2E"/>
    <w:rsid w:val="00E21CA6"/>
    <w:rsid w:val="00E221EA"/>
    <w:rsid w:val="00E226A9"/>
    <w:rsid w:val="00E22865"/>
    <w:rsid w:val="00E23204"/>
    <w:rsid w:val="00E241C2"/>
    <w:rsid w:val="00E24BB0"/>
    <w:rsid w:val="00E24CC9"/>
    <w:rsid w:val="00E264C5"/>
    <w:rsid w:val="00E264F9"/>
    <w:rsid w:val="00E26D79"/>
    <w:rsid w:val="00E30078"/>
    <w:rsid w:val="00E31B74"/>
    <w:rsid w:val="00E31CEC"/>
    <w:rsid w:val="00E325E7"/>
    <w:rsid w:val="00E328D4"/>
    <w:rsid w:val="00E334E3"/>
    <w:rsid w:val="00E344A6"/>
    <w:rsid w:val="00E35CDA"/>
    <w:rsid w:val="00E363C2"/>
    <w:rsid w:val="00E36503"/>
    <w:rsid w:val="00E36534"/>
    <w:rsid w:val="00E3688C"/>
    <w:rsid w:val="00E36A89"/>
    <w:rsid w:val="00E3736E"/>
    <w:rsid w:val="00E374DF"/>
    <w:rsid w:val="00E37EE0"/>
    <w:rsid w:val="00E41404"/>
    <w:rsid w:val="00E42A29"/>
    <w:rsid w:val="00E42E17"/>
    <w:rsid w:val="00E42FA8"/>
    <w:rsid w:val="00E4410C"/>
    <w:rsid w:val="00E4411D"/>
    <w:rsid w:val="00E4424A"/>
    <w:rsid w:val="00E442B7"/>
    <w:rsid w:val="00E44318"/>
    <w:rsid w:val="00E44D9D"/>
    <w:rsid w:val="00E44E32"/>
    <w:rsid w:val="00E451A3"/>
    <w:rsid w:val="00E4580B"/>
    <w:rsid w:val="00E46C5B"/>
    <w:rsid w:val="00E46EEB"/>
    <w:rsid w:val="00E514AB"/>
    <w:rsid w:val="00E520D4"/>
    <w:rsid w:val="00E5279D"/>
    <w:rsid w:val="00E53F5B"/>
    <w:rsid w:val="00E5586A"/>
    <w:rsid w:val="00E559F5"/>
    <w:rsid w:val="00E56C82"/>
    <w:rsid w:val="00E5718B"/>
    <w:rsid w:val="00E57B12"/>
    <w:rsid w:val="00E57F89"/>
    <w:rsid w:val="00E61276"/>
    <w:rsid w:val="00E61A21"/>
    <w:rsid w:val="00E61E1F"/>
    <w:rsid w:val="00E63080"/>
    <w:rsid w:val="00E63835"/>
    <w:rsid w:val="00E63A3E"/>
    <w:rsid w:val="00E646E8"/>
    <w:rsid w:val="00E64C7E"/>
    <w:rsid w:val="00E6595F"/>
    <w:rsid w:val="00E66F3D"/>
    <w:rsid w:val="00E66F69"/>
    <w:rsid w:val="00E670D5"/>
    <w:rsid w:val="00E67B30"/>
    <w:rsid w:val="00E700EC"/>
    <w:rsid w:val="00E711F8"/>
    <w:rsid w:val="00E71460"/>
    <w:rsid w:val="00E7191D"/>
    <w:rsid w:val="00E7260A"/>
    <w:rsid w:val="00E72A07"/>
    <w:rsid w:val="00E736ED"/>
    <w:rsid w:val="00E73A8B"/>
    <w:rsid w:val="00E73C84"/>
    <w:rsid w:val="00E75BE0"/>
    <w:rsid w:val="00E75C15"/>
    <w:rsid w:val="00E81F83"/>
    <w:rsid w:val="00E8257C"/>
    <w:rsid w:val="00E83D0E"/>
    <w:rsid w:val="00E840C5"/>
    <w:rsid w:val="00E841BA"/>
    <w:rsid w:val="00E84F03"/>
    <w:rsid w:val="00E8652B"/>
    <w:rsid w:val="00E86BED"/>
    <w:rsid w:val="00E873DA"/>
    <w:rsid w:val="00E876F0"/>
    <w:rsid w:val="00E879C5"/>
    <w:rsid w:val="00E9119F"/>
    <w:rsid w:val="00E92403"/>
    <w:rsid w:val="00E92B83"/>
    <w:rsid w:val="00E943AD"/>
    <w:rsid w:val="00E94902"/>
    <w:rsid w:val="00E94AD2"/>
    <w:rsid w:val="00E94FCB"/>
    <w:rsid w:val="00E95992"/>
    <w:rsid w:val="00E95C8D"/>
    <w:rsid w:val="00E95D43"/>
    <w:rsid w:val="00E96770"/>
    <w:rsid w:val="00E975DE"/>
    <w:rsid w:val="00E97D93"/>
    <w:rsid w:val="00E97FCC"/>
    <w:rsid w:val="00EA0943"/>
    <w:rsid w:val="00EA0D9A"/>
    <w:rsid w:val="00EA1EE9"/>
    <w:rsid w:val="00EA2614"/>
    <w:rsid w:val="00EA3932"/>
    <w:rsid w:val="00EA3C68"/>
    <w:rsid w:val="00EA47D0"/>
    <w:rsid w:val="00EA480F"/>
    <w:rsid w:val="00EA4ACC"/>
    <w:rsid w:val="00EA57F5"/>
    <w:rsid w:val="00EA6892"/>
    <w:rsid w:val="00EA6A7E"/>
    <w:rsid w:val="00EB227D"/>
    <w:rsid w:val="00EB24E4"/>
    <w:rsid w:val="00EB2B8E"/>
    <w:rsid w:val="00EB3FDD"/>
    <w:rsid w:val="00EB5086"/>
    <w:rsid w:val="00EB568F"/>
    <w:rsid w:val="00EB56A9"/>
    <w:rsid w:val="00EB5885"/>
    <w:rsid w:val="00EB6683"/>
    <w:rsid w:val="00EB6C0A"/>
    <w:rsid w:val="00EB6FAA"/>
    <w:rsid w:val="00EB7514"/>
    <w:rsid w:val="00EB7F67"/>
    <w:rsid w:val="00EC0F77"/>
    <w:rsid w:val="00EC1F7E"/>
    <w:rsid w:val="00EC3F71"/>
    <w:rsid w:val="00EC4681"/>
    <w:rsid w:val="00EC4A79"/>
    <w:rsid w:val="00EC52E4"/>
    <w:rsid w:val="00EC5570"/>
    <w:rsid w:val="00EC6586"/>
    <w:rsid w:val="00EC6C80"/>
    <w:rsid w:val="00EC7180"/>
    <w:rsid w:val="00EC728E"/>
    <w:rsid w:val="00ED0496"/>
    <w:rsid w:val="00ED5545"/>
    <w:rsid w:val="00ED5721"/>
    <w:rsid w:val="00ED5FC7"/>
    <w:rsid w:val="00ED6CBD"/>
    <w:rsid w:val="00ED70C3"/>
    <w:rsid w:val="00ED78C9"/>
    <w:rsid w:val="00ED7954"/>
    <w:rsid w:val="00ED7D3C"/>
    <w:rsid w:val="00EE2443"/>
    <w:rsid w:val="00EE2EA5"/>
    <w:rsid w:val="00EE337B"/>
    <w:rsid w:val="00EE367C"/>
    <w:rsid w:val="00EE4A0E"/>
    <w:rsid w:val="00EE4A76"/>
    <w:rsid w:val="00EE6B50"/>
    <w:rsid w:val="00EE6DC4"/>
    <w:rsid w:val="00EE6F68"/>
    <w:rsid w:val="00EE76E2"/>
    <w:rsid w:val="00EE7987"/>
    <w:rsid w:val="00EE7DBE"/>
    <w:rsid w:val="00EE7EB6"/>
    <w:rsid w:val="00EF03C8"/>
    <w:rsid w:val="00EF1E29"/>
    <w:rsid w:val="00EF2743"/>
    <w:rsid w:val="00EF2D35"/>
    <w:rsid w:val="00EF32C1"/>
    <w:rsid w:val="00EF36A5"/>
    <w:rsid w:val="00EF3921"/>
    <w:rsid w:val="00EF4266"/>
    <w:rsid w:val="00EF533C"/>
    <w:rsid w:val="00EF5C9C"/>
    <w:rsid w:val="00EF67F4"/>
    <w:rsid w:val="00EF6C4C"/>
    <w:rsid w:val="00EF6E68"/>
    <w:rsid w:val="00EF728F"/>
    <w:rsid w:val="00F00AB5"/>
    <w:rsid w:val="00F028F1"/>
    <w:rsid w:val="00F03145"/>
    <w:rsid w:val="00F0396F"/>
    <w:rsid w:val="00F03DA6"/>
    <w:rsid w:val="00F06A51"/>
    <w:rsid w:val="00F06D70"/>
    <w:rsid w:val="00F070C7"/>
    <w:rsid w:val="00F07DCA"/>
    <w:rsid w:val="00F104A6"/>
    <w:rsid w:val="00F105B4"/>
    <w:rsid w:val="00F1089F"/>
    <w:rsid w:val="00F1141E"/>
    <w:rsid w:val="00F11C95"/>
    <w:rsid w:val="00F11D8B"/>
    <w:rsid w:val="00F122EE"/>
    <w:rsid w:val="00F12C18"/>
    <w:rsid w:val="00F149F6"/>
    <w:rsid w:val="00F14CCC"/>
    <w:rsid w:val="00F165BC"/>
    <w:rsid w:val="00F228C4"/>
    <w:rsid w:val="00F23EA3"/>
    <w:rsid w:val="00F24B5B"/>
    <w:rsid w:val="00F25032"/>
    <w:rsid w:val="00F25265"/>
    <w:rsid w:val="00F25503"/>
    <w:rsid w:val="00F258C1"/>
    <w:rsid w:val="00F26139"/>
    <w:rsid w:val="00F262E1"/>
    <w:rsid w:val="00F26529"/>
    <w:rsid w:val="00F26B81"/>
    <w:rsid w:val="00F26C32"/>
    <w:rsid w:val="00F30177"/>
    <w:rsid w:val="00F31644"/>
    <w:rsid w:val="00F32DEA"/>
    <w:rsid w:val="00F332C4"/>
    <w:rsid w:val="00F33814"/>
    <w:rsid w:val="00F34776"/>
    <w:rsid w:val="00F34A50"/>
    <w:rsid w:val="00F3512F"/>
    <w:rsid w:val="00F36464"/>
    <w:rsid w:val="00F36705"/>
    <w:rsid w:val="00F36776"/>
    <w:rsid w:val="00F36B90"/>
    <w:rsid w:val="00F37345"/>
    <w:rsid w:val="00F40117"/>
    <w:rsid w:val="00F402D4"/>
    <w:rsid w:val="00F407B1"/>
    <w:rsid w:val="00F4230D"/>
    <w:rsid w:val="00F4248D"/>
    <w:rsid w:val="00F42C6C"/>
    <w:rsid w:val="00F43037"/>
    <w:rsid w:val="00F43293"/>
    <w:rsid w:val="00F43679"/>
    <w:rsid w:val="00F43708"/>
    <w:rsid w:val="00F451CB"/>
    <w:rsid w:val="00F45F83"/>
    <w:rsid w:val="00F465FE"/>
    <w:rsid w:val="00F4721F"/>
    <w:rsid w:val="00F47285"/>
    <w:rsid w:val="00F4742D"/>
    <w:rsid w:val="00F47952"/>
    <w:rsid w:val="00F5010B"/>
    <w:rsid w:val="00F50539"/>
    <w:rsid w:val="00F5096A"/>
    <w:rsid w:val="00F51210"/>
    <w:rsid w:val="00F51F3F"/>
    <w:rsid w:val="00F52469"/>
    <w:rsid w:val="00F52FE9"/>
    <w:rsid w:val="00F55041"/>
    <w:rsid w:val="00F55294"/>
    <w:rsid w:val="00F5604C"/>
    <w:rsid w:val="00F562B2"/>
    <w:rsid w:val="00F56EF3"/>
    <w:rsid w:val="00F56F61"/>
    <w:rsid w:val="00F610EB"/>
    <w:rsid w:val="00F62788"/>
    <w:rsid w:val="00F62F67"/>
    <w:rsid w:val="00F63B77"/>
    <w:rsid w:val="00F6591E"/>
    <w:rsid w:val="00F65BEC"/>
    <w:rsid w:val="00F66A03"/>
    <w:rsid w:val="00F67294"/>
    <w:rsid w:val="00F6757E"/>
    <w:rsid w:val="00F67FE7"/>
    <w:rsid w:val="00F700AB"/>
    <w:rsid w:val="00F701BF"/>
    <w:rsid w:val="00F70452"/>
    <w:rsid w:val="00F707D4"/>
    <w:rsid w:val="00F716F9"/>
    <w:rsid w:val="00F71C4D"/>
    <w:rsid w:val="00F71F6C"/>
    <w:rsid w:val="00F72153"/>
    <w:rsid w:val="00F7261A"/>
    <w:rsid w:val="00F72D1C"/>
    <w:rsid w:val="00F73526"/>
    <w:rsid w:val="00F74732"/>
    <w:rsid w:val="00F74A0C"/>
    <w:rsid w:val="00F7598F"/>
    <w:rsid w:val="00F763F5"/>
    <w:rsid w:val="00F76CBE"/>
    <w:rsid w:val="00F77E46"/>
    <w:rsid w:val="00F8044D"/>
    <w:rsid w:val="00F80B9F"/>
    <w:rsid w:val="00F80BDA"/>
    <w:rsid w:val="00F80E9A"/>
    <w:rsid w:val="00F81409"/>
    <w:rsid w:val="00F8149A"/>
    <w:rsid w:val="00F8243C"/>
    <w:rsid w:val="00F82C3D"/>
    <w:rsid w:val="00F83338"/>
    <w:rsid w:val="00F8408A"/>
    <w:rsid w:val="00F8418A"/>
    <w:rsid w:val="00F843E7"/>
    <w:rsid w:val="00F8548B"/>
    <w:rsid w:val="00F85574"/>
    <w:rsid w:val="00F856B8"/>
    <w:rsid w:val="00F85B34"/>
    <w:rsid w:val="00F85E30"/>
    <w:rsid w:val="00F85E53"/>
    <w:rsid w:val="00F864DE"/>
    <w:rsid w:val="00F87DEB"/>
    <w:rsid w:val="00F90EFD"/>
    <w:rsid w:val="00F91EAC"/>
    <w:rsid w:val="00F923B3"/>
    <w:rsid w:val="00F92551"/>
    <w:rsid w:val="00F933E0"/>
    <w:rsid w:val="00F93488"/>
    <w:rsid w:val="00F936C8"/>
    <w:rsid w:val="00F95733"/>
    <w:rsid w:val="00F958C5"/>
    <w:rsid w:val="00F96BC6"/>
    <w:rsid w:val="00F9701F"/>
    <w:rsid w:val="00F974C4"/>
    <w:rsid w:val="00FA025E"/>
    <w:rsid w:val="00FA0F04"/>
    <w:rsid w:val="00FA19F4"/>
    <w:rsid w:val="00FA23EC"/>
    <w:rsid w:val="00FA2D25"/>
    <w:rsid w:val="00FA409B"/>
    <w:rsid w:val="00FA533C"/>
    <w:rsid w:val="00FA58FB"/>
    <w:rsid w:val="00FA5999"/>
    <w:rsid w:val="00FA7736"/>
    <w:rsid w:val="00FB0587"/>
    <w:rsid w:val="00FB0B72"/>
    <w:rsid w:val="00FB0CAA"/>
    <w:rsid w:val="00FB11E3"/>
    <w:rsid w:val="00FB13F6"/>
    <w:rsid w:val="00FB143B"/>
    <w:rsid w:val="00FB182F"/>
    <w:rsid w:val="00FB23E4"/>
    <w:rsid w:val="00FB23E5"/>
    <w:rsid w:val="00FB24F1"/>
    <w:rsid w:val="00FB2946"/>
    <w:rsid w:val="00FB48D0"/>
    <w:rsid w:val="00FB4B3D"/>
    <w:rsid w:val="00FB5ED7"/>
    <w:rsid w:val="00FB646B"/>
    <w:rsid w:val="00FB67C2"/>
    <w:rsid w:val="00FB7198"/>
    <w:rsid w:val="00FB756D"/>
    <w:rsid w:val="00FB7B34"/>
    <w:rsid w:val="00FC108F"/>
    <w:rsid w:val="00FC2225"/>
    <w:rsid w:val="00FC4915"/>
    <w:rsid w:val="00FC5C82"/>
    <w:rsid w:val="00FC62C9"/>
    <w:rsid w:val="00FC7A28"/>
    <w:rsid w:val="00FD0798"/>
    <w:rsid w:val="00FD082C"/>
    <w:rsid w:val="00FD0B6F"/>
    <w:rsid w:val="00FD18C0"/>
    <w:rsid w:val="00FD1A0F"/>
    <w:rsid w:val="00FD1F10"/>
    <w:rsid w:val="00FD293A"/>
    <w:rsid w:val="00FD2A35"/>
    <w:rsid w:val="00FD2BE5"/>
    <w:rsid w:val="00FD3020"/>
    <w:rsid w:val="00FD328C"/>
    <w:rsid w:val="00FD5050"/>
    <w:rsid w:val="00FE0359"/>
    <w:rsid w:val="00FE0615"/>
    <w:rsid w:val="00FE0838"/>
    <w:rsid w:val="00FE09D6"/>
    <w:rsid w:val="00FE146F"/>
    <w:rsid w:val="00FE1AB3"/>
    <w:rsid w:val="00FE266C"/>
    <w:rsid w:val="00FE2BA0"/>
    <w:rsid w:val="00FE2C4D"/>
    <w:rsid w:val="00FE2FD5"/>
    <w:rsid w:val="00FE35CE"/>
    <w:rsid w:val="00FE4B75"/>
    <w:rsid w:val="00FE4CD5"/>
    <w:rsid w:val="00FE4D1A"/>
    <w:rsid w:val="00FE50CE"/>
    <w:rsid w:val="00FE50DA"/>
    <w:rsid w:val="00FE67F9"/>
    <w:rsid w:val="00FF1089"/>
    <w:rsid w:val="00FF1889"/>
    <w:rsid w:val="00FF35E0"/>
    <w:rsid w:val="00FF392A"/>
    <w:rsid w:val="00FF43F2"/>
    <w:rsid w:val="00FF498E"/>
    <w:rsid w:val="00FF5600"/>
    <w:rsid w:val="00FF56B7"/>
    <w:rsid w:val="00FF5707"/>
    <w:rsid w:val="00FF5AB9"/>
    <w:rsid w:val="00FF72C9"/>
    <w:rsid w:val="00FF7945"/>
    <w:rsid w:val="00FF7A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01138154"/>
  <w15:chartTrackingRefBased/>
  <w15:docId w15:val="{3752F119-6274-4381-98BD-740585A5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widowControl w:val="0"/>
      <w:adjustRightInd w:val="0"/>
      <w:spacing w:line="360" w:lineRule="atLeast"/>
      <w:textAlignment w:val="baseline"/>
    </w:pPr>
    <w:rPr>
      <w:sz w:val="24"/>
    </w:rPr>
  </w:style>
  <w:style w:type="paragraph" w:styleId="2">
    <w:name w:val="heading 2"/>
    <w:basedOn w:val="a3"/>
    <w:next w:val="a3"/>
    <w:qFormat/>
    <w:rsid w:val="00226303"/>
    <w:pPr>
      <w:keepNext/>
      <w:spacing w:line="720" w:lineRule="atLeast"/>
      <w:outlineLvl w:val="1"/>
    </w:pPr>
    <w:rPr>
      <w:rFonts w:ascii="Arial" w:eastAsia="新細明體" w:hAnsi="Arial"/>
      <w:b/>
      <w:bCs/>
      <w:sz w:val="48"/>
      <w:szCs w:val="48"/>
    </w:rPr>
  </w:style>
  <w:style w:type="paragraph" w:styleId="4">
    <w:name w:val="heading 4"/>
    <w:basedOn w:val="a3"/>
    <w:next w:val="a3"/>
    <w:qFormat/>
    <w:pPr>
      <w:keepNext/>
      <w:numPr>
        <w:numId w:val="22"/>
      </w:numPr>
      <w:kinsoku w:val="0"/>
      <w:overflowPunct w:val="0"/>
      <w:snapToGrid w:val="0"/>
      <w:spacing w:line="240" w:lineRule="auto"/>
      <w:jc w:val="both"/>
      <w:textAlignment w:val="auto"/>
      <w:outlineLvl w:val="3"/>
    </w:pPr>
    <w:rPr>
      <w:rFonts w:ascii="Arial" w:eastAsia="標楷體" w:hAnsi="Arial"/>
      <w:kern w:val="2"/>
      <w:sz w:val="2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3"/>
    <w:pPr>
      <w:tabs>
        <w:tab w:val="center" w:pos="4153"/>
        <w:tab w:val="right" w:pos="8306"/>
      </w:tabs>
    </w:pPr>
    <w:rPr>
      <w:sz w:val="20"/>
    </w:rPr>
  </w:style>
  <w:style w:type="character" w:styleId="a8">
    <w:name w:val="page number"/>
    <w:basedOn w:val="a4"/>
  </w:style>
  <w:style w:type="paragraph" w:styleId="a9">
    <w:name w:val="header"/>
    <w:basedOn w:val="a3"/>
    <w:pPr>
      <w:tabs>
        <w:tab w:val="center" w:pos="4153"/>
        <w:tab w:val="right" w:pos="8306"/>
      </w:tabs>
    </w:pPr>
    <w:rPr>
      <w:sz w:val="20"/>
    </w:rPr>
  </w:style>
  <w:style w:type="paragraph" w:customStyle="1" w:styleId="1">
    <w:name w:val="樣式1"/>
    <w:basedOn w:val="a3"/>
    <w:pPr>
      <w:spacing w:line="360" w:lineRule="auto"/>
      <w:jc w:val="both"/>
    </w:pPr>
    <w:rPr>
      <w:rFonts w:eastAsia="華康中黑體"/>
      <w:sz w:val="36"/>
    </w:rPr>
  </w:style>
  <w:style w:type="paragraph" w:customStyle="1" w:styleId="20">
    <w:name w:val="樣式2"/>
    <w:basedOn w:val="a3"/>
    <w:pPr>
      <w:spacing w:line="360" w:lineRule="auto"/>
      <w:ind w:firstLine="480"/>
      <w:jc w:val="both"/>
    </w:pPr>
    <w:rPr>
      <w:rFonts w:ascii="華康楷書體W5" w:eastAsia="華康楷書體W5"/>
      <w:sz w:val="26"/>
    </w:rPr>
  </w:style>
  <w:style w:type="paragraph" w:customStyle="1" w:styleId="3">
    <w:name w:val="樣式3"/>
    <w:basedOn w:val="a3"/>
    <w:pPr>
      <w:spacing w:line="360" w:lineRule="auto"/>
      <w:ind w:firstLine="240"/>
      <w:jc w:val="both"/>
    </w:pPr>
    <w:rPr>
      <w:rFonts w:ascii="華康楷書體W5" w:eastAsia="華康楷書體W5"/>
      <w:sz w:val="26"/>
    </w:rPr>
  </w:style>
  <w:style w:type="paragraph" w:customStyle="1" w:styleId="40">
    <w:name w:val="樣式4"/>
    <w:basedOn w:val="a3"/>
    <w:pPr>
      <w:spacing w:line="360" w:lineRule="auto"/>
      <w:ind w:firstLine="360"/>
      <w:jc w:val="both"/>
    </w:pPr>
    <w:rPr>
      <w:rFonts w:ascii="華康中黑體" w:eastAsia="華康中黑體"/>
      <w:sz w:val="32"/>
    </w:rPr>
  </w:style>
  <w:style w:type="paragraph" w:customStyle="1" w:styleId="5">
    <w:name w:val="樣式5"/>
    <w:basedOn w:val="a3"/>
    <w:pPr>
      <w:spacing w:line="360" w:lineRule="auto"/>
      <w:ind w:left="960" w:firstLine="480"/>
      <w:jc w:val="both"/>
    </w:pPr>
    <w:rPr>
      <w:rFonts w:ascii="華康楷書體W5" w:eastAsia="華康楷書體W5"/>
      <w:sz w:val="26"/>
    </w:rPr>
  </w:style>
  <w:style w:type="paragraph" w:customStyle="1" w:styleId="6">
    <w:name w:val="樣式6"/>
    <w:basedOn w:val="a3"/>
    <w:pPr>
      <w:spacing w:line="360" w:lineRule="auto"/>
      <w:ind w:left="1200" w:hanging="240"/>
      <w:jc w:val="both"/>
    </w:pPr>
    <w:rPr>
      <w:rFonts w:ascii="華康楷書體W5" w:eastAsia="華康楷書體W5"/>
      <w:sz w:val="26"/>
    </w:rPr>
  </w:style>
  <w:style w:type="paragraph" w:customStyle="1" w:styleId="7">
    <w:name w:val="樣式7"/>
    <w:basedOn w:val="6"/>
    <w:pPr>
      <w:ind w:left="1446" w:hanging="255"/>
    </w:pPr>
  </w:style>
  <w:style w:type="paragraph" w:styleId="aa">
    <w:name w:val="Plain Text"/>
    <w:basedOn w:val="a3"/>
    <w:rPr>
      <w:rFonts w:ascii="細明體" w:hAnsi="Courier New"/>
    </w:rPr>
  </w:style>
  <w:style w:type="paragraph" w:customStyle="1" w:styleId="ab">
    <w:name w:val="大標題"/>
    <w:basedOn w:val="a3"/>
    <w:pPr>
      <w:tabs>
        <w:tab w:val="left" w:pos="5760"/>
      </w:tabs>
      <w:spacing w:line="600" w:lineRule="atLeast"/>
      <w:jc w:val="center"/>
    </w:pPr>
    <w:rPr>
      <w:rFonts w:ascii="細明體"/>
      <w:b/>
      <w:spacing w:val="20"/>
      <w:sz w:val="42"/>
    </w:rPr>
  </w:style>
  <w:style w:type="paragraph" w:customStyle="1" w:styleId="ac">
    <w:name w:val="壹"/>
    <w:basedOn w:val="a3"/>
    <w:pPr>
      <w:spacing w:after="400" w:line="400" w:lineRule="atLeast"/>
    </w:pPr>
    <w:rPr>
      <w:b/>
      <w:spacing w:val="20"/>
      <w:sz w:val="32"/>
    </w:rPr>
  </w:style>
  <w:style w:type="paragraph" w:customStyle="1" w:styleId="ad">
    <w:name w:val="壹內文"/>
    <w:basedOn w:val="a3"/>
    <w:pPr>
      <w:spacing w:line="480" w:lineRule="exact"/>
      <w:ind w:firstLine="567"/>
      <w:jc w:val="both"/>
    </w:pPr>
    <w:rPr>
      <w:rFonts w:ascii="華康楷書體W5" w:eastAsia="華康楷書體W5"/>
      <w:sz w:val="26"/>
    </w:rPr>
  </w:style>
  <w:style w:type="paragraph" w:customStyle="1" w:styleId="ae">
    <w:name w:val="凸"/>
    <w:basedOn w:val="a3"/>
    <w:pPr>
      <w:spacing w:line="480" w:lineRule="exact"/>
      <w:ind w:left="284" w:hanging="284"/>
      <w:jc w:val="both"/>
    </w:pPr>
    <w:rPr>
      <w:rFonts w:eastAsia="華康楷書體W5"/>
      <w:sz w:val="26"/>
    </w:rPr>
  </w:style>
  <w:style w:type="paragraph" w:customStyle="1" w:styleId="af">
    <w:name w:val="大"/>
    <w:basedOn w:val="a3"/>
    <w:pPr>
      <w:spacing w:before="240" w:after="240" w:line="480" w:lineRule="atLeast"/>
    </w:pPr>
    <w:rPr>
      <w:rFonts w:ascii="華康中黑體" w:eastAsia="華康中黑體"/>
      <w:spacing w:val="20"/>
      <w:sz w:val="28"/>
    </w:rPr>
  </w:style>
  <w:style w:type="paragraph" w:customStyle="1" w:styleId="af0">
    <w:name w:val="內文１"/>
    <w:basedOn w:val="a3"/>
    <w:pPr>
      <w:spacing w:line="480" w:lineRule="atLeast"/>
      <w:ind w:left="284" w:firstLine="567"/>
      <w:jc w:val="both"/>
    </w:pPr>
    <w:rPr>
      <w:rFonts w:eastAsia="華康楷書體W5"/>
      <w:sz w:val="26"/>
    </w:rPr>
  </w:style>
  <w:style w:type="paragraph" w:customStyle="1" w:styleId="af1">
    <w:name w:val=""/>
    <w:basedOn w:val="a3"/>
    <w:pPr>
      <w:spacing w:line="480" w:lineRule="atLeast"/>
      <w:ind w:left="568" w:hanging="284"/>
      <w:jc w:val="both"/>
    </w:pPr>
    <w:rPr>
      <w:rFonts w:eastAsia="華康楷書體W5"/>
      <w:sz w:val="26"/>
    </w:rPr>
  </w:style>
  <w:style w:type="paragraph" w:customStyle="1" w:styleId="af2">
    <w:name w:val="貳"/>
    <w:basedOn w:val="ac"/>
    <w:pPr>
      <w:spacing w:before="360"/>
    </w:pPr>
  </w:style>
  <w:style w:type="paragraph" w:customStyle="1" w:styleId="af3">
    <w:name w:val=""/>
    <w:basedOn w:val="af1"/>
    <w:pPr>
      <w:ind w:left="851"/>
    </w:pPr>
  </w:style>
  <w:style w:type="paragraph" w:customStyle="1" w:styleId="af4">
    <w:name w:val="內文"/>
    <w:basedOn w:val="af1"/>
    <w:pPr>
      <w:ind w:left="567" w:firstLine="567"/>
    </w:pPr>
  </w:style>
  <w:style w:type="paragraph" w:styleId="af5">
    <w:name w:val="Body Text"/>
    <w:basedOn w:val="a3"/>
    <w:rPr>
      <w:rFonts w:eastAsia="標楷體"/>
      <w:sz w:val="22"/>
    </w:rPr>
  </w:style>
  <w:style w:type="paragraph" w:styleId="af6">
    <w:name w:val="Body Text Indent"/>
    <w:basedOn w:val="a3"/>
    <w:pPr>
      <w:adjustRightInd/>
      <w:spacing w:line="240" w:lineRule="auto"/>
      <w:ind w:left="1080" w:hanging="720"/>
      <w:textAlignment w:val="auto"/>
    </w:pPr>
    <w:rPr>
      <w:rFonts w:eastAsia="標楷體"/>
      <w:kern w:val="2"/>
      <w:sz w:val="36"/>
    </w:rPr>
  </w:style>
  <w:style w:type="paragraph" w:styleId="21">
    <w:name w:val="Body Text 2"/>
    <w:basedOn w:val="a3"/>
    <w:pPr>
      <w:adjustRightInd/>
      <w:spacing w:line="240" w:lineRule="auto"/>
      <w:jc w:val="both"/>
      <w:textAlignment w:val="auto"/>
    </w:pPr>
    <w:rPr>
      <w:rFonts w:eastAsia="華康楷書體W5"/>
      <w:kern w:val="2"/>
      <w:sz w:val="32"/>
    </w:rPr>
  </w:style>
  <w:style w:type="character" w:styleId="af7">
    <w:name w:val="Strong"/>
    <w:qFormat/>
    <w:rPr>
      <w:b/>
      <w:bCs/>
    </w:rPr>
  </w:style>
  <w:style w:type="paragraph" w:styleId="Web">
    <w:name w:val="Normal (Web)"/>
    <w:basedOn w:val="a3"/>
    <w:uiPriority w:val="99"/>
    <w:pPr>
      <w:widowControl/>
      <w:adjustRightInd/>
      <w:spacing w:before="100" w:after="100" w:line="240" w:lineRule="auto"/>
      <w:textAlignment w:val="auto"/>
    </w:pPr>
    <w:rPr>
      <w:rFonts w:ascii="新細明體" w:eastAsia="新細明體"/>
      <w:color w:val="000000"/>
    </w:rPr>
  </w:style>
  <w:style w:type="paragraph" w:customStyle="1" w:styleId="aiRaar">
    <w:name w:val="aiRa?a|r"/>
    <w:basedOn w:val="a3"/>
    <w:pPr>
      <w:widowControl/>
      <w:overflowPunct w:val="0"/>
      <w:autoSpaceDE w:val="0"/>
      <w:autoSpaceDN w:val="0"/>
      <w:spacing w:line="240" w:lineRule="auto"/>
    </w:pPr>
    <w:rPr>
      <w:rFonts w:ascii="文鼎標準楷體" w:eastAsia="文鼎標準楷體"/>
      <w:sz w:val="28"/>
    </w:rPr>
  </w:style>
  <w:style w:type="paragraph" w:styleId="af8">
    <w:name w:val="annotation text"/>
    <w:basedOn w:val="a3"/>
    <w:semiHidden/>
    <w:pPr>
      <w:spacing w:line="240" w:lineRule="auto"/>
    </w:pPr>
    <w:rPr>
      <w:rFonts w:eastAsia="新細明體"/>
      <w:kern w:val="2"/>
    </w:rPr>
  </w:style>
  <w:style w:type="paragraph" w:customStyle="1" w:styleId="10">
    <w:name w:val="純文字1"/>
    <w:basedOn w:val="a3"/>
    <w:pPr>
      <w:spacing w:line="240" w:lineRule="auto"/>
    </w:pPr>
    <w:rPr>
      <w:rFonts w:ascii="細明體" w:hAnsi="Courier New"/>
      <w:kern w:val="2"/>
    </w:rPr>
  </w:style>
  <w:style w:type="paragraph" w:customStyle="1" w:styleId="210">
    <w:name w:val="本文 21"/>
    <w:basedOn w:val="a3"/>
    <w:pPr>
      <w:spacing w:line="240" w:lineRule="auto"/>
      <w:ind w:left="284" w:hanging="284"/>
    </w:pPr>
    <w:rPr>
      <w:rFonts w:ascii="標楷體" w:eastAsia="標楷體"/>
      <w:kern w:val="2"/>
      <w:sz w:val="28"/>
    </w:rPr>
  </w:style>
  <w:style w:type="paragraph" w:styleId="22">
    <w:name w:val="List 2"/>
    <w:basedOn w:val="a3"/>
    <w:pPr>
      <w:spacing w:line="240" w:lineRule="auto"/>
      <w:ind w:left="960" w:hanging="480"/>
    </w:pPr>
    <w:rPr>
      <w:rFonts w:eastAsia="新細明體"/>
      <w:kern w:val="2"/>
    </w:rPr>
  </w:style>
  <w:style w:type="paragraph" w:styleId="23">
    <w:name w:val="Body Text Indent 2"/>
    <w:basedOn w:val="a3"/>
    <w:pPr>
      <w:tabs>
        <w:tab w:val="left" w:pos="851"/>
      </w:tabs>
      <w:spacing w:line="360" w:lineRule="auto"/>
      <w:ind w:left="567" w:hanging="340"/>
      <w:jc w:val="both"/>
    </w:pPr>
    <w:rPr>
      <w:rFonts w:ascii="標楷體" w:eastAsia="標楷體"/>
      <w:sz w:val="28"/>
    </w:rPr>
  </w:style>
  <w:style w:type="paragraph" w:customStyle="1" w:styleId="r">
    <w:name w:val="ªí®æ¤å¦r"/>
    <w:basedOn w:val="a3"/>
    <w:pPr>
      <w:widowControl/>
      <w:overflowPunct w:val="0"/>
      <w:autoSpaceDE w:val="0"/>
      <w:autoSpaceDN w:val="0"/>
      <w:spacing w:line="240" w:lineRule="auto"/>
    </w:pPr>
    <w:rPr>
      <w:rFonts w:ascii="文鼎標準楷體" w:eastAsia="文鼎標準楷體"/>
      <w:sz w:val="28"/>
    </w:rPr>
  </w:style>
  <w:style w:type="paragraph" w:customStyle="1" w:styleId="8">
    <w:name w:val="樣式8"/>
    <w:basedOn w:val="3"/>
    <w:pPr>
      <w:ind w:left="1190" w:hanging="510"/>
    </w:pPr>
  </w:style>
  <w:style w:type="paragraph" w:customStyle="1" w:styleId="9">
    <w:name w:val="樣式9"/>
    <w:basedOn w:val="3"/>
    <w:pPr>
      <w:ind w:left="958" w:firstLine="482"/>
    </w:pPr>
    <w:rPr>
      <w:rFonts w:ascii="標楷體" w:eastAsia="標楷體"/>
    </w:rPr>
  </w:style>
  <w:style w:type="paragraph" w:customStyle="1" w:styleId="100">
    <w:name w:val="樣式10"/>
    <w:basedOn w:val="40"/>
    <w:pPr>
      <w:ind w:firstLine="357"/>
    </w:pPr>
  </w:style>
  <w:style w:type="paragraph" w:customStyle="1" w:styleId="11">
    <w:name w:val="樣式11"/>
    <w:basedOn w:val="8"/>
    <w:pPr>
      <w:ind w:left="1134" w:hanging="227"/>
    </w:pPr>
  </w:style>
  <w:style w:type="paragraph" w:customStyle="1" w:styleId="af9">
    <w:name w:val="表格文字"/>
    <w:pPr>
      <w:widowControl w:val="0"/>
      <w:autoSpaceDE w:val="0"/>
      <w:autoSpaceDN w:val="0"/>
      <w:adjustRightInd w:val="0"/>
    </w:pPr>
    <w:rPr>
      <w:rFonts w:ascii="文鼎標準楷體" w:eastAsia="文鼎標準楷體"/>
      <w:color w:val="000000"/>
      <w:sz w:val="32"/>
    </w:rPr>
  </w:style>
  <w:style w:type="paragraph" w:customStyle="1" w:styleId="a">
    <w:name w:val="分項段落"/>
    <w:basedOn w:val="a3"/>
    <w:pPr>
      <w:widowControl/>
      <w:numPr>
        <w:numId w:val="1"/>
      </w:numPr>
      <w:adjustRightInd/>
      <w:snapToGrid w:val="0"/>
      <w:spacing w:line="360" w:lineRule="exact"/>
      <w:jc w:val="both"/>
    </w:pPr>
    <w:rPr>
      <w:rFonts w:eastAsia="標楷體"/>
      <w:noProof/>
      <w:sz w:val="28"/>
    </w:rPr>
  </w:style>
  <w:style w:type="paragraph" w:customStyle="1" w:styleId="afa">
    <w:name w:val="內文二"/>
    <w:basedOn w:val="a3"/>
    <w:pPr>
      <w:tabs>
        <w:tab w:val="left" w:pos="600"/>
      </w:tabs>
      <w:kinsoku w:val="0"/>
      <w:spacing w:before="120" w:line="600" w:lineRule="atLeast"/>
      <w:ind w:left="1560" w:hanging="426"/>
    </w:pPr>
    <w:rPr>
      <w:rFonts w:ascii="華康中楷體" w:eastAsia="華康中楷體"/>
      <w:spacing w:val="26"/>
      <w:sz w:val="36"/>
    </w:rPr>
  </w:style>
  <w:style w:type="paragraph" w:customStyle="1" w:styleId="afb">
    <w:name w:val="說明"/>
    <w:basedOn w:val="af6"/>
    <w:pPr>
      <w:snapToGrid w:val="0"/>
      <w:spacing w:line="500" w:lineRule="exact"/>
      <w:ind w:left="964" w:hanging="964"/>
    </w:pPr>
    <w:rPr>
      <w:rFonts w:ascii="Arial" w:hAnsi="Arial"/>
      <w:sz w:val="32"/>
    </w:rPr>
  </w:style>
  <w:style w:type="paragraph" w:customStyle="1" w:styleId="652">
    <w:name w:val="樣式652"/>
    <w:basedOn w:val="a3"/>
    <w:pPr>
      <w:spacing w:line="320" w:lineRule="exact"/>
    </w:pPr>
    <w:rPr>
      <w:rFonts w:eastAsia="新細明體"/>
    </w:rPr>
  </w:style>
  <w:style w:type="paragraph" w:customStyle="1" w:styleId="afc">
    <w:name w:val="一"/>
    <w:basedOn w:val="a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before="120" w:line="240" w:lineRule="auto"/>
      <w:ind w:left="567" w:hanging="567"/>
      <w:jc w:val="both"/>
    </w:pPr>
    <w:rPr>
      <w:rFonts w:ascii="文鼎中楷" w:eastAsia="文鼎中楷"/>
      <w:kern w:val="2"/>
      <w:sz w:val="28"/>
    </w:rPr>
  </w:style>
  <w:style w:type="character" w:styleId="afd">
    <w:name w:val="annotation reference"/>
    <w:semiHidden/>
    <w:rPr>
      <w:sz w:val="18"/>
      <w:szCs w:val="18"/>
    </w:rPr>
  </w:style>
  <w:style w:type="paragraph" w:customStyle="1" w:styleId="k2a">
    <w:name w:val="k2a"/>
    <w:basedOn w:val="a3"/>
    <w:pPr>
      <w:tabs>
        <w:tab w:val="left" w:pos="960"/>
        <w:tab w:val="left" w:pos="1920"/>
        <w:tab w:val="left" w:pos="2880"/>
        <w:tab w:val="left" w:pos="3840"/>
        <w:tab w:val="left" w:pos="4800"/>
        <w:tab w:val="left" w:pos="5760"/>
      </w:tabs>
      <w:overflowPunct w:val="0"/>
      <w:autoSpaceDE w:val="0"/>
      <w:autoSpaceDN w:val="0"/>
      <w:spacing w:line="450" w:lineRule="atLeast"/>
      <w:ind w:left="568" w:hanging="284"/>
      <w:jc w:val="both"/>
      <w:textAlignment w:val="auto"/>
    </w:pPr>
    <w:rPr>
      <w:rFonts w:ascii="文鼎中楷" w:eastAsia="文鼎中楷" w:hint="eastAsia"/>
      <w:sz w:val="28"/>
    </w:rPr>
  </w:style>
  <w:style w:type="paragraph" w:customStyle="1" w:styleId="afe">
    <w:name w:val="１．"/>
    <w:basedOn w:val="a3"/>
    <w:autoRedefine/>
    <w:pPr>
      <w:kinsoku w:val="0"/>
      <w:adjustRightInd/>
      <w:spacing w:line="480" w:lineRule="exact"/>
      <w:ind w:left="264" w:right="24" w:hanging="240"/>
      <w:jc w:val="both"/>
      <w:textAlignment w:val="auto"/>
    </w:pPr>
    <w:rPr>
      <w:rFonts w:ascii="標楷體" w:eastAsia="標楷體"/>
      <w:color w:val="000000"/>
      <w:kern w:val="2"/>
    </w:rPr>
  </w:style>
  <w:style w:type="paragraph" w:customStyle="1" w:styleId="12">
    <w:name w:val="樣式12"/>
    <w:basedOn w:val="40"/>
    <w:pPr>
      <w:spacing w:before="360"/>
      <w:ind w:left="357" w:firstLine="0"/>
    </w:pPr>
    <w:rPr>
      <w:rFonts w:ascii="標楷體" w:eastAsia="標楷體"/>
      <w:sz w:val="36"/>
    </w:rPr>
  </w:style>
  <w:style w:type="paragraph" w:customStyle="1" w:styleId="13">
    <w:name w:val="樣式13"/>
    <w:basedOn w:val="3"/>
    <w:pPr>
      <w:ind w:left="1077" w:firstLine="482"/>
    </w:pPr>
    <w:rPr>
      <w:rFonts w:ascii="標楷體" w:eastAsia="標楷體"/>
      <w:sz w:val="28"/>
    </w:rPr>
  </w:style>
  <w:style w:type="paragraph" w:customStyle="1" w:styleId="14">
    <w:name w:val="樣式14"/>
    <w:basedOn w:val="3"/>
    <w:pPr>
      <w:ind w:left="1361" w:hanging="284"/>
    </w:pPr>
    <w:rPr>
      <w:rFonts w:ascii="標楷體" w:eastAsia="標楷體"/>
      <w:sz w:val="28"/>
    </w:rPr>
  </w:style>
  <w:style w:type="paragraph" w:styleId="aff">
    <w:name w:val="annotation subject"/>
    <w:basedOn w:val="af8"/>
    <w:next w:val="af8"/>
    <w:semiHidden/>
    <w:pPr>
      <w:spacing w:line="360" w:lineRule="atLeast"/>
    </w:pPr>
    <w:rPr>
      <w:rFonts w:eastAsia="細明體"/>
      <w:b/>
      <w:bCs/>
      <w:kern w:val="0"/>
    </w:rPr>
  </w:style>
  <w:style w:type="paragraph" w:customStyle="1" w:styleId="a0">
    <w:name w:val="(樣式)"/>
    <w:basedOn w:val="14"/>
    <w:pPr>
      <w:numPr>
        <w:numId w:val="3"/>
      </w:numPr>
      <w:spacing w:line="560" w:lineRule="exact"/>
    </w:pPr>
    <w:rPr>
      <w:rFonts w:ascii="Times New Roman"/>
      <w:color w:val="0000FF"/>
      <w:spacing w:val="-6"/>
    </w:rPr>
  </w:style>
  <w:style w:type="paragraph" w:customStyle="1" w:styleId="a1">
    <w:name w:val="樣式（新）"/>
    <w:basedOn w:val="14"/>
    <w:pPr>
      <w:numPr>
        <w:numId w:val="4"/>
      </w:numPr>
      <w:spacing w:line="560" w:lineRule="exact"/>
    </w:pPr>
    <w:rPr>
      <w:rFonts w:ascii="Times New Roman"/>
      <w:color w:val="000000"/>
      <w:spacing w:val="-6"/>
    </w:rPr>
  </w:style>
  <w:style w:type="paragraph" w:styleId="aff0">
    <w:name w:val="Balloon Text"/>
    <w:basedOn w:val="a3"/>
    <w:semiHidden/>
    <w:rPr>
      <w:rFonts w:ascii="Arial" w:eastAsia="新細明體" w:hAnsi="Arial"/>
      <w:sz w:val="18"/>
      <w:szCs w:val="18"/>
    </w:rPr>
  </w:style>
  <w:style w:type="paragraph" w:customStyle="1" w:styleId="aff1">
    <w:name w:val="平"/>
    <w:basedOn w:val="a3"/>
    <w:pPr>
      <w:kinsoku w:val="0"/>
      <w:adjustRightInd/>
      <w:spacing w:line="480" w:lineRule="exact"/>
      <w:ind w:leftChars="25" w:left="25" w:rightChars="25" w:right="25"/>
      <w:jc w:val="both"/>
      <w:textAlignment w:val="auto"/>
    </w:pPr>
    <w:rPr>
      <w:rFonts w:ascii="標楷體" w:eastAsia="標楷體"/>
      <w:kern w:val="2"/>
    </w:rPr>
  </w:style>
  <w:style w:type="paragraph" w:customStyle="1" w:styleId="15">
    <w:name w:val="1."/>
    <w:basedOn w:val="a3"/>
    <w:pPr>
      <w:adjustRightInd/>
      <w:spacing w:line="480" w:lineRule="exact"/>
      <w:ind w:leftChars="10" w:left="208" w:rightChars="10" w:right="10" w:hanging="198"/>
      <w:jc w:val="both"/>
      <w:textAlignment w:val="auto"/>
    </w:pPr>
    <w:rPr>
      <w:rFonts w:ascii="標楷體" w:eastAsia="標楷體"/>
      <w:kern w:val="2"/>
      <w:szCs w:val="24"/>
    </w:rPr>
  </w:style>
  <w:style w:type="paragraph" w:customStyle="1" w:styleId="a2">
    <w:name w:val="說明條列"/>
    <w:basedOn w:val="a3"/>
    <w:pPr>
      <w:widowControl/>
      <w:numPr>
        <w:numId w:val="21"/>
      </w:numPr>
      <w:adjustRightInd/>
      <w:snapToGrid w:val="0"/>
      <w:spacing w:line="240" w:lineRule="auto"/>
    </w:pPr>
    <w:rPr>
      <w:rFonts w:eastAsia="標楷體"/>
      <w:noProof/>
      <w:sz w:val="32"/>
      <w:szCs w:val="32"/>
    </w:rPr>
  </w:style>
  <w:style w:type="paragraph" w:customStyle="1" w:styleId="aff2">
    <w:name w:val="一．"/>
    <w:basedOn w:val="a3"/>
    <w:pPr>
      <w:kinsoku w:val="0"/>
      <w:adjustRightInd/>
      <w:spacing w:line="480" w:lineRule="exact"/>
      <w:ind w:leftChars="25" w:left="220" w:rightChars="25" w:right="25" w:hangingChars="195" w:hanging="195"/>
      <w:jc w:val="both"/>
      <w:textAlignment w:val="auto"/>
    </w:pPr>
    <w:rPr>
      <w:rFonts w:ascii="標楷體" w:eastAsia="標楷體"/>
      <w:kern w:val="2"/>
    </w:rPr>
  </w:style>
  <w:style w:type="paragraph" w:customStyle="1" w:styleId="Char">
    <w:name w:val="字元 字元 Char"/>
    <w:basedOn w:val="a3"/>
    <w:pPr>
      <w:widowControl/>
      <w:adjustRightInd/>
      <w:spacing w:after="160" w:line="240" w:lineRule="exact"/>
      <w:textAlignment w:val="auto"/>
    </w:pPr>
    <w:rPr>
      <w:rFonts w:ascii="Arial" w:eastAsia="Times New Roman" w:hAnsi="Arial" w:cs="Arial"/>
      <w:sz w:val="20"/>
      <w:lang w:eastAsia="en-US"/>
    </w:rPr>
  </w:style>
  <w:style w:type="paragraph" w:customStyle="1" w:styleId="16">
    <w:name w:val="字元1"/>
    <w:basedOn w:val="a3"/>
    <w:pPr>
      <w:widowControl/>
      <w:adjustRightInd/>
      <w:spacing w:after="160" w:line="240" w:lineRule="exact"/>
      <w:textAlignment w:val="auto"/>
    </w:pPr>
    <w:rPr>
      <w:rFonts w:ascii="Tahoma" w:eastAsia="新細明體" w:hAnsi="Tahoma"/>
      <w:sz w:val="20"/>
      <w:lang w:eastAsia="en-US"/>
    </w:rPr>
  </w:style>
  <w:style w:type="paragraph" w:customStyle="1" w:styleId="aff3">
    <w:name w:val="字元 字元 字元"/>
    <w:basedOn w:val="a3"/>
    <w:semiHidden/>
    <w:rsid w:val="00D0747D"/>
    <w:pPr>
      <w:widowControl/>
      <w:adjustRightInd/>
      <w:spacing w:after="160" w:line="240" w:lineRule="exact"/>
      <w:textAlignment w:val="auto"/>
    </w:pPr>
    <w:rPr>
      <w:rFonts w:ascii="Verdana" w:eastAsia="Times New Roman" w:hAnsi="Verdana"/>
      <w:sz w:val="20"/>
      <w:lang w:eastAsia="en-US"/>
    </w:rPr>
  </w:style>
  <w:style w:type="paragraph" w:customStyle="1" w:styleId="aff4">
    <w:name w:val="(一)"/>
    <w:basedOn w:val="a3"/>
    <w:rsid w:val="009A5756"/>
    <w:pPr>
      <w:adjustRightInd/>
      <w:snapToGrid w:val="0"/>
      <w:spacing w:after="40" w:line="390" w:lineRule="atLeast"/>
      <w:ind w:left="770" w:right="284"/>
      <w:jc w:val="both"/>
      <w:textAlignment w:val="auto"/>
    </w:pPr>
    <w:rPr>
      <w:rFonts w:eastAsia="新細明體"/>
      <w:kern w:val="2"/>
    </w:rPr>
  </w:style>
  <w:style w:type="paragraph" w:customStyle="1" w:styleId="17">
    <w:name w:val="字元 字元1 字元 字元 字元 字元"/>
    <w:basedOn w:val="a3"/>
    <w:semiHidden/>
    <w:rsid w:val="00EE76E2"/>
    <w:pPr>
      <w:widowControl/>
      <w:adjustRightInd/>
      <w:spacing w:after="160" w:line="240" w:lineRule="exact"/>
      <w:textAlignment w:val="auto"/>
    </w:pPr>
    <w:rPr>
      <w:rFonts w:ascii="Tahoma" w:eastAsia="新細明體" w:hAnsi="Tahoma"/>
      <w:sz w:val="20"/>
      <w:lang w:eastAsia="en-US"/>
    </w:rPr>
  </w:style>
  <w:style w:type="table" w:styleId="aff5">
    <w:name w:val="Table Grid"/>
    <w:basedOn w:val="a5"/>
    <w:rsid w:val="001010FF"/>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字元 字元 字元 字元 字元3 字元"/>
    <w:basedOn w:val="a3"/>
    <w:rsid w:val="00500BEA"/>
    <w:pPr>
      <w:widowControl/>
      <w:adjustRightInd/>
      <w:spacing w:after="160" w:line="240" w:lineRule="exact"/>
      <w:textAlignment w:val="auto"/>
    </w:pPr>
    <w:rPr>
      <w:rFonts w:ascii="Verdana" w:eastAsia="新細明體" w:hAnsi="Verdana"/>
      <w:sz w:val="20"/>
      <w:lang w:eastAsia="en-US"/>
    </w:rPr>
  </w:style>
  <w:style w:type="character" w:customStyle="1" w:styleId="st1">
    <w:name w:val="st1"/>
    <w:basedOn w:val="a4"/>
    <w:rsid w:val="0076609E"/>
  </w:style>
  <w:style w:type="paragraph" w:customStyle="1" w:styleId="Default">
    <w:name w:val="Default"/>
    <w:rsid w:val="0076609E"/>
    <w:pPr>
      <w:widowControl w:val="0"/>
      <w:autoSpaceDE w:val="0"/>
      <w:autoSpaceDN w:val="0"/>
      <w:adjustRightInd w:val="0"/>
    </w:pPr>
    <w:rPr>
      <w:rFonts w:ascii="標楷體" w:eastAsia="標楷體" w:cs="標楷體"/>
      <w:color w:val="000000"/>
      <w:sz w:val="24"/>
      <w:szCs w:val="24"/>
    </w:rPr>
  </w:style>
  <w:style w:type="paragraph" w:customStyle="1" w:styleId="24">
    <w:name w:val="純文字2"/>
    <w:basedOn w:val="a3"/>
    <w:rsid w:val="005731DE"/>
    <w:pPr>
      <w:spacing w:line="240" w:lineRule="auto"/>
    </w:pPr>
    <w:rPr>
      <w:rFonts w:ascii="細明體" w:hAnsi="Courier New"/>
      <w:kern w:val="2"/>
    </w:rPr>
  </w:style>
  <w:style w:type="paragraph" w:customStyle="1" w:styleId="220">
    <w:name w:val="本文 22"/>
    <w:basedOn w:val="a3"/>
    <w:rsid w:val="005731DE"/>
    <w:pPr>
      <w:spacing w:line="240" w:lineRule="auto"/>
      <w:ind w:left="284" w:hanging="284"/>
    </w:pPr>
    <w:rPr>
      <w:rFonts w:ascii="標楷體" w:eastAsia="標楷體"/>
      <w:kern w:val="2"/>
      <w:sz w:val="28"/>
    </w:rPr>
  </w:style>
  <w:style w:type="paragraph" w:customStyle="1" w:styleId="Char0">
    <w:name w:val="字元 字元 Char"/>
    <w:basedOn w:val="a3"/>
    <w:rsid w:val="005731DE"/>
    <w:pPr>
      <w:widowControl/>
      <w:adjustRightInd/>
      <w:spacing w:after="160" w:line="240" w:lineRule="exact"/>
      <w:textAlignment w:val="auto"/>
    </w:pPr>
    <w:rPr>
      <w:rFonts w:ascii="Arial" w:eastAsia="Times New Roman" w:hAnsi="Arial" w:cs="Arial"/>
      <w:sz w:val="20"/>
      <w:lang w:eastAsia="en-US"/>
    </w:rPr>
  </w:style>
  <w:style w:type="paragraph" w:customStyle="1" w:styleId="18">
    <w:name w:val="字元1"/>
    <w:basedOn w:val="a3"/>
    <w:rsid w:val="005731DE"/>
    <w:pPr>
      <w:widowControl/>
      <w:adjustRightInd/>
      <w:spacing w:after="160" w:line="240" w:lineRule="exact"/>
      <w:textAlignment w:val="auto"/>
    </w:pPr>
    <w:rPr>
      <w:rFonts w:ascii="Tahoma" w:eastAsia="新細明體" w:hAnsi="Tahoma"/>
      <w:sz w:val="20"/>
      <w:lang w:eastAsia="en-US"/>
    </w:rPr>
  </w:style>
  <w:style w:type="paragraph" w:customStyle="1" w:styleId="aff6">
    <w:name w:val="字元 字元 字元"/>
    <w:basedOn w:val="a3"/>
    <w:semiHidden/>
    <w:rsid w:val="005731DE"/>
    <w:pPr>
      <w:widowControl/>
      <w:adjustRightInd/>
      <w:spacing w:after="160" w:line="240" w:lineRule="exact"/>
      <w:textAlignment w:val="auto"/>
    </w:pPr>
    <w:rPr>
      <w:rFonts w:ascii="Verdana" w:eastAsia="Times New Roman" w:hAnsi="Verdana"/>
      <w:sz w:val="20"/>
      <w:lang w:eastAsia="en-US"/>
    </w:rPr>
  </w:style>
  <w:style w:type="paragraph" w:customStyle="1" w:styleId="19">
    <w:name w:val="字元 字元1 字元 字元 字元 字元"/>
    <w:basedOn w:val="a3"/>
    <w:semiHidden/>
    <w:rsid w:val="005731DE"/>
    <w:pPr>
      <w:widowControl/>
      <w:adjustRightInd/>
      <w:spacing w:after="160" w:line="240" w:lineRule="exact"/>
      <w:textAlignment w:val="auto"/>
    </w:pPr>
    <w:rPr>
      <w:rFonts w:ascii="Tahoma" w:eastAsia="新細明體" w:hAnsi="Tahoma"/>
      <w:sz w:val="20"/>
      <w:lang w:eastAsia="en-US"/>
    </w:rPr>
  </w:style>
  <w:style w:type="paragraph" w:customStyle="1" w:styleId="31">
    <w:name w:val="字元 字元 字元 字元 字元3 字元"/>
    <w:basedOn w:val="a3"/>
    <w:rsid w:val="005731DE"/>
    <w:pPr>
      <w:widowControl/>
      <w:adjustRightInd/>
      <w:spacing w:after="160" w:line="240" w:lineRule="exact"/>
      <w:textAlignment w:val="auto"/>
    </w:pPr>
    <w:rPr>
      <w:rFonts w:ascii="Verdana" w:eastAsia="新細明體" w:hAnsi="Verdana"/>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3721">
      <w:bodyDiv w:val="1"/>
      <w:marLeft w:val="0"/>
      <w:marRight w:val="0"/>
      <w:marTop w:val="0"/>
      <w:marBottom w:val="0"/>
      <w:divBdr>
        <w:top w:val="none" w:sz="0" w:space="0" w:color="auto"/>
        <w:left w:val="none" w:sz="0" w:space="0" w:color="auto"/>
        <w:bottom w:val="none" w:sz="0" w:space="0" w:color="auto"/>
        <w:right w:val="none" w:sz="0" w:space="0" w:color="auto"/>
      </w:divBdr>
    </w:div>
    <w:div w:id="364137388">
      <w:bodyDiv w:val="1"/>
      <w:marLeft w:val="0"/>
      <w:marRight w:val="0"/>
      <w:marTop w:val="0"/>
      <w:marBottom w:val="0"/>
      <w:divBdr>
        <w:top w:val="none" w:sz="0" w:space="0" w:color="auto"/>
        <w:left w:val="none" w:sz="0" w:space="0" w:color="auto"/>
        <w:bottom w:val="none" w:sz="0" w:space="0" w:color="auto"/>
        <w:right w:val="none" w:sz="0" w:space="0" w:color="auto"/>
      </w:divBdr>
    </w:div>
    <w:div w:id="572740530">
      <w:bodyDiv w:val="1"/>
      <w:marLeft w:val="0"/>
      <w:marRight w:val="0"/>
      <w:marTop w:val="0"/>
      <w:marBottom w:val="0"/>
      <w:divBdr>
        <w:top w:val="none" w:sz="0" w:space="0" w:color="auto"/>
        <w:left w:val="none" w:sz="0" w:space="0" w:color="auto"/>
        <w:bottom w:val="none" w:sz="0" w:space="0" w:color="auto"/>
        <w:right w:val="none" w:sz="0" w:space="0" w:color="auto"/>
      </w:divBdr>
    </w:div>
    <w:div w:id="1098256842">
      <w:bodyDiv w:val="1"/>
      <w:marLeft w:val="0"/>
      <w:marRight w:val="0"/>
      <w:marTop w:val="0"/>
      <w:marBottom w:val="0"/>
      <w:divBdr>
        <w:top w:val="none" w:sz="0" w:space="0" w:color="auto"/>
        <w:left w:val="none" w:sz="0" w:space="0" w:color="auto"/>
        <w:bottom w:val="none" w:sz="0" w:space="0" w:color="auto"/>
        <w:right w:val="none" w:sz="0" w:space="0" w:color="auto"/>
      </w:divBdr>
    </w:div>
    <w:div w:id="135646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A:\87&#32317;&#35498;&#26126;.do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730971128608913E-2"/>
          <c:y val="0.13827706651172422"/>
          <c:w val="0.87103550735403346"/>
          <c:h val="0.79799679243962274"/>
        </c:manualLayout>
      </c:layout>
      <c:ofPieChart>
        <c:ofPieType val="bar"/>
        <c:varyColors val="1"/>
        <c:ser>
          <c:idx val="0"/>
          <c:order val="0"/>
          <c:dPt>
            <c:idx val="0"/>
            <c:bubble3D val="0"/>
            <c:spPr>
              <a:solidFill>
                <a:srgbClr val="00B0F0"/>
              </a:solidFill>
              <a:ln w="12700">
                <a:noFill/>
              </a:ln>
              <a:effectLst/>
            </c:spPr>
            <c:extLst>
              <c:ext xmlns:c16="http://schemas.microsoft.com/office/drawing/2014/chart" uri="{C3380CC4-5D6E-409C-BE32-E72D297353CC}">
                <c16:uniqueId val="{00000001-FD8A-4179-8AEF-95C49F05043F}"/>
              </c:ext>
            </c:extLst>
          </c:dPt>
          <c:dPt>
            <c:idx val="1"/>
            <c:bubble3D val="0"/>
            <c:explosion val="5"/>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FD8A-4179-8AEF-95C49F05043F}"/>
              </c:ext>
            </c:extLst>
          </c:dPt>
          <c:dPt>
            <c:idx val="2"/>
            <c:bubble3D val="0"/>
            <c:explosion val="6"/>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FD8A-4179-8AEF-95C49F05043F}"/>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FD8A-4179-8AEF-95C49F05043F}"/>
              </c:ext>
            </c:extLst>
          </c:dPt>
          <c:dPt>
            <c:idx val="4"/>
            <c:bubble3D val="0"/>
            <c:spPr>
              <a:solidFill>
                <a:srgbClr val="A50021"/>
              </a:solidFill>
              <a:ln>
                <a:noFill/>
              </a:ln>
              <a:effectLst/>
            </c:spPr>
            <c:extLst>
              <c:ext xmlns:c16="http://schemas.microsoft.com/office/drawing/2014/chart" uri="{C3380CC4-5D6E-409C-BE32-E72D297353CC}">
                <c16:uniqueId val="{00000009-FD8A-4179-8AEF-95C49F05043F}"/>
              </c:ext>
            </c:extLst>
          </c:dPt>
          <c:dPt>
            <c:idx val="5"/>
            <c:bubble3D val="0"/>
            <c:explosion val="7"/>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B-FD8A-4179-8AEF-95C49F05043F}"/>
              </c:ext>
            </c:extLst>
          </c:dPt>
          <c:dLbls>
            <c:dLbl>
              <c:idx val="0"/>
              <c:layout>
                <c:manualLayout>
                  <c:x val="3.5612249183867342E-4"/>
                  <c:y val="7.0990897130225133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Arial" panose="020B0604020202020204" pitchFamily="34" charset="0"/>
                      <a:ea typeface="標楷體" panose="03000509000000000000" pitchFamily="65" charset="-120"/>
                      <a:cs typeface="Arial" panose="020B0604020202020204" pitchFamily="34" charset="0"/>
                    </a:defRPr>
                  </a:pPr>
                  <a:endParaRPr lang="zh-TW"/>
                </a:p>
              </c:txPr>
              <c:dLblPos val="bestFit"/>
              <c:showLegendKey val="0"/>
              <c:showVal val="0"/>
              <c:showCatName val="1"/>
              <c:showSerName val="0"/>
              <c:showPercent val="1"/>
              <c:showBubbleSize val="0"/>
              <c:extLst>
                <c:ext xmlns:c15="http://schemas.microsoft.com/office/drawing/2012/chart" uri="{CE6537A1-D6FC-4f65-9D91-7224C49458BB}">
                  <c15:layout>
                    <c:manualLayout>
                      <c:w val="0.13046556972960302"/>
                      <c:h val="0.13401187446988974"/>
                    </c:manualLayout>
                  </c15:layout>
                </c:ext>
                <c:ext xmlns:c16="http://schemas.microsoft.com/office/drawing/2014/chart" uri="{C3380CC4-5D6E-409C-BE32-E72D297353CC}">
                  <c16:uniqueId val="{00000001-FD8A-4179-8AEF-95C49F05043F}"/>
                </c:ext>
              </c:extLst>
            </c:dLbl>
            <c:dLbl>
              <c:idx val="1"/>
              <c:layout>
                <c:manualLayout>
                  <c:x val="-0.1848896601740572"/>
                  <c:y val="-8.178410904743777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2"/>
                        </a:solidFill>
                        <a:latin typeface="+mn-lt"/>
                        <a:ea typeface="+mn-ea"/>
                        <a:cs typeface="+mn-cs"/>
                      </a:defRPr>
                    </a:pPr>
                    <a:fld id="{23B7A933-2A98-4516-8751-BFEC6D5AA22B}" type="CATEGORYNAME">
                      <a:rPr lang="zh-TW" altLang="en-US" sz="1000">
                        <a:solidFill>
                          <a:sysClr val="windowText" lastClr="000000"/>
                        </a:solidFill>
                        <a:latin typeface="Arial" panose="020B0604020202020204" pitchFamily="34" charset="0"/>
                        <a:ea typeface="標楷體" panose="03000509000000000000" pitchFamily="65" charset="-120"/>
                        <a:cs typeface="Arial" panose="020B0604020202020204" pitchFamily="34" charset="0"/>
                      </a:rPr>
                      <a:pPr>
                        <a:defRPr/>
                      </a:pPr>
                      <a:t>[類別名稱]</a:t>
                    </a:fld>
                    <a:r>
                      <a:rPr lang="zh-TW" altLang="en-US" sz="1000">
                        <a:solidFill>
                          <a:sysClr val="windowText" lastClr="000000"/>
                        </a:solidFill>
                        <a:latin typeface="Arial" panose="020B0604020202020204" pitchFamily="34" charset="0"/>
                        <a:ea typeface="標楷體" panose="03000509000000000000" pitchFamily="65" charset="-120"/>
                        <a:cs typeface="Arial" panose="020B0604020202020204" pitchFamily="34" charset="0"/>
                      </a:rPr>
                      <a:t>
</a:t>
                    </a:r>
                    <a:fld id="{38CA372A-EF32-4486-B1F2-C85CDAEC25CC}" type="PERCENTAGE">
                      <a:rPr lang="en-US" altLang="zh-TW" sz="1000" b="0" i="0" u="none" strike="noStrike" kern="1200" baseline="0">
                        <a:solidFill>
                          <a:sysClr val="windowText" lastClr="000000"/>
                        </a:solidFill>
                        <a:latin typeface="Arial" panose="020B0604020202020204" pitchFamily="34" charset="0"/>
                        <a:ea typeface="標楷體" panose="03000509000000000000" pitchFamily="65" charset="-120"/>
                        <a:cs typeface="Arial" panose="020B0604020202020204" pitchFamily="34" charset="0"/>
                      </a:rPr>
                      <a:pPr>
                        <a:defRPr/>
                      </a:pPr>
                      <a:t>[百分比]</a:t>
                    </a:fld>
                    <a:endParaRPr lang="zh-TW" altLang="en-US" sz="1000">
                      <a:solidFill>
                        <a:sysClr val="windowText" lastClr="000000"/>
                      </a:solidFill>
                      <a:latin typeface="Arial" panose="020B0604020202020204" pitchFamily="34" charset="0"/>
                      <a:ea typeface="標楷體" panose="03000509000000000000" pitchFamily="65" charset="-120"/>
                      <a:cs typeface="Arial" panose="020B0604020202020204" pitchFamily="34" charset="0"/>
                    </a:endParaRPr>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2"/>
                      </a:solidFill>
                      <a:latin typeface="+mn-lt"/>
                      <a:ea typeface="+mn-ea"/>
                      <a:cs typeface="+mn-cs"/>
                    </a:defRPr>
                  </a:pPr>
                  <a:endParaRPr lang="zh-TW"/>
                </a:p>
              </c:txPr>
              <c:dLblPos val="bestFit"/>
              <c:showLegendKey val="0"/>
              <c:showVal val="0"/>
              <c:showCatName val="1"/>
              <c:showSerName val="0"/>
              <c:showPercent val="1"/>
              <c:showBubbleSize val="0"/>
              <c:extLst>
                <c:ext xmlns:c15="http://schemas.microsoft.com/office/drawing/2012/chart" uri="{CE6537A1-D6FC-4f65-9D91-7224C49458BB}">
                  <c15:layout>
                    <c:manualLayout>
                      <c:w val="0.26569451309935738"/>
                      <c:h val="0.11569126378286682"/>
                    </c:manualLayout>
                  </c15:layout>
                  <c15:dlblFieldTable/>
                  <c15:showDataLabelsRange val="0"/>
                </c:ext>
                <c:ext xmlns:c16="http://schemas.microsoft.com/office/drawing/2014/chart" uri="{C3380CC4-5D6E-409C-BE32-E72D297353CC}">
                  <c16:uniqueId val="{00000003-FD8A-4179-8AEF-95C49F05043F}"/>
                </c:ext>
              </c:extLst>
            </c:dLbl>
            <c:dLbl>
              <c:idx val="2"/>
              <c:layout>
                <c:manualLayout>
                  <c:x val="6.4139729244370614E-2"/>
                  <c:y val="-0.26826805046315777"/>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Arial" panose="020B0604020202020204" pitchFamily="34" charset="0"/>
                      <a:ea typeface="標楷體" panose="03000509000000000000" pitchFamily="65" charset="-120"/>
                      <a:cs typeface="Arial" panose="020B0604020202020204" pitchFamily="34" charset="0"/>
                    </a:defRPr>
                  </a:pPr>
                  <a:endParaRPr lang="zh-TW"/>
                </a:p>
              </c:txPr>
              <c:dLblPos val="bestFit"/>
              <c:showLegendKey val="0"/>
              <c:showVal val="0"/>
              <c:showCatName val="1"/>
              <c:showSerName val="0"/>
              <c:showPercent val="1"/>
              <c:showBubbleSize val="0"/>
              <c:extLst>
                <c:ext xmlns:c15="http://schemas.microsoft.com/office/drawing/2012/chart" uri="{CE6537A1-D6FC-4f65-9D91-7224C49458BB}">
                  <c15:layout>
                    <c:manualLayout>
                      <c:w val="0.21796317173994739"/>
                      <c:h val="0.12325266796933713"/>
                    </c:manualLayout>
                  </c15:layout>
                </c:ext>
                <c:ext xmlns:c16="http://schemas.microsoft.com/office/drawing/2014/chart" uri="{C3380CC4-5D6E-409C-BE32-E72D297353CC}">
                  <c16:uniqueId val="{00000005-FD8A-4179-8AEF-95C49F05043F}"/>
                </c:ext>
              </c:extLst>
            </c:dLbl>
            <c:dLbl>
              <c:idx val="3"/>
              <c:layout>
                <c:manualLayout>
                  <c:x val="1.9674356861540399E-3"/>
                  <c:y val="1.830807971597393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D8A-4179-8AEF-95C49F05043F}"/>
                </c:ext>
              </c:extLst>
            </c:dLbl>
            <c:dLbl>
              <c:idx val="4"/>
              <c:layout>
                <c:manualLayout>
                  <c:x val="0"/>
                  <c:y val="3.6616159431947857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D8A-4179-8AEF-95C49F05043F}"/>
                </c:ext>
              </c:extLst>
            </c:dLbl>
            <c:dLbl>
              <c:idx val="5"/>
              <c:delete val="1"/>
              <c:extLst>
                <c:ext xmlns:c15="http://schemas.microsoft.com/office/drawing/2012/chart" uri="{CE6537A1-D6FC-4f65-9D91-7224C49458BB}"/>
                <c:ext xmlns:c16="http://schemas.microsoft.com/office/drawing/2014/chart" uri="{C3380CC4-5D6E-409C-BE32-E72D297353CC}">
                  <c16:uniqueId val="{0000000B-FD8A-4179-8AEF-95C49F05043F}"/>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標楷體" panose="03000509000000000000" pitchFamily="65" charset="-120"/>
                    <a:cs typeface="Arial" panose="020B0604020202020204" pitchFamily="34" charset="0"/>
                  </a:defRPr>
                </a:pPr>
                <a:endParaRPr lang="zh-TW"/>
              </a:p>
            </c:txPr>
            <c:dLblPos val="bestFit"/>
            <c:showLegendKey val="0"/>
            <c:showVal val="0"/>
            <c:showCatName val="1"/>
            <c:showSerName val="0"/>
            <c:showPercent val="1"/>
            <c:showBubbleSize val="0"/>
            <c:showLeaderLines val="1"/>
            <c:leaderLines>
              <c:spPr>
                <a:ln w="9525">
                  <a:solidFill>
                    <a:schemeClr val="bg2">
                      <a:lumMod val="10000"/>
                    </a:schemeClr>
                  </a:solidFill>
                </a:ln>
                <a:effectLst/>
              </c:spPr>
            </c:leaderLines>
            <c:extLst>
              <c:ext xmlns:c15="http://schemas.microsoft.com/office/drawing/2012/chart" uri="{CE6537A1-D6FC-4f65-9D91-7224C49458BB}"/>
            </c:extLst>
          </c:dLbls>
          <c:cat>
            <c:strRef>
              <c:f>歲入資料!$F$4:$F$8</c:f>
              <c:strCache>
                <c:ptCount val="5"/>
                <c:pt idx="0">
                  <c:v> 稅課收入 </c:v>
                </c:pt>
                <c:pt idx="1">
                  <c:v> 營業盈餘及事業收入 </c:v>
                </c:pt>
                <c:pt idx="2">
                  <c:v> 規費及罰款收入 </c:v>
                </c:pt>
                <c:pt idx="3">
                  <c:v> 財產收入 </c:v>
                </c:pt>
                <c:pt idx="4">
                  <c:v> 其他收入 </c:v>
                </c:pt>
              </c:strCache>
            </c:strRef>
          </c:cat>
          <c:val>
            <c:numRef>
              <c:f>歲入資料!$G$4:$G$8</c:f>
              <c:numCache>
                <c:formatCode>0.0</c:formatCode>
                <c:ptCount val="5"/>
                <c:pt idx="0">
                  <c:v>79.3</c:v>
                </c:pt>
                <c:pt idx="1">
                  <c:v>12.1</c:v>
                </c:pt>
                <c:pt idx="2">
                  <c:v>6.3</c:v>
                </c:pt>
                <c:pt idx="3">
                  <c:v>1.2</c:v>
                </c:pt>
                <c:pt idx="4">
                  <c:v>1.1000000000000001</c:v>
                </c:pt>
              </c:numCache>
            </c:numRef>
          </c:val>
          <c:extLst>
            <c:ext xmlns:c16="http://schemas.microsoft.com/office/drawing/2014/chart" uri="{C3380CC4-5D6E-409C-BE32-E72D297353CC}">
              <c16:uniqueId val="{0000000C-FD8A-4179-8AEF-95C49F05043F}"/>
            </c:ext>
          </c:extLst>
        </c:ser>
        <c:dLbls>
          <c:showLegendKey val="0"/>
          <c:showVal val="0"/>
          <c:showCatName val="0"/>
          <c:showSerName val="0"/>
          <c:showPercent val="0"/>
          <c:showBubbleSize val="0"/>
          <c:showLeaderLines val="1"/>
        </c:dLbls>
        <c:gapWidth val="100"/>
        <c:secondPieSize val="55"/>
        <c:serLines>
          <c:spPr>
            <a:ln w="9525">
              <a:solidFill>
                <a:schemeClr val="bg2">
                  <a:lumMod val="25000"/>
                </a:schemeClr>
              </a:solidFill>
              <a:prstDash val="dash"/>
            </a:ln>
            <a:effectLst/>
          </c:spPr>
        </c:serLines>
      </c:ofPie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pPr>
      <a:endParaRPr lang="zh-TW"/>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775813086755598"/>
          <c:y val="0.11780213243240789"/>
          <c:w val="0.72734824945613974"/>
          <c:h val="0.66247195960366556"/>
        </c:manualLayout>
      </c:layout>
      <c:ofPieChart>
        <c:ofPieType val="bar"/>
        <c:varyColors val="1"/>
        <c:ser>
          <c:idx val="0"/>
          <c:order val="0"/>
          <c:spPr>
            <a:ln>
              <a:noFill/>
            </a:ln>
          </c:spPr>
          <c:explosion val="5"/>
          <c:dPt>
            <c:idx val="0"/>
            <c:bubble3D val="0"/>
            <c:spPr>
              <a:solidFill>
                <a:srgbClr val="00B0F0"/>
              </a:solidFill>
              <a:ln>
                <a:noFill/>
              </a:ln>
              <a:effectLst/>
            </c:spPr>
            <c:extLst>
              <c:ext xmlns:c16="http://schemas.microsoft.com/office/drawing/2014/chart" uri="{C3380CC4-5D6E-409C-BE32-E72D297353CC}">
                <c16:uniqueId val="{00000001-262D-4BA0-B51E-E51A052626AF}"/>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262D-4BA0-B51E-E51A052626AF}"/>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262D-4BA0-B51E-E51A052626AF}"/>
              </c:ext>
            </c:extLst>
          </c:dPt>
          <c:dPt>
            <c:idx val="3"/>
            <c:bubble3D val="0"/>
            <c:spPr>
              <a:solidFill>
                <a:srgbClr val="A50021"/>
              </a:solidFill>
              <a:ln>
                <a:noFill/>
              </a:ln>
              <a:effectLst/>
            </c:spPr>
            <c:extLst>
              <c:ext xmlns:c16="http://schemas.microsoft.com/office/drawing/2014/chart" uri="{C3380CC4-5D6E-409C-BE32-E72D297353CC}">
                <c16:uniqueId val="{00000007-262D-4BA0-B51E-E51A052626AF}"/>
              </c:ext>
            </c:extLst>
          </c:dPt>
          <c:dPt>
            <c:idx val="4"/>
            <c:bubble3D val="0"/>
            <c:spPr>
              <a:solidFill>
                <a:srgbClr val="7030A0"/>
              </a:solidFill>
              <a:ln>
                <a:noFill/>
              </a:ln>
              <a:effectLst/>
            </c:spPr>
            <c:extLst>
              <c:ext xmlns:c16="http://schemas.microsoft.com/office/drawing/2014/chart" uri="{C3380CC4-5D6E-409C-BE32-E72D297353CC}">
                <c16:uniqueId val="{00000009-262D-4BA0-B51E-E51A052626AF}"/>
              </c:ext>
            </c:extLst>
          </c:dPt>
          <c:dPt>
            <c:idx val="5"/>
            <c:bubble3D val="0"/>
            <c:spPr>
              <a:solidFill>
                <a:schemeClr val="accent6">
                  <a:lumMod val="60000"/>
                  <a:lumOff val="40000"/>
                </a:schemeClr>
              </a:solidFill>
              <a:ln>
                <a:noFill/>
              </a:ln>
              <a:effectLst/>
            </c:spPr>
            <c:extLst>
              <c:ext xmlns:c16="http://schemas.microsoft.com/office/drawing/2014/chart" uri="{C3380CC4-5D6E-409C-BE32-E72D297353CC}">
                <c16:uniqueId val="{0000000B-262D-4BA0-B51E-E51A052626AF}"/>
              </c:ext>
            </c:extLst>
          </c:dPt>
          <c:dPt>
            <c:idx val="6"/>
            <c:bubble3D val="0"/>
            <c:spPr>
              <a:solidFill>
                <a:schemeClr val="accent6">
                  <a:lumMod val="75000"/>
                </a:schemeClr>
              </a:solidFill>
              <a:ln>
                <a:noFill/>
              </a:ln>
              <a:effectLst/>
            </c:spPr>
            <c:extLst>
              <c:ext xmlns:c16="http://schemas.microsoft.com/office/drawing/2014/chart" uri="{C3380CC4-5D6E-409C-BE32-E72D297353CC}">
                <c16:uniqueId val="{0000000D-262D-4BA0-B51E-E51A052626AF}"/>
              </c:ext>
            </c:extLst>
          </c:dPt>
          <c:dPt>
            <c:idx val="7"/>
            <c:bubble3D val="0"/>
            <c:spPr>
              <a:solidFill>
                <a:schemeClr val="accent4">
                  <a:lumMod val="60000"/>
                  <a:lumOff val="40000"/>
                </a:schemeClr>
              </a:solidFill>
              <a:ln>
                <a:noFill/>
              </a:ln>
              <a:effectLst/>
            </c:spPr>
            <c:extLst>
              <c:ext xmlns:c16="http://schemas.microsoft.com/office/drawing/2014/chart" uri="{C3380CC4-5D6E-409C-BE32-E72D297353CC}">
                <c16:uniqueId val="{0000000E-262D-4BA0-B51E-E51A052626AF}"/>
              </c:ext>
            </c:extLst>
          </c:dPt>
          <c:dPt>
            <c:idx val="8"/>
            <c:bubble3D val="0"/>
            <c:spPr>
              <a:solidFill>
                <a:srgbClr val="CC00CC"/>
              </a:solidFill>
              <a:ln>
                <a:noFill/>
              </a:ln>
              <a:effectLst/>
            </c:spPr>
            <c:extLst>
              <c:ext xmlns:c16="http://schemas.microsoft.com/office/drawing/2014/chart" uri="{C3380CC4-5D6E-409C-BE32-E72D297353CC}">
                <c16:uniqueId val="{0000000F-262D-4BA0-B51E-E51A052626AF}"/>
              </c:ext>
            </c:extLst>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10-262D-4BA0-B51E-E51A052626AF}"/>
              </c:ext>
            </c:extLst>
          </c:dPt>
          <c:dLbls>
            <c:dLbl>
              <c:idx val="0"/>
              <c:layout>
                <c:manualLayout>
                  <c:x val="4.4940106785717207E-2"/>
                  <c:y val="-2.7958659146845397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Arial" panose="020B0604020202020204" pitchFamily="34" charset="0"/>
                      <a:ea typeface="標楷體" panose="03000509000000000000" pitchFamily="65" charset="-120"/>
                      <a:cs typeface="Arial" panose="020B0604020202020204" pitchFamily="34" charset="0"/>
                    </a:defRPr>
                  </a:pPr>
                  <a:endParaRPr lang="zh-TW"/>
                </a:p>
              </c:txPr>
              <c:dLblPos val="bestFit"/>
              <c:showLegendKey val="0"/>
              <c:showVal val="0"/>
              <c:showCatName val="1"/>
              <c:showSerName val="0"/>
              <c:showPercent val="1"/>
              <c:showBubbleSize val="0"/>
              <c:extLst>
                <c:ext xmlns:c15="http://schemas.microsoft.com/office/drawing/2012/chart" uri="{CE6537A1-D6FC-4f65-9D91-7224C49458BB}">
                  <c15:layout>
                    <c:manualLayout>
                      <c:w val="0.16703561817054963"/>
                      <c:h val="9.0675603265854748E-2"/>
                    </c:manualLayout>
                  </c15:layout>
                </c:ext>
                <c:ext xmlns:c16="http://schemas.microsoft.com/office/drawing/2014/chart" uri="{C3380CC4-5D6E-409C-BE32-E72D297353CC}">
                  <c16:uniqueId val="{00000001-262D-4BA0-B51E-E51A052626AF}"/>
                </c:ext>
              </c:extLst>
            </c:dLbl>
            <c:dLbl>
              <c:idx val="1"/>
              <c:layout>
                <c:manualLayout>
                  <c:x val="1.2394011496226524E-3"/>
                  <c:y val="2.3818443542307971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Arial" panose="020B0604020202020204" pitchFamily="34" charset="0"/>
                      <a:ea typeface="標楷體" panose="03000509000000000000" pitchFamily="65" charset="-120"/>
                      <a:cs typeface="Arial" panose="020B0604020202020204" pitchFamily="34" charset="0"/>
                    </a:defRPr>
                  </a:pPr>
                  <a:endParaRPr lang="zh-TW"/>
                </a:p>
              </c:txPr>
              <c:dLblPos val="bestFit"/>
              <c:showLegendKey val="0"/>
              <c:showVal val="0"/>
              <c:showCatName val="1"/>
              <c:showSerName val="0"/>
              <c:showPercent val="1"/>
              <c:showBubbleSize val="0"/>
              <c:extLst>
                <c:ext xmlns:c15="http://schemas.microsoft.com/office/drawing/2012/chart" uri="{CE6537A1-D6FC-4f65-9D91-7224C49458BB}">
                  <c15:layout>
                    <c:manualLayout>
                      <c:w val="0.10530690673011668"/>
                      <c:h val="0.15208770400239763"/>
                    </c:manualLayout>
                  </c15:layout>
                </c:ext>
                <c:ext xmlns:c16="http://schemas.microsoft.com/office/drawing/2014/chart" uri="{C3380CC4-5D6E-409C-BE32-E72D297353CC}">
                  <c16:uniqueId val="{00000003-262D-4BA0-B51E-E51A052626AF}"/>
                </c:ext>
              </c:extLst>
            </c:dLbl>
            <c:dLbl>
              <c:idx val="2"/>
              <c:layout>
                <c:manualLayout>
                  <c:x val="1.0274813779118732E-2"/>
                  <c:y val="-3.9362132069131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62D-4BA0-B51E-E51A052626AF}"/>
                </c:ext>
              </c:extLst>
            </c:dLbl>
            <c:dLbl>
              <c:idx val="3"/>
              <c:layout>
                <c:manualLayout>
                  <c:x val="-4.8419064439375006E-2"/>
                  <c:y val="-7.8724264138262997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62D-4BA0-B51E-E51A052626AF}"/>
                </c:ext>
              </c:extLst>
            </c:dLbl>
            <c:dLbl>
              <c:idx val="4"/>
              <c:layout>
                <c:manualLayout>
                  <c:x val="-1.1648637378271641E-2"/>
                  <c:y val="-2.171053229073009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262D-4BA0-B51E-E51A052626AF}"/>
                </c:ext>
              </c:extLst>
            </c:dLbl>
            <c:dLbl>
              <c:idx val="5"/>
              <c:layout>
                <c:manualLayout>
                  <c:x val="-2.16535849025211E-2"/>
                  <c:y val="-3.085783178486772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262D-4BA0-B51E-E51A052626AF}"/>
                </c:ext>
              </c:extLst>
            </c:dLbl>
            <c:dLbl>
              <c:idx val="6"/>
              <c:layout>
                <c:manualLayout>
                  <c:x val="3.9822078314976986E-2"/>
                  <c:y val="-6.055363321799307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262D-4BA0-B51E-E51A052626AF}"/>
                </c:ext>
              </c:extLst>
            </c:dLbl>
            <c:dLbl>
              <c:idx val="7"/>
              <c:layout>
                <c:manualLayout>
                  <c:x val="1.8963089442455443E-2"/>
                  <c:y val="-1.1164645455705356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Arial" panose="020B0604020202020204" pitchFamily="34" charset="0"/>
                      <a:ea typeface="標楷體" panose="03000509000000000000" pitchFamily="65" charset="-120"/>
                      <a:cs typeface="Arial" panose="020B0604020202020204" pitchFamily="34" charset="0"/>
                    </a:defRPr>
                  </a:pPr>
                  <a:endParaRPr lang="zh-TW"/>
                </a:p>
              </c:txPr>
              <c:dLblPos val="bestFit"/>
              <c:showLegendKey val="0"/>
              <c:showVal val="0"/>
              <c:showCatName val="1"/>
              <c:showSerName val="0"/>
              <c:showPercent val="1"/>
              <c:showBubbleSize val="0"/>
              <c:extLst>
                <c:ext xmlns:c15="http://schemas.microsoft.com/office/drawing/2012/chart" uri="{CE6537A1-D6FC-4f65-9D91-7224C49458BB}">
                  <c15:layout>
                    <c:manualLayout>
                      <c:w val="0.14780467862077987"/>
                      <c:h val="0.1348218048209999"/>
                    </c:manualLayout>
                  </c15:layout>
                </c:ext>
                <c:ext xmlns:c16="http://schemas.microsoft.com/office/drawing/2014/chart" uri="{C3380CC4-5D6E-409C-BE32-E72D297353CC}">
                  <c16:uniqueId val="{0000000E-262D-4BA0-B51E-E51A052626AF}"/>
                </c:ext>
              </c:extLst>
            </c:dLbl>
            <c:dLbl>
              <c:idx val="8"/>
              <c:layout>
                <c:manualLayout>
                  <c:x val="2.8290856166343692E-2"/>
                  <c:y val="8.1353773959742193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Arial" panose="020B0604020202020204" pitchFamily="34" charset="0"/>
                      <a:ea typeface="標楷體" panose="03000509000000000000" pitchFamily="65" charset="-120"/>
                      <a:cs typeface="Arial" panose="020B0604020202020204" pitchFamily="34" charset="0"/>
                    </a:defRPr>
                  </a:pPr>
                  <a:endParaRPr lang="zh-TW"/>
                </a:p>
              </c:txPr>
              <c:dLblPos val="bestFit"/>
              <c:showLegendKey val="0"/>
              <c:showVal val="0"/>
              <c:showCatName val="1"/>
              <c:showSerName val="0"/>
              <c:showPercent val="1"/>
              <c:showBubbleSize val="0"/>
              <c:extLst>
                <c:ext xmlns:c15="http://schemas.microsoft.com/office/drawing/2012/chart" uri="{CE6537A1-D6FC-4f65-9D91-7224C49458BB}">
                  <c15:layout>
                    <c:manualLayout>
                      <c:w val="0.11865659315949992"/>
                      <c:h val="0.14684826302905762"/>
                    </c:manualLayout>
                  </c15:layout>
                </c:ext>
                <c:ext xmlns:c16="http://schemas.microsoft.com/office/drawing/2014/chart" uri="{C3380CC4-5D6E-409C-BE32-E72D297353CC}">
                  <c16:uniqueId val="{0000000F-262D-4BA0-B51E-E51A052626AF}"/>
                </c:ext>
              </c:extLst>
            </c:dLbl>
            <c:dLbl>
              <c:idx val="9"/>
              <c:delete val="1"/>
              <c:extLst>
                <c:ext xmlns:c15="http://schemas.microsoft.com/office/drawing/2012/chart" uri="{CE6537A1-D6FC-4f65-9D91-7224C49458BB}"/>
                <c:ext xmlns:c16="http://schemas.microsoft.com/office/drawing/2014/chart" uri="{C3380CC4-5D6E-409C-BE32-E72D297353CC}">
                  <c16:uniqueId val="{00000010-262D-4BA0-B51E-E51A052626AF}"/>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標楷體" panose="03000509000000000000" pitchFamily="65" charset="-120"/>
                    <a:cs typeface="Arial" panose="020B0604020202020204" pitchFamily="34" charset="0"/>
                  </a:defRPr>
                </a:pPr>
                <a:endParaRPr lang="zh-TW"/>
              </a:p>
            </c:txPr>
            <c:dLblPos val="bestFit"/>
            <c:showLegendKey val="0"/>
            <c:showVal val="0"/>
            <c:showCatName val="1"/>
            <c:showSerName val="0"/>
            <c:showPercent val="1"/>
            <c:showBubbleSize val="0"/>
            <c:showLeaderLines val="1"/>
            <c:leaderLines>
              <c:spPr>
                <a:ln w="9525">
                  <a:solidFill>
                    <a:schemeClr val="bg2">
                      <a:lumMod val="10000"/>
                    </a:schemeClr>
                  </a:solidFill>
                </a:ln>
                <a:effectLst/>
              </c:spPr>
            </c:leaderLines>
            <c:extLst>
              <c:ext xmlns:c15="http://schemas.microsoft.com/office/drawing/2012/chart" uri="{CE6537A1-D6FC-4f65-9D91-7224C49458BB}"/>
            </c:extLst>
          </c:dLbls>
          <c:cat>
            <c:strRef>
              <c:f>歲出資料!$F$5:$F$13</c:f>
              <c:strCache>
                <c:ptCount val="9"/>
                <c:pt idx="0">
                  <c:v>社會福利支出</c:v>
                </c:pt>
                <c:pt idx="1">
                  <c:v>教育科學文化支出</c:v>
                </c:pt>
                <c:pt idx="2">
                  <c:v>國防支出</c:v>
                </c:pt>
                <c:pt idx="3">
                  <c:v>經濟發展支出</c:v>
                </c:pt>
                <c:pt idx="4">
                  <c:v>一般政務支出</c:v>
                </c:pt>
                <c:pt idx="5">
                  <c:v>退休撫卹支出</c:v>
                </c:pt>
                <c:pt idx="6">
                  <c:v>債務支出</c:v>
                </c:pt>
                <c:pt idx="7">
                  <c:v>社區發展及環境保護支出</c:v>
                </c:pt>
                <c:pt idx="8">
                  <c:v>一般補助及其他支出</c:v>
                </c:pt>
              </c:strCache>
            </c:strRef>
          </c:cat>
          <c:val>
            <c:numRef>
              <c:f>歲出資料!$G$5:$G$13</c:f>
              <c:numCache>
                <c:formatCode>0.0%</c:formatCode>
                <c:ptCount val="9"/>
                <c:pt idx="0">
                  <c:v>0.246</c:v>
                </c:pt>
                <c:pt idx="1">
                  <c:v>0.20799999999999999</c:v>
                </c:pt>
                <c:pt idx="2">
                  <c:v>0.158</c:v>
                </c:pt>
                <c:pt idx="3">
                  <c:v>0.13300000000000001</c:v>
                </c:pt>
                <c:pt idx="4">
                  <c:v>9.0999999999999998E-2</c:v>
                </c:pt>
                <c:pt idx="5">
                  <c:v>7.0999999999999994E-2</c:v>
                </c:pt>
                <c:pt idx="6">
                  <c:v>5.2999999999999999E-2</c:v>
                </c:pt>
                <c:pt idx="7">
                  <c:v>8.9999999999999993E-3</c:v>
                </c:pt>
                <c:pt idx="8">
                  <c:v>3.1E-2</c:v>
                </c:pt>
              </c:numCache>
            </c:numRef>
          </c:val>
          <c:extLst>
            <c:ext xmlns:c16="http://schemas.microsoft.com/office/drawing/2014/chart" uri="{C3380CC4-5D6E-409C-BE32-E72D297353CC}">
              <c16:uniqueId val="{0000000C-262D-4BA0-B51E-E51A052626AF}"/>
            </c:ext>
          </c:extLst>
        </c:ser>
        <c:dLbls>
          <c:showLegendKey val="0"/>
          <c:showVal val="0"/>
          <c:showCatName val="0"/>
          <c:showSerName val="0"/>
          <c:showPercent val="0"/>
          <c:showBubbleSize val="0"/>
          <c:showLeaderLines val="1"/>
        </c:dLbls>
        <c:gapWidth val="100"/>
        <c:secondPieSize val="55"/>
        <c:serLines>
          <c:spPr>
            <a:ln w="9525">
              <a:solidFill>
                <a:schemeClr val="bg2">
                  <a:lumMod val="25000"/>
                </a:schemeClr>
              </a:solidFill>
              <a:prstDash val="dash"/>
            </a:ln>
            <a:effectLst/>
          </c:spPr>
        </c:serLines>
      </c:ofPie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pPr>
      <a:endParaRPr lang="zh-TW"/>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33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rawings/drawing1.xml><?xml version="1.0" encoding="utf-8"?>
<c:userShapes xmlns:c="http://schemas.openxmlformats.org/drawingml/2006/chart">
  <cdr:relSizeAnchor xmlns:cdr="http://schemas.openxmlformats.org/drawingml/2006/chartDrawing">
    <cdr:from>
      <cdr:x>1.63531E-7</cdr:x>
      <cdr:y>0.88045</cdr:y>
    </cdr:from>
    <cdr:to>
      <cdr:x>1</cdr:x>
      <cdr:y>1</cdr:y>
    </cdr:to>
    <cdr:sp macro="" textlink="">
      <cdr:nvSpPr>
        <cdr:cNvPr id="2" name="文字方塊 5"/>
        <cdr:cNvSpPr txBox="1">
          <a:spLocks xmlns:a="http://schemas.openxmlformats.org/drawingml/2006/main" noChangeArrowheads="1"/>
        </cdr:cNvSpPr>
      </cdr:nvSpPr>
      <cdr:spPr bwMode="auto">
        <a:xfrm xmlns:a="http://schemas.openxmlformats.org/drawingml/2006/main">
          <a:off x="1" y="3792828"/>
          <a:ext cx="6115049" cy="51501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cdr:spPr>
      <cdr:txBody>
        <a:bodyPr xmlns:a="http://schemas.openxmlformats.org/drawingml/2006/main" wrap="square" lIns="36576" tIns="32004" rIns="36576" bIns="0" anchor="t" upright="1"/>
        <a:lstStyle xmlns:a="http://schemas.openxmlformats.org/drawingml/2006/main"/>
        <a:p xmlns:a="http://schemas.openxmlformats.org/drawingml/2006/main">
          <a:pPr algn="ctr">
            <a:spcBef>
              <a:spcPts val="500"/>
            </a:spcBef>
            <a:spcAft>
              <a:spcPts val="0"/>
            </a:spcAft>
          </a:pPr>
          <a:r>
            <a:rPr lang="zh-TW" sz="1600">
              <a:solidFill>
                <a:srgbClr val="000000"/>
              </a:solidFill>
              <a:effectLst/>
              <a:latin typeface="新細明體" panose="02020500000000000000" pitchFamily="18" charset="-120"/>
              <a:ea typeface="標楷體" panose="03000509000000000000" pitchFamily="65" charset="-120"/>
              <a:cs typeface="Times New Roman" panose="02020603050405020304" pitchFamily="18" charset="0"/>
            </a:rPr>
            <a:t>本年度中央政府總決算歲出構成</a:t>
          </a:r>
          <a:endParaRPr lang="zh-TW" sz="1200">
            <a:solidFill>
              <a:srgbClr val="000000"/>
            </a:solidFill>
            <a:effectLst/>
            <a:latin typeface="新細明體" panose="02020500000000000000" pitchFamily="18" charset="-120"/>
            <a:ea typeface="新細明體" panose="02020500000000000000" pitchFamily="18" charset="-120"/>
            <a:cs typeface="Times New Roman" panose="02020603050405020304" pitchFamily="18" charset="0"/>
          </a:endParaRPr>
        </a:p>
      </cdr:txBody>
    </cdr:sp>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CF315-EC49-4CFF-965C-D6C0EB8FC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87總說明</Template>
  <TotalTime>849</TotalTime>
  <Pages>41</Pages>
  <Words>4521</Words>
  <Characters>25776</Characters>
  <Application>Microsoft Office Word</Application>
  <DocSecurity>0</DocSecurity>
  <Lines>214</Lines>
  <Paragraphs>60</Paragraphs>
  <ScaleCrop>false</ScaleCrop>
  <Company>行政院主計處</Company>
  <LinksUpToDate>false</LinksUpToDate>
  <CharactersWithSpaces>30237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中華民國八十六年度中央政府總決算總說明</dc:title>
  <dc:subject/>
  <dc:creator>黃建芬</dc:creator>
  <cp:keywords/>
  <cp:lastModifiedBy>蔡佩樺</cp:lastModifiedBy>
  <cp:revision>160</cp:revision>
  <cp:lastPrinted>2018-04-22T07:08:00Z</cp:lastPrinted>
  <dcterms:created xsi:type="dcterms:W3CDTF">2018-03-19T10:20:00Z</dcterms:created>
  <dcterms:modified xsi:type="dcterms:W3CDTF">2018-04-26T03:36:00Z</dcterms:modified>
</cp:coreProperties>
</file>