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4E" w:rsidRPr="00114F4E" w:rsidRDefault="00114F4E" w:rsidP="00166963">
      <w:pPr>
        <w:suppressAutoHyphens/>
        <w:autoSpaceDN w:val="0"/>
        <w:spacing w:after="180" w:line="480" w:lineRule="exact"/>
        <w:jc w:val="both"/>
        <w:textAlignment w:val="baseline"/>
        <w:rPr>
          <w:rFonts w:ascii="標楷體" w:eastAsia="標楷體" w:hAnsi="標楷體"/>
          <w:b/>
          <w:color w:val="000000"/>
          <w:kern w:val="3"/>
          <w:sz w:val="40"/>
          <w:szCs w:val="40"/>
        </w:rPr>
      </w:pPr>
      <w:r w:rsidRPr="00114F4E">
        <w:rPr>
          <w:rFonts w:ascii="標楷體" w:eastAsia="標楷體" w:hAnsi="標楷體"/>
          <w:b/>
          <w:color w:val="000000"/>
          <w:kern w:val="3"/>
          <w:sz w:val="40"/>
          <w:szCs w:val="40"/>
        </w:rPr>
        <w:t>中華民國一百十</w:t>
      </w:r>
      <w:r w:rsidRPr="00114F4E">
        <w:rPr>
          <w:rFonts w:ascii="標楷體" w:eastAsia="標楷體" w:hAnsi="標楷體" w:hint="eastAsia"/>
          <w:b/>
          <w:color w:val="000000"/>
          <w:kern w:val="3"/>
          <w:sz w:val="40"/>
          <w:szCs w:val="40"/>
        </w:rPr>
        <w:t>二</w:t>
      </w:r>
      <w:r w:rsidRPr="00114F4E">
        <w:rPr>
          <w:rFonts w:ascii="標楷體" w:eastAsia="標楷體" w:hAnsi="標楷體"/>
          <w:b/>
          <w:color w:val="000000"/>
          <w:kern w:val="3"/>
          <w:sz w:val="40"/>
          <w:szCs w:val="40"/>
        </w:rPr>
        <w:t>年度直轄市及縣(市)總預算附屬單位預算編製要點</w:t>
      </w:r>
      <w:r w:rsidRPr="00114F4E">
        <w:rPr>
          <w:rFonts w:ascii="標楷體" w:eastAsia="標楷體" w:hAnsi="標楷體" w:hint="eastAsia"/>
          <w:b/>
          <w:color w:val="000000"/>
          <w:kern w:val="3"/>
          <w:sz w:val="40"/>
          <w:szCs w:val="40"/>
        </w:rPr>
        <w:t>總說明</w:t>
      </w:r>
    </w:p>
    <w:p w:rsidR="00114F4E" w:rsidRPr="00114F4E" w:rsidRDefault="00114F4E" w:rsidP="00114F4E">
      <w:pPr>
        <w:suppressAutoHyphens/>
        <w:autoSpaceDN w:val="0"/>
        <w:snapToGrid w:val="0"/>
        <w:spacing w:line="480" w:lineRule="atLeast"/>
        <w:jc w:val="both"/>
        <w:textAlignment w:val="baseline"/>
        <w:rPr>
          <w:rFonts w:eastAsia="標楷體"/>
          <w:color w:val="000000"/>
          <w:kern w:val="3"/>
          <w:sz w:val="32"/>
          <w:szCs w:val="32"/>
        </w:rPr>
      </w:pPr>
      <w:bookmarkStart w:id="0" w:name="_Hlk101338338"/>
      <w:r w:rsidRPr="00114F4E">
        <w:rPr>
          <w:rFonts w:eastAsia="標楷體"/>
          <w:color w:val="000000"/>
          <w:kern w:val="3"/>
          <w:sz w:val="32"/>
          <w:szCs w:val="32"/>
        </w:rPr>
        <w:t xml:space="preserve">    </w:t>
      </w:r>
      <w:r w:rsidRPr="00114F4E">
        <w:rPr>
          <w:rFonts w:eastAsia="標楷體"/>
          <w:color w:val="000000"/>
          <w:kern w:val="3"/>
          <w:sz w:val="32"/>
          <w:szCs w:val="32"/>
        </w:rPr>
        <w:t>行政院為統一規範一百十二年度各直轄市、縣（市）總預算附屬單位預算之編製，依「一百十二年度中央及地方政府預算籌編原則」第四點第十三款規定，特訂</w:t>
      </w:r>
      <w:r w:rsidR="008C5AB5">
        <w:rPr>
          <w:rFonts w:eastAsia="標楷體" w:hint="eastAsia"/>
          <w:color w:val="000000"/>
          <w:kern w:val="3"/>
          <w:sz w:val="32"/>
          <w:szCs w:val="32"/>
        </w:rPr>
        <w:t>定</w:t>
      </w:r>
      <w:r w:rsidRPr="00114F4E">
        <w:rPr>
          <w:rFonts w:eastAsia="標楷體"/>
          <w:color w:val="000000"/>
          <w:kern w:val="3"/>
          <w:sz w:val="32"/>
          <w:szCs w:val="32"/>
        </w:rPr>
        <w:t>「中華民國一百十二年度直轄市及縣（市）總預算附屬單位預算編製要點」，其各章之規定說明如下</w:t>
      </w:r>
      <w:bookmarkStart w:id="1" w:name="_GoBack"/>
      <w:bookmarkEnd w:id="1"/>
      <w:r w:rsidRPr="00114F4E">
        <w:rPr>
          <w:rFonts w:eastAsia="標楷體"/>
          <w:color w:val="000000"/>
          <w:kern w:val="3"/>
          <w:sz w:val="32"/>
          <w:szCs w:val="32"/>
        </w:rPr>
        <w:t>：</w:t>
      </w:r>
    </w:p>
    <w:p w:rsidR="00114F4E" w:rsidRPr="00114F4E" w:rsidRDefault="00114F4E" w:rsidP="00114F4E">
      <w:pPr>
        <w:suppressAutoHyphens/>
        <w:autoSpaceDN w:val="0"/>
        <w:snapToGrid w:val="0"/>
        <w:spacing w:line="480" w:lineRule="atLeast"/>
        <w:jc w:val="both"/>
        <w:textAlignment w:val="baseline"/>
        <w:rPr>
          <w:rFonts w:eastAsia="標楷體"/>
          <w:color w:val="000000"/>
          <w:kern w:val="3"/>
          <w:sz w:val="32"/>
          <w:szCs w:val="32"/>
        </w:rPr>
      </w:pPr>
      <w:r w:rsidRPr="00114F4E">
        <w:rPr>
          <w:rFonts w:eastAsia="標楷體"/>
          <w:color w:val="000000"/>
          <w:kern w:val="3"/>
          <w:sz w:val="32"/>
          <w:szCs w:val="32"/>
        </w:rPr>
        <w:t>一、第一章　總則</w:t>
      </w:r>
    </w:p>
    <w:p w:rsidR="00114F4E" w:rsidRPr="00114F4E" w:rsidRDefault="00166963" w:rsidP="00166963">
      <w:pPr>
        <w:suppressAutoHyphens/>
        <w:autoSpaceDN w:val="0"/>
        <w:snapToGrid w:val="0"/>
        <w:spacing w:line="480" w:lineRule="atLeast"/>
        <w:ind w:leftChars="274" w:left="658" w:firstLineChars="4" w:firstLine="13"/>
        <w:jc w:val="both"/>
        <w:textAlignment w:val="baseline"/>
        <w:rPr>
          <w:rFonts w:eastAsia="標楷體"/>
          <w:color w:val="000000"/>
          <w:kern w:val="3"/>
          <w:sz w:val="32"/>
          <w:szCs w:val="32"/>
        </w:rPr>
      </w:pPr>
      <w:r>
        <w:rPr>
          <w:rFonts w:eastAsia="標楷體" w:hint="eastAsia"/>
          <w:color w:val="000000"/>
          <w:kern w:val="3"/>
          <w:sz w:val="32"/>
          <w:szCs w:val="32"/>
        </w:rPr>
        <w:t xml:space="preserve">    </w:t>
      </w:r>
      <w:r w:rsidR="00114F4E" w:rsidRPr="00114F4E">
        <w:rPr>
          <w:rFonts w:eastAsia="標楷體"/>
          <w:color w:val="000000"/>
          <w:kern w:val="3"/>
          <w:sz w:val="32"/>
          <w:szCs w:val="32"/>
        </w:rPr>
        <w:t>本要點訂定之法律依據、適用範圍及預算政策目標。（第一點至第三點）</w:t>
      </w:r>
    </w:p>
    <w:p w:rsidR="00114F4E" w:rsidRPr="00114F4E" w:rsidRDefault="00114F4E" w:rsidP="00114F4E">
      <w:pPr>
        <w:suppressAutoHyphens/>
        <w:autoSpaceDN w:val="0"/>
        <w:snapToGrid w:val="0"/>
        <w:spacing w:line="480" w:lineRule="atLeast"/>
        <w:jc w:val="both"/>
        <w:textAlignment w:val="baseline"/>
        <w:rPr>
          <w:rFonts w:eastAsia="標楷體"/>
          <w:color w:val="000000"/>
          <w:kern w:val="3"/>
          <w:sz w:val="32"/>
          <w:szCs w:val="32"/>
        </w:rPr>
      </w:pPr>
      <w:r w:rsidRPr="00114F4E">
        <w:rPr>
          <w:rFonts w:eastAsia="標楷體"/>
          <w:color w:val="000000"/>
          <w:kern w:val="3"/>
          <w:sz w:val="32"/>
          <w:szCs w:val="32"/>
        </w:rPr>
        <w:t>二、第二章　預算之籌劃、編製及審核</w:t>
      </w:r>
    </w:p>
    <w:p w:rsidR="00114F4E" w:rsidRPr="00114F4E" w:rsidRDefault="00166963" w:rsidP="00166963">
      <w:pPr>
        <w:suppressAutoHyphens/>
        <w:autoSpaceDN w:val="0"/>
        <w:snapToGrid w:val="0"/>
        <w:spacing w:line="480" w:lineRule="atLeast"/>
        <w:ind w:leftChars="274" w:left="658" w:firstLineChars="4" w:firstLine="13"/>
        <w:jc w:val="both"/>
        <w:textAlignment w:val="baseline"/>
        <w:rPr>
          <w:rFonts w:eastAsia="標楷體"/>
          <w:sz w:val="32"/>
          <w:szCs w:val="32"/>
        </w:rPr>
      </w:pPr>
      <w:r>
        <w:rPr>
          <w:rFonts w:eastAsia="標楷體" w:hint="eastAsia"/>
          <w:color w:val="000000"/>
          <w:kern w:val="3"/>
          <w:sz w:val="32"/>
          <w:szCs w:val="32"/>
        </w:rPr>
        <w:t xml:space="preserve">    </w:t>
      </w:r>
      <w:r w:rsidR="00114F4E" w:rsidRPr="00114F4E">
        <w:rPr>
          <w:rFonts w:eastAsia="標楷體"/>
          <w:color w:val="000000"/>
          <w:kern w:val="3"/>
          <w:sz w:val="32"/>
          <w:szCs w:val="32"/>
        </w:rPr>
        <w:t>附屬單位預算籌劃、編製及審核等之程序，</w:t>
      </w:r>
      <w:r w:rsidR="00114F4E" w:rsidRPr="00114F4E">
        <w:rPr>
          <w:rFonts w:eastAsia="標楷體"/>
          <w:sz w:val="32"/>
          <w:szCs w:val="32"/>
        </w:rPr>
        <w:t>包括事業計畫總綱之訂定、各基金業務計畫與預算之擬編及各有關機關之審核等事宜。（第四點至第十一點）</w:t>
      </w:r>
    </w:p>
    <w:p w:rsidR="00114F4E" w:rsidRPr="00114F4E" w:rsidRDefault="00114F4E" w:rsidP="00114F4E">
      <w:pPr>
        <w:suppressAutoHyphens/>
        <w:autoSpaceDN w:val="0"/>
        <w:snapToGrid w:val="0"/>
        <w:spacing w:line="480" w:lineRule="atLeast"/>
        <w:jc w:val="both"/>
        <w:textAlignment w:val="baseline"/>
        <w:rPr>
          <w:rFonts w:eastAsia="標楷體"/>
          <w:sz w:val="32"/>
          <w:szCs w:val="32"/>
        </w:rPr>
      </w:pPr>
      <w:r w:rsidRPr="00114F4E">
        <w:rPr>
          <w:rFonts w:eastAsia="標楷體"/>
          <w:sz w:val="32"/>
          <w:szCs w:val="32"/>
        </w:rPr>
        <w:t>三、</w:t>
      </w:r>
      <w:r w:rsidRPr="00114F4E">
        <w:rPr>
          <w:rFonts w:eastAsia="標楷體"/>
          <w:color w:val="000000"/>
          <w:kern w:val="3"/>
          <w:sz w:val="32"/>
          <w:szCs w:val="32"/>
        </w:rPr>
        <w:t>第三</w:t>
      </w:r>
      <w:r w:rsidRPr="00114F4E">
        <w:rPr>
          <w:rFonts w:eastAsia="標楷體"/>
          <w:sz w:val="32"/>
          <w:szCs w:val="32"/>
        </w:rPr>
        <w:t>章　綜計表之編製</w:t>
      </w:r>
    </w:p>
    <w:p w:rsidR="00114F4E" w:rsidRPr="00114F4E" w:rsidRDefault="00166963" w:rsidP="00166963">
      <w:pPr>
        <w:suppressAutoHyphens/>
        <w:autoSpaceDN w:val="0"/>
        <w:snapToGrid w:val="0"/>
        <w:spacing w:line="480" w:lineRule="atLeast"/>
        <w:ind w:leftChars="274" w:left="658" w:firstLineChars="4" w:firstLine="13"/>
        <w:jc w:val="both"/>
        <w:textAlignment w:val="baseline"/>
        <w:rPr>
          <w:rFonts w:eastAsia="標楷體"/>
          <w:sz w:val="32"/>
          <w:szCs w:val="32"/>
        </w:rPr>
      </w:pPr>
      <w:r>
        <w:rPr>
          <w:rFonts w:eastAsia="標楷體" w:hint="eastAsia"/>
          <w:color w:val="000000"/>
          <w:kern w:val="3"/>
          <w:sz w:val="32"/>
          <w:szCs w:val="32"/>
        </w:rPr>
        <w:t xml:space="preserve">    </w:t>
      </w:r>
      <w:r w:rsidR="00114F4E" w:rsidRPr="00114F4E">
        <w:rPr>
          <w:rFonts w:eastAsia="標楷體"/>
          <w:color w:val="000000"/>
          <w:kern w:val="3"/>
          <w:sz w:val="32"/>
          <w:szCs w:val="32"/>
        </w:rPr>
        <w:t>直轄市、縣（市）總預算</w:t>
      </w:r>
      <w:r w:rsidR="00114F4E" w:rsidRPr="00114F4E">
        <w:rPr>
          <w:rFonts w:eastAsia="標楷體"/>
          <w:sz w:val="32"/>
          <w:szCs w:val="32"/>
        </w:rPr>
        <w:t>附屬單位預算及其綜</w:t>
      </w:r>
      <w:proofErr w:type="gramStart"/>
      <w:r w:rsidR="00114F4E" w:rsidRPr="00114F4E">
        <w:rPr>
          <w:rFonts w:eastAsia="標楷體"/>
          <w:sz w:val="32"/>
          <w:szCs w:val="32"/>
        </w:rPr>
        <w:t>計表編製</w:t>
      </w:r>
      <w:proofErr w:type="gramEnd"/>
      <w:r w:rsidR="00114F4E" w:rsidRPr="00114F4E">
        <w:rPr>
          <w:rFonts w:eastAsia="標楷體"/>
          <w:sz w:val="32"/>
          <w:szCs w:val="32"/>
        </w:rPr>
        <w:t>事宜。（第十二點至第十四點）</w:t>
      </w:r>
    </w:p>
    <w:p w:rsidR="00114F4E" w:rsidRPr="00114F4E" w:rsidRDefault="00114F4E" w:rsidP="00114F4E">
      <w:pPr>
        <w:suppressAutoHyphens/>
        <w:autoSpaceDN w:val="0"/>
        <w:snapToGrid w:val="0"/>
        <w:spacing w:line="480" w:lineRule="atLeast"/>
        <w:jc w:val="both"/>
        <w:textAlignment w:val="baseline"/>
        <w:rPr>
          <w:rFonts w:eastAsia="標楷體"/>
          <w:sz w:val="32"/>
          <w:szCs w:val="32"/>
        </w:rPr>
      </w:pPr>
      <w:r w:rsidRPr="00114F4E">
        <w:rPr>
          <w:rFonts w:eastAsia="標楷體"/>
          <w:sz w:val="32"/>
          <w:szCs w:val="32"/>
        </w:rPr>
        <w:t>四、</w:t>
      </w:r>
      <w:r w:rsidRPr="00114F4E">
        <w:rPr>
          <w:rFonts w:eastAsia="標楷體"/>
          <w:color w:val="000000"/>
          <w:kern w:val="3"/>
          <w:sz w:val="32"/>
          <w:szCs w:val="32"/>
        </w:rPr>
        <w:t>第四</w:t>
      </w:r>
      <w:r w:rsidRPr="00114F4E">
        <w:rPr>
          <w:rFonts w:eastAsia="標楷體"/>
          <w:sz w:val="32"/>
          <w:szCs w:val="32"/>
        </w:rPr>
        <w:t>章　附則</w:t>
      </w:r>
    </w:p>
    <w:p w:rsidR="00A51B97" w:rsidRPr="00677F37" w:rsidRDefault="00166963" w:rsidP="00166963">
      <w:pPr>
        <w:suppressAutoHyphens/>
        <w:autoSpaceDN w:val="0"/>
        <w:snapToGrid w:val="0"/>
        <w:spacing w:line="480" w:lineRule="atLeast"/>
        <w:ind w:leftChars="274" w:left="658" w:firstLineChars="4" w:firstLine="13"/>
        <w:jc w:val="both"/>
        <w:textAlignment w:val="baseline"/>
        <w:rPr>
          <w:rFonts w:eastAsia="標楷體"/>
          <w:sz w:val="32"/>
          <w:szCs w:val="32"/>
        </w:rPr>
      </w:pPr>
      <w:r>
        <w:rPr>
          <w:rFonts w:eastAsia="標楷體" w:hint="eastAsia"/>
          <w:sz w:val="32"/>
          <w:szCs w:val="32"/>
        </w:rPr>
        <w:t xml:space="preserve">    </w:t>
      </w:r>
      <w:r w:rsidR="00114F4E" w:rsidRPr="00114F4E">
        <w:rPr>
          <w:rFonts w:eastAsia="標楷體"/>
          <w:sz w:val="32"/>
          <w:szCs w:val="32"/>
        </w:rPr>
        <w:t>行政法人、各基金投資其他事業、政府捐助財團法人及日本撤退臺灣接收其所遺留財產而成立之財團法人之應辦事項，以及由行政院主計總處統一訂定附屬單位預算共同項目編列作業規範、預算科目及書表格式，與</w:t>
      </w:r>
      <w:r w:rsidR="00114F4E" w:rsidRPr="00114F4E">
        <w:rPr>
          <w:rFonts w:eastAsia="標楷體"/>
          <w:color w:val="000000"/>
          <w:kern w:val="3"/>
          <w:sz w:val="32"/>
          <w:szCs w:val="32"/>
        </w:rPr>
        <w:t>直轄市、縣（市）政府主計處訂定</w:t>
      </w:r>
      <w:r w:rsidR="00114F4E" w:rsidRPr="00114F4E">
        <w:rPr>
          <w:rFonts w:eastAsia="標楷體"/>
          <w:sz w:val="32"/>
          <w:szCs w:val="32"/>
        </w:rPr>
        <w:t>附屬單位預算編製日程表等。（第十五點至第二十四點）</w:t>
      </w:r>
      <w:bookmarkEnd w:id="0"/>
    </w:p>
    <w:sectPr w:rsidR="00A51B97" w:rsidRPr="00677F37" w:rsidSect="00114F4E">
      <w:pgSz w:w="11906" w:h="16838"/>
      <w:pgMar w:top="1440" w:right="1133"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083" w:rsidRDefault="00E51083" w:rsidP="001E2410">
      <w:r>
        <w:separator/>
      </w:r>
    </w:p>
  </w:endnote>
  <w:endnote w:type="continuationSeparator" w:id="0">
    <w:p w:rsidR="00E51083" w:rsidRDefault="00E51083" w:rsidP="001E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083" w:rsidRDefault="00E51083" w:rsidP="001E2410">
      <w:r>
        <w:separator/>
      </w:r>
    </w:p>
  </w:footnote>
  <w:footnote w:type="continuationSeparator" w:id="0">
    <w:p w:rsidR="00E51083" w:rsidRDefault="00E51083" w:rsidP="001E2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4E"/>
    <w:rsid w:val="00114F4E"/>
    <w:rsid w:val="00166963"/>
    <w:rsid w:val="001E2410"/>
    <w:rsid w:val="002B1899"/>
    <w:rsid w:val="004248B4"/>
    <w:rsid w:val="00677F37"/>
    <w:rsid w:val="00750AD9"/>
    <w:rsid w:val="008C5AB5"/>
    <w:rsid w:val="00A51B97"/>
    <w:rsid w:val="00E51083"/>
    <w:rsid w:val="00F57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4A8E5F-9848-4F70-80BE-75CB5831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F4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410"/>
    <w:pPr>
      <w:tabs>
        <w:tab w:val="center" w:pos="4153"/>
        <w:tab w:val="right" w:pos="8306"/>
      </w:tabs>
      <w:snapToGrid w:val="0"/>
    </w:pPr>
    <w:rPr>
      <w:sz w:val="20"/>
    </w:rPr>
  </w:style>
  <w:style w:type="character" w:customStyle="1" w:styleId="a4">
    <w:name w:val="頁首 字元"/>
    <w:basedOn w:val="a0"/>
    <w:link w:val="a3"/>
    <w:uiPriority w:val="99"/>
    <w:rsid w:val="001E2410"/>
    <w:rPr>
      <w:rFonts w:ascii="Times New Roman" w:eastAsia="新細明體" w:hAnsi="Times New Roman" w:cs="Times New Roman"/>
      <w:sz w:val="20"/>
      <w:szCs w:val="20"/>
    </w:rPr>
  </w:style>
  <w:style w:type="paragraph" w:styleId="a5">
    <w:name w:val="footer"/>
    <w:basedOn w:val="a"/>
    <w:link w:val="a6"/>
    <w:uiPriority w:val="99"/>
    <w:unhideWhenUsed/>
    <w:rsid w:val="001E2410"/>
    <w:pPr>
      <w:tabs>
        <w:tab w:val="center" w:pos="4153"/>
        <w:tab w:val="right" w:pos="8306"/>
      </w:tabs>
      <w:snapToGrid w:val="0"/>
    </w:pPr>
    <w:rPr>
      <w:sz w:val="20"/>
    </w:rPr>
  </w:style>
  <w:style w:type="character" w:customStyle="1" w:styleId="a6">
    <w:name w:val="頁尾 字元"/>
    <w:basedOn w:val="a0"/>
    <w:link w:val="a5"/>
    <w:uiPriority w:val="99"/>
    <w:rsid w:val="001E241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羅友聰</dc:creator>
  <cp:keywords/>
  <dc:description/>
  <cp:lastModifiedBy>羅友聰</cp:lastModifiedBy>
  <cp:revision>2</cp:revision>
  <cp:lastPrinted>2022-05-03T01:17:00Z</cp:lastPrinted>
  <dcterms:created xsi:type="dcterms:W3CDTF">2022-05-06T06:55:00Z</dcterms:created>
  <dcterms:modified xsi:type="dcterms:W3CDTF">2022-05-06T06:55:00Z</dcterms:modified>
</cp:coreProperties>
</file>