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C31" w:rsidRPr="00927C89" w:rsidRDefault="00584C31">
      <w:pPr>
        <w:pStyle w:val="a3"/>
        <w:rPr>
          <w:rFonts w:ascii="Times New Roman" w:eastAsia="標楷體" w:hAnsi="Times New Roman"/>
          <w:b/>
          <w:spacing w:val="200"/>
          <w:sz w:val="36"/>
          <w:szCs w:val="36"/>
        </w:rPr>
      </w:pPr>
      <w:bookmarkStart w:id="0" w:name="_GoBack"/>
      <w:bookmarkEnd w:id="0"/>
      <w:r w:rsidRPr="00927C89">
        <w:rPr>
          <w:rFonts w:ascii="Times New Roman" w:eastAsia="標楷體" w:hAnsi="Times New Roman"/>
          <w:b/>
          <w:spacing w:val="200"/>
          <w:sz w:val="36"/>
          <w:szCs w:val="36"/>
        </w:rPr>
        <w:t>中央政府債務基金</w:t>
      </w:r>
    </w:p>
    <w:p w:rsidR="00584C31" w:rsidRPr="00927C89" w:rsidRDefault="00584C31" w:rsidP="006E60F7">
      <w:pPr>
        <w:pStyle w:val="a5"/>
        <w:outlineLvl w:val="0"/>
        <w:rPr>
          <w:rFonts w:eastAsia="標楷體"/>
        </w:rPr>
      </w:pPr>
      <w:r w:rsidRPr="00927C89">
        <w:rPr>
          <w:rFonts w:eastAsia="標楷體"/>
        </w:rPr>
        <w:t>一、基金概況</w:t>
      </w:r>
    </w:p>
    <w:p w:rsidR="00584C31" w:rsidRPr="00927C89" w:rsidRDefault="00584C31">
      <w:pPr>
        <w:pStyle w:val="a6"/>
        <w:tabs>
          <w:tab w:val="left" w:pos="7440"/>
        </w:tabs>
        <w:spacing w:line="460" w:lineRule="exact"/>
        <w:ind w:firstLine="607"/>
        <w:rPr>
          <w:rFonts w:eastAsia="標楷體"/>
        </w:rPr>
      </w:pPr>
      <w:r w:rsidRPr="00927C89">
        <w:rPr>
          <w:rFonts w:eastAsia="標楷體"/>
        </w:rPr>
        <w:t>政府為加強債務管理功能與增進償債能力，</w:t>
      </w:r>
      <w:proofErr w:type="gramStart"/>
      <w:r w:rsidRPr="00927C89">
        <w:rPr>
          <w:rFonts w:eastAsia="標楷體"/>
        </w:rPr>
        <w:t>特</w:t>
      </w:r>
      <w:proofErr w:type="gramEnd"/>
      <w:r w:rsidRPr="00927C89">
        <w:rPr>
          <w:rFonts w:eastAsia="標楷體"/>
        </w:rPr>
        <w:t>於</w:t>
      </w:r>
      <w:r w:rsidRPr="00927C89">
        <w:rPr>
          <w:rFonts w:eastAsia="標楷體"/>
        </w:rPr>
        <w:t>88</w:t>
      </w:r>
      <w:r w:rsidRPr="00927C89">
        <w:rPr>
          <w:rFonts w:eastAsia="標楷體"/>
        </w:rPr>
        <w:t>年下半年及</w:t>
      </w:r>
      <w:r w:rsidRPr="00927C89">
        <w:rPr>
          <w:rFonts w:eastAsia="標楷體"/>
        </w:rPr>
        <w:t>89</w:t>
      </w:r>
      <w:r w:rsidRPr="00927C89">
        <w:rPr>
          <w:rFonts w:eastAsia="標楷體"/>
        </w:rPr>
        <w:t>年度，引用現代化債務管理觀念，並</w:t>
      </w:r>
      <w:proofErr w:type="gramStart"/>
      <w:r w:rsidRPr="00927C89">
        <w:rPr>
          <w:rFonts w:eastAsia="標楷體"/>
        </w:rPr>
        <w:t>考量代際負</w:t>
      </w:r>
      <w:proofErr w:type="gramEnd"/>
      <w:r w:rsidRPr="00927C89">
        <w:rPr>
          <w:rFonts w:eastAsia="標楷體"/>
        </w:rPr>
        <w:t>擔公平原則，依「公共債務法」第</w:t>
      </w:r>
      <w:r w:rsidRPr="00927C89">
        <w:rPr>
          <w:rFonts w:eastAsia="標楷體"/>
        </w:rPr>
        <w:t>1</w:t>
      </w:r>
      <w:r w:rsidR="003A4391" w:rsidRPr="00927C89">
        <w:rPr>
          <w:rFonts w:eastAsia="標楷體"/>
        </w:rPr>
        <w:t>1</w:t>
      </w:r>
      <w:r w:rsidRPr="00927C89">
        <w:rPr>
          <w:rFonts w:eastAsia="標楷體"/>
        </w:rPr>
        <w:t>條規定設置本基金。</w:t>
      </w:r>
    </w:p>
    <w:p w:rsidR="00584C31" w:rsidRPr="00927C89" w:rsidRDefault="00584C31" w:rsidP="00D660E3">
      <w:pPr>
        <w:pStyle w:val="a6"/>
        <w:tabs>
          <w:tab w:val="left" w:pos="7440"/>
        </w:tabs>
        <w:spacing w:beforeLines="20" w:before="72" w:line="460" w:lineRule="exact"/>
        <w:rPr>
          <w:rFonts w:eastAsia="標楷體"/>
        </w:rPr>
      </w:pPr>
      <w:r w:rsidRPr="00927C89">
        <w:rPr>
          <w:rFonts w:eastAsia="標楷體"/>
        </w:rPr>
        <w:t>本基金主要任務為在不增加政府原有債務餘額之前提下，籌措</w:t>
      </w:r>
      <w:proofErr w:type="gramStart"/>
      <w:r w:rsidRPr="00927C89">
        <w:rPr>
          <w:rFonts w:eastAsia="標楷體"/>
        </w:rPr>
        <w:t>穩定適</w:t>
      </w:r>
      <w:proofErr w:type="gramEnd"/>
      <w:r w:rsidRPr="00927C89">
        <w:rPr>
          <w:rFonts w:eastAsia="標楷體"/>
        </w:rPr>
        <w:t>足財源，償還政府債務本金，並辦理付息作業；</w:t>
      </w:r>
      <w:proofErr w:type="gramStart"/>
      <w:r w:rsidR="008D0A8F" w:rsidRPr="00927C89">
        <w:rPr>
          <w:rFonts w:eastAsia="標楷體"/>
        </w:rPr>
        <w:t>透過舉新債</w:t>
      </w:r>
      <w:proofErr w:type="gramEnd"/>
      <w:r w:rsidR="008D0A8F" w:rsidRPr="00927C89">
        <w:rPr>
          <w:rFonts w:eastAsia="標楷體"/>
        </w:rPr>
        <w:t>償還舊債之債務轉換，調整債務結構，使債務還本平滑化</w:t>
      </w:r>
      <w:r w:rsidRPr="00927C89">
        <w:rPr>
          <w:rFonts w:eastAsia="標楷體"/>
        </w:rPr>
        <w:t>，以</w:t>
      </w:r>
      <w:proofErr w:type="gramStart"/>
      <w:r w:rsidRPr="00927C89">
        <w:rPr>
          <w:rFonts w:eastAsia="標楷體"/>
        </w:rPr>
        <w:t>符合代際負</w:t>
      </w:r>
      <w:proofErr w:type="gramEnd"/>
      <w:r w:rsidRPr="00927C89">
        <w:rPr>
          <w:rFonts w:eastAsia="標楷體"/>
        </w:rPr>
        <w:t>擔公平原則；將</w:t>
      </w:r>
      <w:proofErr w:type="gramStart"/>
      <w:r w:rsidRPr="00927C89">
        <w:rPr>
          <w:rFonts w:eastAsia="標楷體"/>
        </w:rPr>
        <w:t>原舉借較</w:t>
      </w:r>
      <w:proofErr w:type="gramEnd"/>
      <w:r w:rsidRPr="00927C89">
        <w:rPr>
          <w:rFonts w:eastAsia="標楷體"/>
        </w:rPr>
        <w:t>高利率之債務轉換為較低利率之債務，以減輕債息負擔</w:t>
      </w:r>
      <w:r w:rsidR="009A41A4" w:rsidRPr="00927C89">
        <w:rPr>
          <w:rFonts w:eastAsia="標楷體" w:hint="eastAsia"/>
        </w:rPr>
        <w:t>，俾透過基金有效管理債務</w:t>
      </w:r>
      <w:r w:rsidRPr="00927C89">
        <w:rPr>
          <w:rFonts w:eastAsia="標楷體"/>
        </w:rPr>
        <w:t>，以增闢政府償債財源。</w:t>
      </w:r>
    </w:p>
    <w:p w:rsidR="00584C31" w:rsidRPr="00927C89" w:rsidRDefault="00584C31" w:rsidP="00D660E3">
      <w:pPr>
        <w:pStyle w:val="a6"/>
        <w:tabs>
          <w:tab w:val="left" w:pos="7440"/>
        </w:tabs>
        <w:spacing w:beforeLines="20" w:before="72" w:line="460" w:lineRule="exact"/>
        <w:rPr>
          <w:rFonts w:eastAsia="標楷體"/>
        </w:rPr>
      </w:pPr>
      <w:r w:rsidRPr="00927C89">
        <w:rPr>
          <w:rFonts w:eastAsia="標楷體"/>
        </w:rPr>
        <w:t>本基金係依法定或約定之條件，籌措財源供償還債本</w:t>
      </w:r>
      <w:proofErr w:type="gramStart"/>
      <w:r w:rsidRPr="00927C89">
        <w:rPr>
          <w:rFonts w:eastAsia="標楷體"/>
        </w:rPr>
        <w:t>之</w:t>
      </w:r>
      <w:proofErr w:type="gramEnd"/>
      <w:r w:rsidRPr="00927C89">
        <w:rPr>
          <w:rFonts w:eastAsia="標楷體"/>
        </w:rPr>
        <w:t>用，屬預算法第</w:t>
      </w:r>
      <w:r w:rsidRPr="00927C89">
        <w:rPr>
          <w:rFonts w:eastAsia="標楷體"/>
        </w:rPr>
        <w:t>4</w:t>
      </w:r>
      <w:r w:rsidRPr="00927C89">
        <w:rPr>
          <w:rFonts w:eastAsia="標楷體"/>
        </w:rPr>
        <w:t>條所定之債務基金。</w:t>
      </w:r>
    </w:p>
    <w:p w:rsidR="00584C31" w:rsidRPr="00927C89" w:rsidRDefault="00584C31" w:rsidP="006E60F7">
      <w:pPr>
        <w:pStyle w:val="a5"/>
        <w:outlineLvl w:val="0"/>
        <w:rPr>
          <w:rFonts w:eastAsia="標楷體"/>
        </w:rPr>
      </w:pPr>
      <w:r w:rsidRPr="00927C89">
        <w:rPr>
          <w:rFonts w:eastAsia="標楷體"/>
        </w:rPr>
        <w:t>二、最近</w:t>
      </w:r>
      <w:r w:rsidRPr="00927C89">
        <w:rPr>
          <w:rFonts w:eastAsia="標楷體"/>
        </w:rPr>
        <w:t>5</w:t>
      </w:r>
      <w:r w:rsidRPr="00927C89">
        <w:rPr>
          <w:rFonts w:eastAsia="標楷體"/>
        </w:rPr>
        <w:t>年主要業務項目</w:t>
      </w:r>
    </w:p>
    <w:tbl>
      <w:tblPr>
        <w:tblW w:w="4580" w:type="pct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62"/>
        <w:gridCol w:w="969"/>
        <w:gridCol w:w="1401"/>
        <w:gridCol w:w="1401"/>
        <w:gridCol w:w="1401"/>
        <w:gridCol w:w="1401"/>
        <w:gridCol w:w="1399"/>
      </w:tblGrid>
      <w:tr w:rsidR="00927C89" w:rsidRPr="00927C89" w:rsidTr="00927C89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38" w:type="pct"/>
            <w:vAlign w:val="center"/>
          </w:tcPr>
          <w:p w:rsidR="0068440B" w:rsidRPr="00927C89" w:rsidRDefault="0068440B" w:rsidP="00927C89">
            <w:pPr>
              <w:pStyle w:val="a5"/>
              <w:spacing w:before="0" w:after="0"/>
              <w:jc w:val="center"/>
              <w:rPr>
                <w:rFonts w:eastAsia="標楷體"/>
                <w:b w:val="0"/>
                <w:sz w:val="22"/>
                <w:szCs w:val="22"/>
              </w:rPr>
            </w:pPr>
            <w:r w:rsidRPr="00927C89">
              <w:rPr>
                <w:rFonts w:eastAsia="標楷體"/>
                <w:b w:val="0"/>
                <w:sz w:val="22"/>
                <w:szCs w:val="22"/>
              </w:rPr>
              <w:t>項</w:t>
            </w:r>
            <w:r w:rsidRPr="00927C89">
              <w:rPr>
                <w:rFonts w:eastAsia="標楷體"/>
                <w:b w:val="0"/>
                <w:sz w:val="22"/>
                <w:szCs w:val="22"/>
              </w:rPr>
              <w:t xml:space="preserve"> </w:t>
            </w:r>
            <w:r w:rsidRPr="00927C89">
              <w:rPr>
                <w:rFonts w:eastAsia="標楷體"/>
                <w:b w:val="0"/>
                <w:sz w:val="22"/>
                <w:szCs w:val="22"/>
              </w:rPr>
              <w:t>目</w:t>
            </w:r>
          </w:p>
        </w:tc>
        <w:tc>
          <w:tcPr>
            <w:tcW w:w="542" w:type="pct"/>
            <w:vAlign w:val="center"/>
          </w:tcPr>
          <w:p w:rsidR="0068440B" w:rsidRPr="00927C89" w:rsidRDefault="0068440B" w:rsidP="00927C89">
            <w:pPr>
              <w:pStyle w:val="a5"/>
              <w:spacing w:before="0" w:after="0"/>
              <w:jc w:val="center"/>
              <w:rPr>
                <w:rFonts w:eastAsia="標楷體" w:hint="eastAsia"/>
                <w:b w:val="0"/>
                <w:sz w:val="22"/>
                <w:szCs w:val="22"/>
              </w:rPr>
            </w:pPr>
            <w:r w:rsidRPr="00927C89">
              <w:rPr>
                <w:rFonts w:eastAsia="標楷體" w:hint="eastAsia"/>
                <w:b w:val="0"/>
                <w:sz w:val="22"/>
                <w:szCs w:val="22"/>
              </w:rPr>
              <w:t>單位</w:t>
            </w:r>
          </w:p>
        </w:tc>
        <w:tc>
          <w:tcPr>
            <w:tcW w:w="784" w:type="pct"/>
            <w:vAlign w:val="center"/>
          </w:tcPr>
          <w:p w:rsidR="0068440B" w:rsidRPr="00927C89" w:rsidRDefault="0068440B" w:rsidP="0068440B">
            <w:pPr>
              <w:pStyle w:val="a5"/>
              <w:autoSpaceDN w:val="0"/>
              <w:spacing w:before="0" w:after="0"/>
              <w:ind w:leftChars="50" w:left="120" w:rightChars="50" w:right="120"/>
              <w:jc w:val="distribute"/>
              <w:rPr>
                <w:rFonts w:eastAsia="標楷體"/>
                <w:b w:val="0"/>
                <w:sz w:val="22"/>
                <w:szCs w:val="22"/>
              </w:rPr>
            </w:pPr>
            <w:proofErr w:type="gramStart"/>
            <w:r w:rsidRPr="00927C89">
              <w:rPr>
                <w:rFonts w:eastAsia="標楷體"/>
                <w:b w:val="0"/>
                <w:sz w:val="22"/>
                <w:szCs w:val="22"/>
              </w:rPr>
              <w:t>105</w:t>
            </w:r>
            <w:proofErr w:type="gramEnd"/>
            <w:r w:rsidRPr="00927C89">
              <w:rPr>
                <w:rFonts w:eastAsia="標楷體"/>
                <w:b w:val="0"/>
                <w:sz w:val="22"/>
                <w:szCs w:val="22"/>
              </w:rPr>
              <w:t>年度</w:t>
            </w:r>
          </w:p>
          <w:p w:rsidR="0068440B" w:rsidRPr="00927C89" w:rsidRDefault="0068440B" w:rsidP="0068440B">
            <w:pPr>
              <w:pStyle w:val="a5"/>
              <w:autoSpaceDN w:val="0"/>
              <w:spacing w:before="0" w:after="0"/>
              <w:ind w:leftChars="50" w:left="120" w:rightChars="50" w:right="120"/>
              <w:jc w:val="distribute"/>
              <w:rPr>
                <w:rFonts w:eastAsia="標楷體"/>
                <w:b w:val="0"/>
                <w:sz w:val="22"/>
                <w:szCs w:val="22"/>
              </w:rPr>
            </w:pPr>
            <w:r w:rsidRPr="00927C89">
              <w:rPr>
                <w:rFonts w:eastAsia="標楷體"/>
                <w:b w:val="0"/>
                <w:sz w:val="22"/>
                <w:szCs w:val="22"/>
              </w:rPr>
              <w:t>決算數</w:t>
            </w:r>
          </w:p>
        </w:tc>
        <w:tc>
          <w:tcPr>
            <w:tcW w:w="784" w:type="pct"/>
            <w:vAlign w:val="center"/>
          </w:tcPr>
          <w:p w:rsidR="0068440B" w:rsidRPr="00927C89" w:rsidRDefault="0068440B" w:rsidP="0068440B">
            <w:pPr>
              <w:pStyle w:val="a5"/>
              <w:autoSpaceDN w:val="0"/>
              <w:spacing w:before="0" w:after="0"/>
              <w:ind w:leftChars="50" w:left="120" w:rightChars="50" w:right="120"/>
              <w:jc w:val="distribute"/>
              <w:rPr>
                <w:rFonts w:eastAsia="標楷體"/>
                <w:b w:val="0"/>
                <w:sz w:val="22"/>
                <w:szCs w:val="22"/>
              </w:rPr>
            </w:pPr>
            <w:proofErr w:type="gramStart"/>
            <w:r w:rsidRPr="00927C89">
              <w:rPr>
                <w:rFonts w:eastAsia="標楷體"/>
                <w:b w:val="0"/>
                <w:sz w:val="22"/>
                <w:szCs w:val="22"/>
              </w:rPr>
              <w:t>106</w:t>
            </w:r>
            <w:proofErr w:type="gramEnd"/>
            <w:r w:rsidRPr="00927C89">
              <w:rPr>
                <w:rFonts w:eastAsia="標楷體"/>
                <w:b w:val="0"/>
                <w:sz w:val="22"/>
                <w:szCs w:val="22"/>
              </w:rPr>
              <w:t>年度</w:t>
            </w:r>
          </w:p>
          <w:p w:rsidR="0068440B" w:rsidRPr="00927C89" w:rsidRDefault="0068440B" w:rsidP="0068440B">
            <w:pPr>
              <w:pStyle w:val="a5"/>
              <w:autoSpaceDN w:val="0"/>
              <w:spacing w:before="0" w:after="0"/>
              <w:ind w:leftChars="50" w:left="120" w:rightChars="50" w:right="120"/>
              <w:jc w:val="distribute"/>
              <w:rPr>
                <w:rFonts w:eastAsia="標楷體"/>
                <w:b w:val="0"/>
                <w:sz w:val="22"/>
                <w:szCs w:val="22"/>
              </w:rPr>
            </w:pPr>
            <w:r w:rsidRPr="00927C89">
              <w:rPr>
                <w:rFonts w:eastAsia="標楷體"/>
                <w:b w:val="0"/>
                <w:sz w:val="22"/>
                <w:szCs w:val="22"/>
              </w:rPr>
              <w:t>決算數</w:t>
            </w:r>
          </w:p>
        </w:tc>
        <w:tc>
          <w:tcPr>
            <w:tcW w:w="784" w:type="pct"/>
            <w:vAlign w:val="center"/>
          </w:tcPr>
          <w:p w:rsidR="0068440B" w:rsidRPr="00927C89" w:rsidRDefault="0068440B" w:rsidP="0068440B">
            <w:pPr>
              <w:pStyle w:val="a5"/>
              <w:autoSpaceDN w:val="0"/>
              <w:spacing w:before="0" w:after="0"/>
              <w:ind w:leftChars="50" w:left="120" w:rightChars="50" w:right="120"/>
              <w:jc w:val="distribute"/>
              <w:rPr>
                <w:rFonts w:eastAsia="標楷體"/>
                <w:b w:val="0"/>
                <w:sz w:val="22"/>
                <w:szCs w:val="22"/>
              </w:rPr>
            </w:pPr>
            <w:proofErr w:type="gramStart"/>
            <w:r w:rsidRPr="00927C89">
              <w:rPr>
                <w:rFonts w:eastAsia="標楷體"/>
                <w:b w:val="0"/>
                <w:sz w:val="22"/>
                <w:szCs w:val="22"/>
              </w:rPr>
              <w:t>107</w:t>
            </w:r>
            <w:proofErr w:type="gramEnd"/>
            <w:r w:rsidRPr="00927C89">
              <w:rPr>
                <w:rFonts w:eastAsia="標楷體"/>
                <w:b w:val="0"/>
                <w:sz w:val="22"/>
                <w:szCs w:val="22"/>
              </w:rPr>
              <w:t>年度</w:t>
            </w:r>
          </w:p>
          <w:p w:rsidR="0068440B" w:rsidRPr="00927C89" w:rsidRDefault="0068440B" w:rsidP="0068440B">
            <w:pPr>
              <w:pStyle w:val="a5"/>
              <w:autoSpaceDN w:val="0"/>
              <w:spacing w:before="0" w:after="0"/>
              <w:ind w:leftChars="50" w:left="120" w:rightChars="50" w:right="120"/>
              <w:jc w:val="distribute"/>
              <w:rPr>
                <w:rFonts w:eastAsia="標楷體"/>
                <w:b w:val="0"/>
                <w:sz w:val="22"/>
                <w:szCs w:val="22"/>
              </w:rPr>
            </w:pPr>
            <w:r w:rsidRPr="00927C89">
              <w:rPr>
                <w:rFonts w:eastAsia="標楷體"/>
                <w:b w:val="0"/>
                <w:sz w:val="22"/>
                <w:szCs w:val="22"/>
              </w:rPr>
              <w:t>決算數</w:t>
            </w:r>
          </w:p>
        </w:tc>
        <w:tc>
          <w:tcPr>
            <w:tcW w:w="784" w:type="pct"/>
            <w:vAlign w:val="center"/>
          </w:tcPr>
          <w:p w:rsidR="0068440B" w:rsidRPr="00927C89" w:rsidRDefault="0068440B" w:rsidP="0068440B">
            <w:pPr>
              <w:pStyle w:val="a5"/>
              <w:autoSpaceDN w:val="0"/>
              <w:spacing w:before="0" w:after="0"/>
              <w:ind w:leftChars="50" w:left="120" w:rightChars="50" w:right="120"/>
              <w:jc w:val="distribute"/>
              <w:rPr>
                <w:rFonts w:eastAsia="標楷體"/>
                <w:b w:val="0"/>
                <w:sz w:val="22"/>
                <w:szCs w:val="22"/>
              </w:rPr>
            </w:pPr>
            <w:proofErr w:type="gramStart"/>
            <w:r w:rsidRPr="00927C89">
              <w:rPr>
                <w:rFonts w:eastAsia="標楷體"/>
                <w:b w:val="0"/>
                <w:sz w:val="22"/>
                <w:szCs w:val="22"/>
              </w:rPr>
              <w:t>108</w:t>
            </w:r>
            <w:proofErr w:type="gramEnd"/>
            <w:r w:rsidRPr="00927C89">
              <w:rPr>
                <w:rFonts w:eastAsia="標楷體"/>
                <w:b w:val="0"/>
                <w:sz w:val="22"/>
                <w:szCs w:val="22"/>
              </w:rPr>
              <w:t>年度</w:t>
            </w:r>
          </w:p>
          <w:p w:rsidR="0068440B" w:rsidRPr="00927C89" w:rsidRDefault="0068440B" w:rsidP="0068440B">
            <w:pPr>
              <w:pStyle w:val="a5"/>
              <w:autoSpaceDN w:val="0"/>
              <w:spacing w:before="0" w:after="0"/>
              <w:ind w:leftChars="50" w:left="120" w:rightChars="50" w:right="120"/>
              <w:jc w:val="distribute"/>
              <w:rPr>
                <w:rFonts w:eastAsia="標楷體"/>
                <w:b w:val="0"/>
                <w:sz w:val="22"/>
                <w:szCs w:val="22"/>
              </w:rPr>
            </w:pPr>
            <w:r w:rsidRPr="00927C89">
              <w:rPr>
                <w:rFonts w:eastAsia="標楷體"/>
                <w:b w:val="0"/>
                <w:sz w:val="22"/>
                <w:szCs w:val="22"/>
              </w:rPr>
              <w:t>預算數</w:t>
            </w:r>
          </w:p>
        </w:tc>
        <w:tc>
          <w:tcPr>
            <w:tcW w:w="783" w:type="pct"/>
            <w:vAlign w:val="center"/>
          </w:tcPr>
          <w:p w:rsidR="0068440B" w:rsidRPr="00927C89" w:rsidRDefault="0068440B" w:rsidP="0068440B">
            <w:pPr>
              <w:pStyle w:val="a5"/>
              <w:autoSpaceDN w:val="0"/>
              <w:spacing w:before="0" w:after="0"/>
              <w:ind w:leftChars="50" w:left="120" w:rightChars="50" w:right="120"/>
              <w:jc w:val="distribute"/>
              <w:rPr>
                <w:rFonts w:eastAsia="標楷體"/>
                <w:b w:val="0"/>
                <w:sz w:val="22"/>
                <w:szCs w:val="22"/>
              </w:rPr>
            </w:pPr>
            <w:proofErr w:type="gramStart"/>
            <w:r w:rsidRPr="00927C89">
              <w:rPr>
                <w:rFonts w:eastAsia="標楷體"/>
                <w:b w:val="0"/>
                <w:sz w:val="22"/>
                <w:szCs w:val="22"/>
              </w:rPr>
              <w:t>109</w:t>
            </w:r>
            <w:proofErr w:type="gramEnd"/>
            <w:r w:rsidRPr="00927C89">
              <w:rPr>
                <w:rFonts w:eastAsia="標楷體"/>
                <w:b w:val="0"/>
                <w:sz w:val="22"/>
                <w:szCs w:val="22"/>
              </w:rPr>
              <w:t>年度</w:t>
            </w:r>
          </w:p>
          <w:p w:rsidR="0068440B" w:rsidRPr="00927C89" w:rsidRDefault="0068440B" w:rsidP="0068440B">
            <w:pPr>
              <w:pStyle w:val="a5"/>
              <w:autoSpaceDN w:val="0"/>
              <w:spacing w:before="0" w:after="0"/>
              <w:ind w:leftChars="50" w:left="120" w:rightChars="50" w:right="120"/>
              <w:jc w:val="distribute"/>
              <w:rPr>
                <w:rFonts w:eastAsia="標楷體"/>
                <w:b w:val="0"/>
                <w:sz w:val="22"/>
                <w:szCs w:val="22"/>
              </w:rPr>
            </w:pPr>
            <w:r w:rsidRPr="00927C89">
              <w:rPr>
                <w:rFonts w:eastAsia="標楷體"/>
                <w:b w:val="0"/>
                <w:sz w:val="22"/>
                <w:szCs w:val="22"/>
              </w:rPr>
              <w:t>預算數</w:t>
            </w:r>
          </w:p>
        </w:tc>
      </w:tr>
      <w:tr w:rsidR="00927C89" w:rsidRPr="00927C89" w:rsidTr="00927C89">
        <w:tblPrEx>
          <w:tblCellMar>
            <w:top w:w="0" w:type="dxa"/>
            <w:bottom w:w="0" w:type="dxa"/>
          </w:tblCellMar>
        </w:tblPrEx>
        <w:trPr>
          <w:trHeight w:val="785"/>
        </w:trPr>
        <w:tc>
          <w:tcPr>
            <w:tcW w:w="538" w:type="pct"/>
            <w:vAlign w:val="center"/>
          </w:tcPr>
          <w:p w:rsidR="0068440B" w:rsidRPr="00927C89" w:rsidRDefault="0068440B" w:rsidP="00927C89">
            <w:pPr>
              <w:pStyle w:val="a5"/>
              <w:spacing w:before="0" w:after="0"/>
              <w:jc w:val="right"/>
              <w:rPr>
                <w:rFonts w:eastAsia="標楷體"/>
                <w:b w:val="0"/>
                <w:sz w:val="22"/>
                <w:szCs w:val="22"/>
              </w:rPr>
            </w:pPr>
            <w:r w:rsidRPr="00927C89">
              <w:rPr>
                <w:rFonts w:eastAsia="標楷體"/>
                <w:b w:val="0"/>
                <w:sz w:val="22"/>
                <w:szCs w:val="22"/>
              </w:rPr>
              <w:t>還本付息計畫</w:t>
            </w:r>
          </w:p>
        </w:tc>
        <w:tc>
          <w:tcPr>
            <w:tcW w:w="542" w:type="pct"/>
            <w:vAlign w:val="center"/>
          </w:tcPr>
          <w:p w:rsidR="00927C89" w:rsidRPr="00927C89" w:rsidRDefault="0068440B" w:rsidP="00927C89">
            <w:pPr>
              <w:pStyle w:val="a5"/>
              <w:spacing w:before="0" w:after="0"/>
              <w:jc w:val="distribute"/>
              <w:rPr>
                <w:rFonts w:eastAsia="標楷體"/>
                <w:b w:val="0"/>
                <w:sz w:val="22"/>
                <w:szCs w:val="22"/>
              </w:rPr>
            </w:pPr>
            <w:r w:rsidRPr="00927C89">
              <w:rPr>
                <w:rFonts w:eastAsia="標楷體" w:hint="eastAsia"/>
                <w:b w:val="0"/>
                <w:sz w:val="22"/>
                <w:szCs w:val="22"/>
              </w:rPr>
              <w:t>新臺幣</w:t>
            </w:r>
          </w:p>
          <w:p w:rsidR="0068440B" w:rsidRPr="00927C89" w:rsidRDefault="0068440B" w:rsidP="00927C89">
            <w:pPr>
              <w:pStyle w:val="a5"/>
              <w:spacing w:before="0" w:after="0"/>
              <w:jc w:val="distribute"/>
              <w:rPr>
                <w:rFonts w:eastAsia="標楷體" w:hint="eastAsia"/>
                <w:b w:val="0"/>
                <w:sz w:val="22"/>
                <w:szCs w:val="22"/>
              </w:rPr>
            </w:pPr>
            <w:r w:rsidRPr="00927C89">
              <w:rPr>
                <w:rFonts w:eastAsia="標楷體" w:hint="eastAsia"/>
                <w:b w:val="0"/>
                <w:sz w:val="22"/>
                <w:szCs w:val="22"/>
              </w:rPr>
              <w:t>千元</w:t>
            </w:r>
          </w:p>
        </w:tc>
        <w:tc>
          <w:tcPr>
            <w:tcW w:w="784" w:type="pct"/>
            <w:vAlign w:val="center"/>
          </w:tcPr>
          <w:p w:rsidR="0068440B" w:rsidRPr="00927C89" w:rsidRDefault="0068440B" w:rsidP="0068440B">
            <w:pPr>
              <w:pStyle w:val="a5"/>
              <w:spacing w:before="0" w:after="0"/>
              <w:jc w:val="right"/>
              <w:rPr>
                <w:rFonts w:eastAsia="標楷體"/>
                <w:b w:val="0"/>
                <w:spacing w:val="0"/>
                <w:sz w:val="22"/>
                <w:szCs w:val="22"/>
              </w:rPr>
            </w:pPr>
            <w:r w:rsidRPr="00927C89">
              <w:rPr>
                <w:rFonts w:eastAsia="標楷體"/>
                <w:b w:val="0"/>
                <w:spacing w:val="0"/>
                <w:sz w:val="22"/>
                <w:szCs w:val="22"/>
              </w:rPr>
              <w:t>1,034,345,701</w:t>
            </w:r>
          </w:p>
        </w:tc>
        <w:tc>
          <w:tcPr>
            <w:tcW w:w="784" w:type="pct"/>
            <w:vAlign w:val="center"/>
          </w:tcPr>
          <w:p w:rsidR="0068440B" w:rsidRPr="00927C89" w:rsidRDefault="0068440B" w:rsidP="0068440B">
            <w:pPr>
              <w:pStyle w:val="a5"/>
              <w:spacing w:before="0" w:after="0"/>
              <w:jc w:val="right"/>
              <w:rPr>
                <w:rFonts w:eastAsia="標楷體"/>
                <w:b w:val="0"/>
                <w:spacing w:val="0"/>
                <w:sz w:val="22"/>
                <w:szCs w:val="22"/>
              </w:rPr>
            </w:pPr>
            <w:r w:rsidRPr="00927C89">
              <w:rPr>
                <w:rFonts w:eastAsia="標楷體"/>
                <w:b w:val="0"/>
                <w:spacing w:val="0"/>
                <w:sz w:val="22"/>
                <w:szCs w:val="22"/>
              </w:rPr>
              <w:t>803,859,133</w:t>
            </w:r>
          </w:p>
        </w:tc>
        <w:tc>
          <w:tcPr>
            <w:tcW w:w="784" w:type="pct"/>
            <w:vAlign w:val="center"/>
          </w:tcPr>
          <w:p w:rsidR="0068440B" w:rsidRPr="00927C89" w:rsidRDefault="0068440B" w:rsidP="0068440B">
            <w:pPr>
              <w:pStyle w:val="a5"/>
              <w:spacing w:before="0" w:after="0"/>
              <w:jc w:val="right"/>
              <w:rPr>
                <w:rFonts w:eastAsia="標楷體"/>
                <w:b w:val="0"/>
                <w:spacing w:val="0"/>
                <w:sz w:val="22"/>
                <w:szCs w:val="22"/>
              </w:rPr>
            </w:pPr>
            <w:r w:rsidRPr="00927C89">
              <w:rPr>
                <w:rFonts w:eastAsia="標楷體"/>
                <w:b w:val="0"/>
                <w:spacing w:val="0"/>
                <w:sz w:val="22"/>
                <w:szCs w:val="22"/>
              </w:rPr>
              <w:t>777,897,862</w:t>
            </w:r>
          </w:p>
        </w:tc>
        <w:tc>
          <w:tcPr>
            <w:tcW w:w="784" w:type="pct"/>
            <w:vAlign w:val="center"/>
          </w:tcPr>
          <w:p w:rsidR="0068440B" w:rsidRPr="00927C89" w:rsidRDefault="0068440B" w:rsidP="0068440B">
            <w:pPr>
              <w:pStyle w:val="a5"/>
              <w:spacing w:before="0" w:after="0"/>
              <w:jc w:val="right"/>
              <w:rPr>
                <w:rFonts w:eastAsia="標楷體"/>
                <w:b w:val="0"/>
                <w:spacing w:val="0"/>
                <w:sz w:val="22"/>
                <w:szCs w:val="22"/>
              </w:rPr>
            </w:pPr>
            <w:r w:rsidRPr="00927C89">
              <w:rPr>
                <w:rFonts w:eastAsia="標楷體"/>
                <w:b w:val="0"/>
                <w:spacing w:val="0"/>
                <w:sz w:val="22"/>
                <w:szCs w:val="22"/>
              </w:rPr>
              <w:t>811,321,515</w:t>
            </w:r>
          </w:p>
        </w:tc>
        <w:tc>
          <w:tcPr>
            <w:tcW w:w="783" w:type="pct"/>
            <w:vAlign w:val="center"/>
          </w:tcPr>
          <w:p w:rsidR="0068440B" w:rsidRPr="00927C89" w:rsidRDefault="001F688B" w:rsidP="0068440B">
            <w:pPr>
              <w:pStyle w:val="a5"/>
              <w:spacing w:before="0" w:after="0"/>
              <w:jc w:val="right"/>
              <w:rPr>
                <w:rFonts w:eastAsia="標楷體"/>
                <w:b w:val="0"/>
                <w:spacing w:val="0"/>
                <w:sz w:val="22"/>
                <w:szCs w:val="22"/>
              </w:rPr>
            </w:pPr>
            <w:r w:rsidRPr="00927C89">
              <w:rPr>
                <w:rFonts w:eastAsia="標楷體"/>
                <w:b w:val="0"/>
                <w:spacing w:val="0"/>
                <w:sz w:val="22"/>
                <w:szCs w:val="22"/>
              </w:rPr>
              <w:t>779,091,769</w:t>
            </w:r>
          </w:p>
        </w:tc>
      </w:tr>
    </w:tbl>
    <w:p w:rsidR="00584C31" w:rsidRPr="00927C89" w:rsidRDefault="00584C31" w:rsidP="00D660E3">
      <w:pPr>
        <w:pStyle w:val="a5"/>
        <w:spacing w:beforeLines="100" w:before="360" w:after="0"/>
        <w:rPr>
          <w:rFonts w:eastAsia="標楷體"/>
        </w:rPr>
      </w:pPr>
      <w:r w:rsidRPr="00927C89">
        <w:rPr>
          <w:rFonts w:eastAsia="標楷體"/>
        </w:rPr>
        <w:t>三、本年度業務計畫及預算</w:t>
      </w:r>
    </w:p>
    <w:p w:rsidR="00584C31" w:rsidRDefault="00584C31" w:rsidP="00D660E3">
      <w:pPr>
        <w:pStyle w:val="a7"/>
        <w:spacing w:beforeLines="20" w:before="72" w:line="300" w:lineRule="exact"/>
        <w:ind w:left="714"/>
        <w:rPr>
          <w:rFonts w:eastAsia="標楷體"/>
        </w:rPr>
      </w:pPr>
      <w:r w:rsidRPr="00927C89">
        <w:rPr>
          <w:rFonts w:eastAsia="標楷體"/>
        </w:rPr>
        <w:t>(</w:t>
      </w:r>
      <w:proofErr w:type="gramStart"/>
      <w:r w:rsidRPr="00927C89">
        <w:rPr>
          <w:rFonts w:eastAsia="標楷體"/>
        </w:rPr>
        <w:t>一</w:t>
      </w:r>
      <w:proofErr w:type="gramEnd"/>
      <w:r w:rsidRPr="00927C89">
        <w:rPr>
          <w:rFonts w:eastAsia="標楷體"/>
        </w:rPr>
        <w:t>)</w:t>
      </w:r>
      <w:r w:rsidR="00013E9B" w:rsidRPr="00927C89">
        <w:rPr>
          <w:rFonts w:eastAsia="標楷體"/>
        </w:rPr>
        <w:t>主要業務計畫</w:t>
      </w:r>
    </w:p>
    <w:p w:rsidR="000B573E" w:rsidRPr="00927C89" w:rsidRDefault="000B573E" w:rsidP="000B573E">
      <w:pPr>
        <w:pStyle w:val="a7"/>
        <w:spacing w:beforeLines="50" w:before="180" w:line="300" w:lineRule="exact"/>
        <w:ind w:left="714" w:firstLineChars="376" w:firstLine="1128"/>
        <w:rPr>
          <w:rFonts w:eastAsia="標楷體" w:hint="eastAsia"/>
        </w:rPr>
      </w:pPr>
      <w:r>
        <w:rPr>
          <w:rFonts w:eastAsia="標楷體" w:hint="eastAsia"/>
        </w:rPr>
        <w:t>本（</w:t>
      </w:r>
      <w:r>
        <w:rPr>
          <w:rFonts w:eastAsia="標楷體" w:hint="eastAsia"/>
        </w:rPr>
        <w:t>1</w:t>
      </w:r>
      <w:r>
        <w:rPr>
          <w:rFonts w:eastAsia="標楷體"/>
        </w:rPr>
        <w:t>09</w:t>
      </w:r>
      <w:r>
        <w:rPr>
          <w:rFonts w:eastAsia="標楷體" w:hint="eastAsia"/>
        </w:rPr>
        <w:t>）年度主要業務計畫分述如下：</w:t>
      </w:r>
    </w:p>
    <w:p w:rsidR="00584C31" w:rsidRPr="00927C89" w:rsidRDefault="00584C31" w:rsidP="000B573E">
      <w:pPr>
        <w:pStyle w:val="13"/>
        <w:spacing w:line="460" w:lineRule="exact"/>
        <w:ind w:left="1451" w:hanging="238"/>
        <w:rPr>
          <w:rFonts w:eastAsia="標楷體"/>
        </w:rPr>
      </w:pPr>
      <w:r w:rsidRPr="00927C89">
        <w:rPr>
          <w:rFonts w:eastAsia="標楷體"/>
        </w:rPr>
        <w:t>1.</w:t>
      </w:r>
      <w:r w:rsidRPr="00927C89">
        <w:rPr>
          <w:rFonts w:eastAsia="標楷體"/>
        </w:rPr>
        <w:t>籌措</w:t>
      </w:r>
      <w:proofErr w:type="gramStart"/>
      <w:r w:rsidRPr="00927C89">
        <w:rPr>
          <w:rFonts w:eastAsia="標楷體"/>
        </w:rPr>
        <w:t>穩定適</w:t>
      </w:r>
      <w:proofErr w:type="gramEnd"/>
      <w:r w:rsidRPr="00927C89">
        <w:rPr>
          <w:rFonts w:eastAsia="標楷體"/>
        </w:rPr>
        <w:t>足財源，償還政府債務本金</w:t>
      </w:r>
      <w:r w:rsidR="0068440B" w:rsidRPr="00927C89">
        <w:rPr>
          <w:rFonts w:eastAsia="標楷體"/>
        </w:rPr>
        <w:t>6,744</w:t>
      </w:r>
      <w:r w:rsidRPr="00927C89">
        <w:rPr>
          <w:rFonts w:eastAsia="標楷體"/>
        </w:rPr>
        <w:t>億</w:t>
      </w:r>
      <w:r w:rsidR="0068440B" w:rsidRPr="00927C89">
        <w:rPr>
          <w:rFonts w:eastAsia="標楷體"/>
        </w:rPr>
        <w:t>4,340</w:t>
      </w:r>
      <w:r w:rsidR="00F47522" w:rsidRPr="00927C89">
        <w:rPr>
          <w:rFonts w:eastAsia="標楷體"/>
        </w:rPr>
        <w:t>萬</w:t>
      </w:r>
      <w:r w:rsidRPr="00927C89">
        <w:rPr>
          <w:rFonts w:eastAsia="標楷體"/>
        </w:rPr>
        <w:t>元。</w:t>
      </w:r>
    </w:p>
    <w:p w:rsidR="00584C31" w:rsidRPr="00927C89" w:rsidRDefault="00584C31" w:rsidP="00D660E3">
      <w:pPr>
        <w:pStyle w:val="13"/>
        <w:spacing w:beforeLines="10" w:before="36" w:line="460" w:lineRule="exact"/>
        <w:ind w:left="1451" w:hanging="238"/>
        <w:rPr>
          <w:rFonts w:eastAsia="標楷體"/>
        </w:rPr>
      </w:pPr>
      <w:r w:rsidRPr="00927C89">
        <w:rPr>
          <w:rFonts w:eastAsia="標楷體"/>
        </w:rPr>
        <w:t>2.</w:t>
      </w:r>
      <w:r w:rsidRPr="00927C89">
        <w:rPr>
          <w:rFonts w:eastAsia="標楷體"/>
        </w:rPr>
        <w:t>辦理普通基金債務利息及相關手續費之支付計</w:t>
      </w:r>
      <w:r w:rsidR="0068440B" w:rsidRPr="00927C89">
        <w:rPr>
          <w:rFonts w:eastAsia="標楷體"/>
        </w:rPr>
        <w:t>1,046</w:t>
      </w:r>
      <w:r w:rsidR="00D603C2" w:rsidRPr="00927C89">
        <w:rPr>
          <w:rFonts w:eastAsia="標楷體"/>
        </w:rPr>
        <w:t>億</w:t>
      </w:r>
      <w:r w:rsidR="001F688B" w:rsidRPr="00927C89">
        <w:rPr>
          <w:rFonts w:eastAsia="標楷體"/>
        </w:rPr>
        <w:t>4,836</w:t>
      </w:r>
      <w:r w:rsidR="00D603C2" w:rsidRPr="00927C89">
        <w:rPr>
          <w:rFonts w:eastAsia="標楷體"/>
        </w:rPr>
        <w:t>萬</w:t>
      </w:r>
      <w:r w:rsidR="001F688B" w:rsidRPr="00927C89">
        <w:rPr>
          <w:rFonts w:eastAsia="標楷體"/>
        </w:rPr>
        <w:t>9</w:t>
      </w:r>
      <w:r w:rsidR="005B4CDB" w:rsidRPr="00927C89">
        <w:rPr>
          <w:rFonts w:eastAsia="標楷體"/>
        </w:rPr>
        <w:t>,000</w:t>
      </w:r>
      <w:r w:rsidR="00D603C2" w:rsidRPr="00927C89">
        <w:rPr>
          <w:rFonts w:eastAsia="標楷體"/>
        </w:rPr>
        <w:t>元</w:t>
      </w:r>
      <w:r w:rsidRPr="00927C89">
        <w:rPr>
          <w:rFonts w:eastAsia="標楷體"/>
        </w:rPr>
        <w:t>，包括債務付息</w:t>
      </w:r>
      <w:r w:rsidR="0068440B" w:rsidRPr="00927C89">
        <w:rPr>
          <w:rFonts w:eastAsia="標楷體"/>
        </w:rPr>
        <w:t>1,042</w:t>
      </w:r>
      <w:r w:rsidR="0068440B" w:rsidRPr="00927C89">
        <w:rPr>
          <w:rFonts w:eastAsia="標楷體"/>
        </w:rPr>
        <w:t>億</w:t>
      </w:r>
      <w:r w:rsidR="001F688B" w:rsidRPr="00927C89">
        <w:rPr>
          <w:rFonts w:eastAsia="標楷體"/>
        </w:rPr>
        <w:t>4,071</w:t>
      </w:r>
      <w:r w:rsidR="0068440B" w:rsidRPr="00927C89">
        <w:rPr>
          <w:rFonts w:eastAsia="標楷體"/>
        </w:rPr>
        <w:t>萬</w:t>
      </w:r>
      <w:r w:rsidR="001F688B" w:rsidRPr="00927C89">
        <w:rPr>
          <w:rFonts w:eastAsia="標楷體"/>
        </w:rPr>
        <w:t>9</w:t>
      </w:r>
      <w:r w:rsidR="0068440B" w:rsidRPr="00927C89">
        <w:rPr>
          <w:rFonts w:eastAsia="標楷體"/>
        </w:rPr>
        <w:t>,000</w:t>
      </w:r>
      <w:r w:rsidR="0068440B" w:rsidRPr="00927C89">
        <w:rPr>
          <w:rFonts w:eastAsia="標楷體"/>
        </w:rPr>
        <w:t>元</w:t>
      </w:r>
      <w:r w:rsidRPr="00927C89">
        <w:rPr>
          <w:rFonts w:eastAsia="標楷體"/>
        </w:rPr>
        <w:t>，事務費</w:t>
      </w:r>
      <w:r w:rsidR="00D85E73" w:rsidRPr="00927C89">
        <w:rPr>
          <w:rFonts w:eastAsia="標楷體"/>
        </w:rPr>
        <w:t>4</w:t>
      </w:r>
      <w:r w:rsidR="00D603C2" w:rsidRPr="00927C89">
        <w:rPr>
          <w:rFonts w:eastAsia="標楷體"/>
        </w:rPr>
        <w:t>億</w:t>
      </w:r>
      <w:r w:rsidR="00192B2B" w:rsidRPr="00927C89">
        <w:rPr>
          <w:rFonts w:eastAsia="標楷體" w:hint="eastAsia"/>
        </w:rPr>
        <w:t>0,</w:t>
      </w:r>
      <w:r w:rsidR="00182051" w:rsidRPr="00927C89">
        <w:rPr>
          <w:rFonts w:eastAsia="標楷體"/>
        </w:rPr>
        <w:t>765</w:t>
      </w:r>
      <w:r w:rsidR="00D603C2" w:rsidRPr="00927C89">
        <w:rPr>
          <w:rFonts w:eastAsia="標楷體"/>
        </w:rPr>
        <w:t>萬元</w:t>
      </w:r>
      <w:r w:rsidRPr="00927C89">
        <w:rPr>
          <w:rFonts w:eastAsia="標楷體"/>
        </w:rPr>
        <w:t>。</w:t>
      </w:r>
    </w:p>
    <w:p w:rsidR="00584C31" w:rsidRPr="00927C89" w:rsidRDefault="00584C31" w:rsidP="00D660E3">
      <w:pPr>
        <w:pStyle w:val="a7"/>
        <w:spacing w:beforeLines="20" w:before="72" w:line="460" w:lineRule="exact"/>
        <w:ind w:left="714"/>
        <w:rPr>
          <w:rFonts w:eastAsia="標楷體"/>
        </w:rPr>
      </w:pPr>
      <w:r w:rsidRPr="00927C89">
        <w:rPr>
          <w:rFonts w:eastAsia="標楷體"/>
        </w:rPr>
        <w:t>(</w:t>
      </w:r>
      <w:r w:rsidRPr="00927C89">
        <w:rPr>
          <w:rFonts w:eastAsia="標楷體"/>
        </w:rPr>
        <w:t>二</w:t>
      </w:r>
      <w:r w:rsidRPr="00927C89">
        <w:rPr>
          <w:rFonts w:eastAsia="標楷體"/>
        </w:rPr>
        <w:t>)</w:t>
      </w:r>
      <w:r w:rsidR="00013E9B" w:rsidRPr="00927C89">
        <w:rPr>
          <w:rFonts w:eastAsia="標楷體"/>
        </w:rPr>
        <w:t>預算內容</w:t>
      </w:r>
    </w:p>
    <w:p w:rsidR="00584C31" w:rsidRPr="00927C89" w:rsidRDefault="00584C31" w:rsidP="006F73B5">
      <w:pPr>
        <w:pStyle w:val="13"/>
        <w:spacing w:line="460" w:lineRule="exact"/>
        <w:ind w:left="1451" w:hanging="238"/>
        <w:rPr>
          <w:rFonts w:eastAsia="標楷體"/>
        </w:rPr>
      </w:pPr>
      <w:r w:rsidRPr="00927C89">
        <w:rPr>
          <w:rFonts w:eastAsia="標楷體"/>
        </w:rPr>
        <w:t>1.</w:t>
      </w:r>
      <w:r w:rsidR="00013E9B" w:rsidRPr="00927C89">
        <w:rPr>
          <w:rFonts w:eastAsia="標楷體"/>
        </w:rPr>
        <w:t>基金來源、用途及餘</w:t>
      </w:r>
      <w:proofErr w:type="gramStart"/>
      <w:r w:rsidR="00013E9B" w:rsidRPr="00927C89">
        <w:rPr>
          <w:rFonts w:eastAsia="標楷體"/>
        </w:rPr>
        <w:t>絀</w:t>
      </w:r>
      <w:proofErr w:type="gramEnd"/>
      <w:r w:rsidR="00013E9B" w:rsidRPr="00927C89">
        <w:rPr>
          <w:rFonts w:eastAsia="標楷體"/>
        </w:rPr>
        <w:t>之預計</w:t>
      </w:r>
    </w:p>
    <w:p w:rsidR="00584C31" w:rsidRPr="00927C89" w:rsidRDefault="00584C31" w:rsidP="006F73B5">
      <w:pPr>
        <w:pStyle w:val="11"/>
        <w:spacing w:line="460" w:lineRule="exact"/>
        <w:ind w:left="1820" w:hanging="352"/>
        <w:rPr>
          <w:rFonts w:eastAsia="標楷體"/>
        </w:rPr>
      </w:pPr>
      <w:r w:rsidRPr="00927C89">
        <w:rPr>
          <w:rFonts w:eastAsia="標楷體"/>
        </w:rPr>
        <w:lastRenderedPageBreak/>
        <w:t>(1)</w:t>
      </w:r>
      <w:r w:rsidRPr="00927C89">
        <w:rPr>
          <w:rFonts w:eastAsia="標楷體"/>
        </w:rPr>
        <w:t>本年度基金來源</w:t>
      </w:r>
      <w:r w:rsidR="0068440B" w:rsidRPr="00927C89">
        <w:rPr>
          <w:rFonts w:eastAsia="標楷體"/>
        </w:rPr>
        <w:t>7,790</w:t>
      </w:r>
      <w:r w:rsidR="00D603C2" w:rsidRPr="00927C89">
        <w:rPr>
          <w:rFonts w:eastAsia="標楷體"/>
        </w:rPr>
        <w:t>億</w:t>
      </w:r>
      <w:r w:rsidR="001F688B" w:rsidRPr="00927C89">
        <w:rPr>
          <w:rFonts w:eastAsia="標楷體"/>
        </w:rPr>
        <w:t>9,261</w:t>
      </w:r>
      <w:r w:rsidR="00D603C2" w:rsidRPr="00927C89">
        <w:rPr>
          <w:rFonts w:eastAsia="標楷體"/>
        </w:rPr>
        <w:t>萬</w:t>
      </w:r>
      <w:r w:rsidR="001F688B" w:rsidRPr="00927C89">
        <w:rPr>
          <w:rFonts w:eastAsia="標楷體" w:hint="eastAsia"/>
        </w:rPr>
        <w:t>4</w:t>
      </w:r>
      <w:r w:rsidR="001F688B" w:rsidRPr="00927C89">
        <w:rPr>
          <w:rFonts w:eastAsia="標楷體" w:hint="eastAsia"/>
        </w:rPr>
        <w:t>千</w:t>
      </w:r>
      <w:r w:rsidR="00D603C2" w:rsidRPr="00927C89">
        <w:rPr>
          <w:rFonts w:eastAsia="標楷體"/>
        </w:rPr>
        <w:t>元</w:t>
      </w:r>
      <w:r w:rsidRPr="00927C89">
        <w:rPr>
          <w:rFonts w:eastAsia="標楷體"/>
        </w:rPr>
        <w:t>，主要係舉借債務收入及債務付息收入，較上年度預算數</w:t>
      </w:r>
      <w:r w:rsidR="0068440B" w:rsidRPr="00927C89">
        <w:rPr>
          <w:rFonts w:eastAsia="標楷體"/>
        </w:rPr>
        <w:t>8,113</w:t>
      </w:r>
      <w:r w:rsidR="00D603C2" w:rsidRPr="00927C89">
        <w:rPr>
          <w:rFonts w:eastAsia="標楷體"/>
        </w:rPr>
        <w:t>億</w:t>
      </w:r>
      <w:r w:rsidR="0068440B" w:rsidRPr="00927C89">
        <w:rPr>
          <w:rFonts w:eastAsia="標楷體"/>
        </w:rPr>
        <w:t>2,244</w:t>
      </w:r>
      <w:r w:rsidR="00D603C2" w:rsidRPr="00927C89">
        <w:rPr>
          <w:rFonts w:eastAsia="標楷體"/>
        </w:rPr>
        <w:t>萬元</w:t>
      </w:r>
      <w:r w:rsidRPr="00927C89">
        <w:rPr>
          <w:rFonts w:eastAsia="標楷體"/>
        </w:rPr>
        <w:t>，計</w:t>
      </w:r>
      <w:r w:rsidR="0068440B" w:rsidRPr="00927C89">
        <w:rPr>
          <w:rFonts w:eastAsia="標楷體" w:hint="eastAsia"/>
        </w:rPr>
        <w:t>減少</w:t>
      </w:r>
      <w:r w:rsidR="0068440B" w:rsidRPr="00927C89">
        <w:rPr>
          <w:rFonts w:eastAsia="標楷體" w:hint="eastAsia"/>
        </w:rPr>
        <w:t>322</w:t>
      </w:r>
      <w:r w:rsidR="00D603C2" w:rsidRPr="00927C89">
        <w:rPr>
          <w:rFonts w:eastAsia="標楷體"/>
        </w:rPr>
        <w:t>億</w:t>
      </w:r>
      <w:r w:rsidR="0068440B" w:rsidRPr="00927C89">
        <w:rPr>
          <w:rFonts w:eastAsia="標楷體" w:hint="eastAsia"/>
        </w:rPr>
        <w:t>2,</w:t>
      </w:r>
      <w:r w:rsidR="001F688B" w:rsidRPr="00927C89">
        <w:rPr>
          <w:rFonts w:eastAsia="標楷體" w:hint="eastAsia"/>
        </w:rPr>
        <w:t>982</w:t>
      </w:r>
      <w:r w:rsidR="00D603C2" w:rsidRPr="00927C89">
        <w:rPr>
          <w:rFonts w:eastAsia="標楷體"/>
        </w:rPr>
        <w:t>萬</w:t>
      </w:r>
      <w:r w:rsidR="001F688B" w:rsidRPr="00927C89">
        <w:rPr>
          <w:rFonts w:eastAsia="標楷體" w:hint="eastAsia"/>
        </w:rPr>
        <w:t>6</w:t>
      </w:r>
      <w:r w:rsidR="001F688B" w:rsidRPr="00927C89">
        <w:rPr>
          <w:rFonts w:eastAsia="標楷體" w:hint="eastAsia"/>
        </w:rPr>
        <w:t>千</w:t>
      </w:r>
      <w:r w:rsidR="00D603C2" w:rsidRPr="00927C89">
        <w:rPr>
          <w:rFonts w:eastAsia="標楷體"/>
        </w:rPr>
        <w:t>元</w:t>
      </w:r>
      <w:r w:rsidRPr="00927C89">
        <w:rPr>
          <w:rFonts w:eastAsia="標楷體"/>
        </w:rPr>
        <w:t>，約</w:t>
      </w:r>
      <w:r w:rsidR="00182051" w:rsidRPr="00927C89">
        <w:rPr>
          <w:rFonts w:eastAsia="標楷體"/>
        </w:rPr>
        <w:t>3</w:t>
      </w:r>
      <w:r w:rsidR="0068440B" w:rsidRPr="00927C89">
        <w:rPr>
          <w:rFonts w:eastAsia="標楷體" w:hint="eastAsia"/>
        </w:rPr>
        <w:t>.97</w:t>
      </w:r>
      <w:r w:rsidRPr="00927C89">
        <w:rPr>
          <w:rFonts w:eastAsia="標楷體"/>
        </w:rPr>
        <w:t>％。</w:t>
      </w:r>
    </w:p>
    <w:p w:rsidR="00584C31" w:rsidRPr="00927C89" w:rsidRDefault="00584C31" w:rsidP="00D660E3">
      <w:pPr>
        <w:pStyle w:val="11"/>
        <w:spacing w:beforeLines="20" w:before="72" w:line="460" w:lineRule="exact"/>
        <w:ind w:left="1804" w:hanging="352"/>
        <w:rPr>
          <w:rFonts w:eastAsia="標楷體"/>
        </w:rPr>
      </w:pPr>
      <w:r w:rsidRPr="00927C89">
        <w:rPr>
          <w:rFonts w:eastAsia="標楷體"/>
        </w:rPr>
        <w:t>(2)</w:t>
      </w:r>
      <w:r w:rsidRPr="00927C89">
        <w:rPr>
          <w:rFonts w:eastAsia="標楷體"/>
        </w:rPr>
        <w:t>本年度基金用途</w:t>
      </w:r>
      <w:r w:rsidR="0068440B" w:rsidRPr="00927C89">
        <w:rPr>
          <w:rFonts w:eastAsia="標楷體"/>
        </w:rPr>
        <w:t>7,790</w:t>
      </w:r>
      <w:r w:rsidR="0068440B" w:rsidRPr="00927C89">
        <w:rPr>
          <w:rFonts w:eastAsia="標楷體"/>
        </w:rPr>
        <w:t>億</w:t>
      </w:r>
      <w:r w:rsidR="0068440B" w:rsidRPr="00927C89">
        <w:rPr>
          <w:rFonts w:eastAsia="標楷體"/>
        </w:rPr>
        <w:t>9,</w:t>
      </w:r>
      <w:r w:rsidR="001F688B" w:rsidRPr="00927C89">
        <w:rPr>
          <w:rFonts w:eastAsia="標楷體" w:hint="eastAsia"/>
        </w:rPr>
        <w:t>183</w:t>
      </w:r>
      <w:r w:rsidR="0068440B" w:rsidRPr="00927C89">
        <w:rPr>
          <w:rFonts w:eastAsia="標楷體"/>
        </w:rPr>
        <w:t>萬</w:t>
      </w:r>
      <w:r w:rsidR="001F688B" w:rsidRPr="00927C89">
        <w:rPr>
          <w:rFonts w:eastAsia="標楷體" w:hint="eastAsia"/>
        </w:rPr>
        <w:t>7</w:t>
      </w:r>
      <w:r w:rsidR="0068440B" w:rsidRPr="00927C89">
        <w:rPr>
          <w:rFonts w:eastAsia="標楷體" w:hint="eastAsia"/>
        </w:rPr>
        <w:t>,000</w:t>
      </w:r>
      <w:r w:rsidR="0068440B" w:rsidRPr="00927C89">
        <w:rPr>
          <w:rFonts w:eastAsia="標楷體"/>
        </w:rPr>
        <w:t>元</w:t>
      </w:r>
      <w:r w:rsidRPr="00927C89">
        <w:rPr>
          <w:rFonts w:eastAsia="標楷體"/>
        </w:rPr>
        <w:t>，包括還本付息計畫及一般行政管理計畫，較上年度預算數</w:t>
      </w:r>
      <w:r w:rsidR="0068440B" w:rsidRPr="00927C89">
        <w:rPr>
          <w:rFonts w:eastAsia="標楷體"/>
        </w:rPr>
        <w:t>8,113</w:t>
      </w:r>
      <w:r w:rsidR="0068440B" w:rsidRPr="00927C89">
        <w:rPr>
          <w:rFonts w:eastAsia="標楷體"/>
        </w:rPr>
        <w:t>億</w:t>
      </w:r>
      <w:r w:rsidR="0068440B" w:rsidRPr="00927C89">
        <w:rPr>
          <w:rFonts w:eastAsia="標楷體"/>
        </w:rPr>
        <w:t>2</w:t>
      </w:r>
      <w:r w:rsidR="0068440B" w:rsidRPr="00927C89">
        <w:rPr>
          <w:rFonts w:eastAsia="標楷體" w:hint="eastAsia"/>
        </w:rPr>
        <w:t>,157</w:t>
      </w:r>
      <w:r w:rsidR="0068440B" w:rsidRPr="00927C89">
        <w:rPr>
          <w:rFonts w:eastAsia="標楷體"/>
        </w:rPr>
        <w:t>萬</w:t>
      </w:r>
      <w:r w:rsidR="0068440B" w:rsidRPr="00927C89">
        <w:rPr>
          <w:rFonts w:eastAsia="標楷體" w:hint="eastAsia"/>
        </w:rPr>
        <w:t>9</w:t>
      </w:r>
      <w:r w:rsidR="00182051" w:rsidRPr="00927C89">
        <w:rPr>
          <w:rFonts w:eastAsia="標楷體"/>
        </w:rPr>
        <w:t>,000</w:t>
      </w:r>
      <w:r w:rsidR="00182051" w:rsidRPr="00927C89">
        <w:rPr>
          <w:rFonts w:eastAsia="標楷體"/>
        </w:rPr>
        <w:t>元，計</w:t>
      </w:r>
      <w:r w:rsidR="0068440B" w:rsidRPr="00927C89">
        <w:rPr>
          <w:rFonts w:eastAsia="標楷體" w:hint="eastAsia"/>
        </w:rPr>
        <w:t>減少</w:t>
      </w:r>
      <w:r w:rsidR="0068440B" w:rsidRPr="00927C89">
        <w:rPr>
          <w:rFonts w:eastAsia="標楷體" w:hint="eastAsia"/>
        </w:rPr>
        <w:t>322</w:t>
      </w:r>
      <w:r w:rsidR="0068440B" w:rsidRPr="00927C89">
        <w:rPr>
          <w:rFonts w:eastAsia="標楷體"/>
        </w:rPr>
        <w:t>億</w:t>
      </w:r>
      <w:r w:rsidR="0068440B" w:rsidRPr="00927C89">
        <w:rPr>
          <w:rFonts w:eastAsia="標楷體" w:hint="eastAsia"/>
        </w:rPr>
        <w:t>2</w:t>
      </w:r>
      <w:r w:rsidR="001F688B" w:rsidRPr="00927C89">
        <w:rPr>
          <w:rFonts w:eastAsia="標楷體" w:hint="eastAsia"/>
        </w:rPr>
        <w:t>,974</w:t>
      </w:r>
      <w:r w:rsidR="0068440B" w:rsidRPr="00927C89">
        <w:rPr>
          <w:rFonts w:eastAsia="標楷體"/>
        </w:rPr>
        <w:t>萬</w:t>
      </w:r>
      <w:r w:rsidR="001F688B" w:rsidRPr="00927C89">
        <w:rPr>
          <w:rFonts w:eastAsia="標楷體" w:hint="eastAsia"/>
        </w:rPr>
        <w:t>2</w:t>
      </w:r>
      <w:r w:rsidR="0068440B" w:rsidRPr="00927C89">
        <w:rPr>
          <w:rFonts w:eastAsia="標楷體" w:hint="eastAsia"/>
        </w:rPr>
        <w:t>,000</w:t>
      </w:r>
      <w:r w:rsidR="0068440B" w:rsidRPr="00927C89">
        <w:rPr>
          <w:rFonts w:eastAsia="標楷體"/>
        </w:rPr>
        <w:t>元，約</w:t>
      </w:r>
      <w:r w:rsidR="0068440B" w:rsidRPr="00927C89">
        <w:rPr>
          <w:rFonts w:eastAsia="標楷體"/>
        </w:rPr>
        <w:t>3</w:t>
      </w:r>
      <w:r w:rsidR="0068440B" w:rsidRPr="00927C89">
        <w:rPr>
          <w:rFonts w:eastAsia="標楷體" w:hint="eastAsia"/>
        </w:rPr>
        <w:t>.97</w:t>
      </w:r>
      <w:r w:rsidR="0068440B" w:rsidRPr="00927C89">
        <w:rPr>
          <w:rFonts w:eastAsia="標楷體"/>
        </w:rPr>
        <w:t>％</w:t>
      </w:r>
      <w:r w:rsidR="00182051" w:rsidRPr="00927C89">
        <w:rPr>
          <w:rFonts w:eastAsia="標楷體"/>
        </w:rPr>
        <w:t>。</w:t>
      </w:r>
    </w:p>
    <w:p w:rsidR="00584C31" w:rsidRPr="00927C89" w:rsidRDefault="00584C31" w:rsidP="00D660E3">
      <w:pPr>
        <w:pStyle w:val="11"/>
        <w:spacing w:beforeLines="20" w:before="72" w:line="460" w:lineRule="exact"/>
        <w:ind w:left="1804" w:hanging="352"/>
        <w:rPr>
          <w:rFonts w:eastAsia="標楷體"/>
        </w:rPr>
      </w:pPr>
      <w:r w:rsidRPr="00927C89">
        <w:rPr>
          <w:rFonts w:eastAsia="標楷體"/>
        </w:rPr>
        <w:t>(3)</w:t>
      </w:r>
      <w:r w:rsidRPr="00927C89">
        <w:rPr>
          <w:rFonts w:eastAsia="標楷體"/>
        </w:rPr>
        <w:t>本年度基金來源及用途相抵後，賸餘</w:t>
      </w:r>
      <w:r w:rsidR="0068440B" w:rsidRPr="00927C89">
        <w:rPr>
          <w:rFonts w:eastAsia="標楷體" w:hint="eastAsia"/>
        </w:rPr>
        <w:t>77</w:t>
      </w:r>
      <w:r w:rsidRPr="00927C89">
        <w:rPr>
          <w:rFonts w:eastAsia="標楷體"/>
        </w:rPr>
        <w:t>萬</w:t>
      </w:r>
      <w:r w:rsidR="0068440B" w:rsidRPr="00927C89">
        <w:rPr>
          <w:rFonts w:eastAsia="標楷體" w:hint="eastAsia"/>
        </w:rPr>
        <w:t>7</w:t>
      </w:r>
      <w:r w:rsidR="00DE05C8" w:rsidRPr="00927C89">
        <w:rPr>
          <w:rFonts w:eastAsia="標楷體"/>
        </w:rPr>
        <w:t>,000</w:t>
      </w:r>
      <w:r w:rsidR="0068440B" w:rsidRPr="00927C89">
        <w:rPr>
          <w:rFonts w:eastAsia="標楷體"/>
        </w:rPr>
        <w:t>元，</w:t>
      </w:r>
      <w:r w:rsidR="0068440B" w:rsidRPr="00927C89">
        <w:rPr>
          <w:rFonts w:eastAsia="標楷體" w:hint="eastAsia"/>
        </w:rPr>
        <w:t>較</w:t>
      </w:r>
      <w:r w:rsidR="0068440B" w:rsidRPr="00927C89">
        <w:rPr>
          <w:rFonts w:eastAsia="標楷體"/>
        </w:rPr>
        <w:t>上年度賸餘</w:t>
      </w:r>
      <w:r w:rsidR="0068440B" w:rsidRPr="00927C89">
        <w:rPr>
          <w:rFonts w:eastAsia="標楷體"/>
        </w:rPr>
        <w:t>86</w:t>
      </w:r>
      <w:r w:rsidR="0068440B" w:rsidRPr="00927C89">
        <w:rPr>
          <w:rFonts w:eastAsia="標楷體"/>
        </w:rPr>
        <w:t>萬</w:t>
      </w:r>
      <w:r w:rsidR="0068440B" w:rsidRPr="00927C89">
        <w:rPr>
          <w:rFonts w:eastAsia="標楷體"/>
        </w:rPr>
        <w:t>1,000</w:t>
      </w:r>
      <w:r w:rsidR="0068440B" w:rsidRPr="00927C89">
        <w:rPr>
          <w:rFonts w:eastAsia="標楷體"/>
        </w:rPr>
        <w:t>元</w:t>
      </w:r>
      <w:r w:rsidR="0068440B" w:rsidRPr="00927C89">
        <w:rPr>
          <w:rFonts w:eastAsia="標楷體" w:hint="eastAsia"/>
        </w:rPr>
        <w:t>，</w:t>
      </w:r>
      <w:r w:rsidR="0068440B" w:rsidRPr="00927C89">
        <w:rPr>
          <w:rFonts w:eastAsia="標楷體"/>
        </w:rPr>
        <w:t>計</w:t>
      </w:r>
      <w:r w:rsidR="0068440B" w:rsidRPr="00927C89">
        <w:rPr>
          <w:rFonts w:eastAsia="標楷體" w:hint="eastAsia"/>
        </w:rPr>
        <w:t>減少</w:t>
      </w:r>
      <w:r w:rsidR="0068440B" w:rsidRPr="00927C89">
        <w:rPr>
          <w:rFonts w:eastAsia="標楷體" w:hint="eastAsia"/>
        </w:rPr>
        <w:t>8</w:t>
      </w:r>
      <w:r w:rsidR="0068440B" w:rsidRPr="00927C89">
        <w:rPr>
          <w:rFonts w:eastAsia="標楷體"/>
        </w:rPr>
        <w:t>萬</w:t>
      </w:r>
      <w:r w:rsidR="0068440B" w:rsidRPr="00927C89">
        <w:rPr>
          <w:rFonts w:eastAsia="標楷體" w:hint="eastAsia"/>
        </w:rPr>
        <w:t>4,000</w:t>
      </w:r>
      <w:r w:rsidR="0068440B" w:rsidRPr="00927C89">
        <w:rPr>
          <w:rFonts w:eastAsia="標楷體"/>
        </w:rPr>
        <w:t>元，約</w:t>
      </w:r>
      <w:r w:rsidR="0068440B" w:rsidRPr="00927C89">
        <w:rPr>
          <w:rFonts w:eastAsia="標楷體" w:hint="eastAsia"/>
        </w:rPr>
        <w:t>9.76</w:t>
      </w:r>
      <w:r w:rsidR="0068440B" w:rsidRPr="00927C89">
        <w:rPr>
          <w:rFonts w:eastAsia="標楷體"/>
        </w:rPr>
        <w:t>％。</w:t>
      </w:r>
    </w:p>
    <w:p w:rsidR="00584C31" w:rsidRPr="00927C89" w:rsidRDefault="00584C31" w:rsidP="00D660E3">
      <w:pPr>
        <w:pStyle w:val="11"/>
        <w:spacing w:beforeLines="20" w:before="72" w:line="460" w:lineRule="exact"/>
        <w:ind w:left="1804" w:hanging="352"/>
        <w:rPr>
          <w:rFonts w:eastAsia="標楷體"/>
        </w:rPr>
      </w:pPr>
      <w:r w:rsidRPr="00927C89">
        <w:rPr>
          <w:rFonts w:eastAsia="標楷體"/>
        </w:rPr>
        <w:t>(4)</w:t>
      </w:r>
      <w:r w:rsidRPr="00927C89">
        <w:rPr>
          <w:rFonts w:eastAsia="標楷體"/>
        </w:rPr>
        <w:t>本年度賸餘</w:t>
      </w:r>
      <w:r w:rsidR="0068440B" w:rsidRPr="00927C89">
        <w:rPr>
          <w:rFonts w:eastAsia="標楷體" w:hint="eastAsia"/>
        </w:rPr>
        <w:t>77</w:t>
      </w:r>
      <w:r w:rsidR="001B4894" w:rsidRPr="00927C89">
        <w:rPr>
          <w:rFonts w:eastAsia="標楷體"/>
        </w:rPr>
        <w:t>萬</w:t>
      </w:r>
      <w:r w:rsidR="0068440B" w:rsidRPr="00927C89">
        <w:rPr>
          <w:rFonts w:eastAsia="標楷體" w:hint="eastAsia"/>
        </w:rPr>
        <w:t>7</w:t>
      </w:r>
      <w:r w:rsidR="001B4894" w:rsidRPr="00927C89">
        <w:rPr>
          <w:rFonts w:eastAsia="標楷體"/>
        </w:rPr>
        <w:t>,000</w:t>
      </w:r>
      <w:r w:rsidR="001B4894" w:rsidRPr="00927C89">
        <w:rPr>
          <w:rFonts w:eastAsia="標楷體"/>
        </w:rPr>
        <w:t>元</w:t>
      </w:r>
      <w:r w:rsidRPr="00927C89">
        <w:rPr>
          <w:rFonts w:eastAsia="標楷體"/>
        </w:rPr>
        <w:t>，連同以前年度</w:t>
      </w:r>
      <w:r w:rsidR="00C43A1E" w:rsidRPr="00927C89">
        <w:rPr>
          <w:rFonts w:eastAsia="標楷體"/>
        </w:rPr>
        <w:t>基金餘額</w:t>
      </w:r>
      <w:r w:rsidR="001B4894" w:rsidRPr="00927C89">
        <w:rPr>
          <w:rFonts w:eastAsia="標楷體"/>
        </w:rPr>
        <w:t>8</w:t>
      </w:r>
      <w:r w:rsidR="0068440B" w:rsidRPr="00927C89">
        <w:rPr>
          <w:rFonts w:eastAsia="標楷體" w:hint="eastAsia"/>
        </w:rPr>
        <w:t>,599</w:t>
      </w:r>
      <w:r w:rsidR="00D603C2" w:rsidRPr="00927C89">
        <w:rPr>
          <w:rFonts w:eastAsia="標楷體"/>
        </w:rPr>
        <w:t>萬</w:t>
      </w:r>
      <w:r w:rsidR="0068440B" w:rsidRPr="00927C89">
        <w:rPr>
          <w:rFonts w:eastAsia="標楷體" w:hint="eastAsia"/>
        </w:rPr>
        <w:t>7</w:t>
      </w:r>
      <w:r w:rsidR="00D603C2" w:rsidRPr="00927C89">
        <w:rPr>
          <w:rFonts w:eastAsia="標楷體"/>
        </w:rPr>
        <w:t>,000</w:t>
      </w:r>
      <w:r w:rsidR="00D603C2" w:rsidRPr="00927C89">
        <w:rPr>
          <w:rFonts w:eastAsia="標楷體"/>
        </w:rPr>
        <w:t>元</w:t>
      </w:r>
      <w:r w:rsidR="00C43A1E" w:rsidRPr="00927C89">
        <w:rPr>
          <w:rFonts w:eastAsia="標楷體"/>
        </w:rPr>
        <w:t>，共有基金餘額</w:t>
      </w:r>
      <w:r w:rsidR="001B4894" w:rsidRPr="00927C89">
        <w:rPr>
          <w:rFonts w:eastAsia="標楷體"/>
        </w:rPr>
        <w:t>8</w:t>
      </w:r>
      <w:r w:rsidR="0068440B" w:rsidRPr="00927C89">
        <w:rPr>
          <w:rFonts w:eastAsia="標楷體" w:hint="eastAsia"/>
        </w:rPr>
        <w:t>,677</w:t>
      </w:r>
      <w:r w:rsidR="00D603C2" w:rsidRPr="00927C89">
        <w:rPr>
          <w:rFonts w:eastAsia="標楷體"/>
        </w:rPr>
        <w:t>萬</w:t>
      </w:r>
      <w:r w:rsidR="0068440B" w:rsidRPr="00927C89">
        <w:rPr>
          <w:rFonts w:eastAsia="標楷體" w:hint="eastAsia"/>
        </w:rPr>
        <w:t>4</w:t>
      </w:r>
      <w:r w:rsidR="00D603C2" w:rsidRPr="00927C89">
        <w:rPr>
          <w:rFonts w:eastAsia="標楷體"/>
        </w:rPr>
        <w:t>,000</w:t>
      </w:r>
      <w:r w:rsidR="00D603C2" w:rsidRPr="00927C89">
        <w:rPr>
          <w:rFonts w:eastAsia="標楷體"/>
        </w:rPr>
        <w:t>元</w:t>
      </w:r>
      <w:r w:rsidRPr="00927C89">
        <w:rPr>
          <w:rFonts w:eastAsia="標楷體"/>
        </w:rPr>
        <w:t>，備供以後年度財源。</w:t>
      </w:r>
    </w:p>
    <w:p w:rsidR="00584C31" w:rsidRPr="00927C89" w:rsidRDefault="00584C31" w:rsidP="00D660E3">
      <w:pPr>
        <w:pStyle w:val="13"/>
        <w:spacing w:beforeLines="20" w:before="72" w:line="460" w:lineRule="exact"/>
        <w:ind w:left="1451" w:hanging="238"/>
        <w:rPr>
          <w:rFonts w:eastAsia="標楷體"/>
        </w:rPr>
      </w:pPr>
      <w:r w:rsidRPr="00927C89">
        <w:rPr>
          <w:rFonts w:eastAsia="標楷體"/>
        </w:rPr>
        <w:t>2.</w:t>
      </w:r>
      <w:r w:rsidR="00013E9B" w:rsidRPr="00927C89">
        <w:rPr>
          <w:rFonts w:eastAsia="標楷體"/>
        </w:rPr>
        <w:t>現金流量之預計</w:t>
      </w:r>
    </w:p>
    <w:p w:rsidR="00584C31" w:rsidRPr="00927C89" w:rsidRDefault="00584C31" w:rsidP="00D660E3">
      <w:pPr>
        <w:pStyle w:val="11"/>
        <w:spacing w:beforeLines="20" w:before="72" w:line="460" w:lineRule="exact"/>
        <w:ind w:left="1804" w:hanging="352"/>
        <w:rPr>
          <w:rFonts w:eastAsia="標楷體"/>
        </w:rPr>
      </w:pPr>
      <w:r w:rsidRPr="00927C89">
        <w:rPr>
          <w:rFonts w:eastAsia="標楷體"/>
        </w:rPr>
        <w:t>(1)</w:t>
      </w:r>
      <w:r w:rsidRPr="00927C89">
        <w:rPr>
          <w:rFonts w:eastAsia="標楷體"/>
        </w:rPr>
        <w:t>業務活動之淨現金流入</w:t>
      </w:r>
      <w:r w:rsidR="0068440B" w:rsidRPr="00927C89">
        <w:rPr>
          <w:rFonts w:eastAsia="標楷體" w:hint="eastAsia"/>
        </w:rPr>
        <w:t>77</w:t>
      </w:r>
      <w:r w:rsidR="001B4894" w:rsidRPr="00927C89">
        <w:rPr>
          <w:rFonts w:eastAsia="標楷體"/>
        </w:rPr>
        <w:t>萬</w:t>
      </w:r>
      <w:r w:rsidR="0068440B" w:rsidRPr="00927C89">
        <w:rPr>
          <w:rFonts w:eastAsia="標楷體" w:hint="eastAsia"/>
        </w:rPr>
        <w:t>7</w:t>
      </w:r>
      <w:r w:rsidR="001B4894" w:rsidRPr="00927C89">
        <w:rPr>
          <w:rFonts w:eastAsia="標楷體"/>
        </w:rPr>
        <w:t>,000</w:t>
      </w:r>
      <w:r w:rsidR="001B4894" w:rsidRPr="00927C89">
        <w:rPr>
          <w:rFonts w:eastAsia="標楷體"/>
        </w:rPr>
        <w:t>元</w:t>
      </w:r>
      <w:r w:rsidRPr="00927C89">
        <w:rPr>
          <w:rFonts w:eastAsia="標楷體"/>
        </w:rPr>
        <w:t>。</w:t>
      </w:r>
    </w:p>
    <w:p w:rsidR="00584C31" w:rsidRPr="00927C89" w:rsidRDefault="00584C31" w:rsidP="00D660E3">
      <w:pPr>
        <w:pStyle w:val="11"/>
        <w:spacing w:beforeLines="20" w:before="72" w:line="460" w:lineRule="exact"/>
        <w:ind w:left="1804" w:hanging="352"/>
        <w:rPr>
          <w:rFonts w:eastAsia="標楷體"/>
        </w:rPr>
      </w:pPr>
      <w:r w:rsidRPr="00927C89">
        <w:rPr>
          <w:rFonts w:eastAsia="標楷體"/>
        </w:rPr>
        <w:t>(2)</w:t>
      </w:r>
      <w:r w:rsidRPr="00927C89">
        <w:rPr>
          <w:rFonts w:eastAsia="標楷體"/>
        </w:rPr>
        <w:t>現金及約當現金之淨增</w:t>
      </w:r>
      <w:r w:rsidR="0068440B" w:rsidRPr="00927C89">
        <w:rPr>
          <w:rFonts w:eastAsia="標楷體" w:hint="eastAsia"/>
        </w:rPr>
        <w:t>77</w:t>
      </w:r>
      <w:r w:rsidR="001B4894" w:rsidRPr="00927C89">
        <w:rPr>
          <w:rFonts w:eastAsia="標楷體"/>
        </w:rPr>
        <w:t>萬</w:t>
      </w:r>
      <w:r w:rsidR="0068440B" w:rsidRPr="00927C89">
        <w:rPr>
          <w:rFonts w:eastAsia="標楷體" w:hint="eastAsia"/>
        </w:rPr>
        <w:t>7</w:t>
      </w:r>
      <w:r w:rsidR="001B4894" w:rsidRPr="00927C89">
        <w:rPr>
          <w:rFonts w:eastAsia="標楷體"/>
        </w:rPr>
        <w:t>,000</w:t>
      </w:r>
      <w:r w:rsidR="001B4894" w:rsidRPr="00927C89">
        <w:rPr>
          <w:rFonts w:eastAsia="標楷體"/>
        </w:rPr>
        <w:t>元</w:t>
      </w:r>
      <w:r w:rsidRPr="00927C89">
        <w:rPr>
          <w:rFonts w:eastAsia="標楷體"/>
        </w:rPr>
        <w:t>，係期末現金</w:t>
      </w:r>
      <w:r w:rsidR="0068440B" w:rsidRPr="00927C89">
        <w:rPr>
          <w:rFonts w:eastAsia="標楷體"/>
        </w:rPr>
        <w:t>8</w:t>
      </w:r>
      <w:r w:rsidR="0068440B" w:rsidRPr="00927C89">
        <w:rPr>
          <w:rFonts w:eastAsia="標楷體" w:hint="eastAsia"/>
        </w:rPr>
        <w:t>,677</w:t>
      </w:r>
      <w:r w:rsidR="0068440B" w:rsidRPr="00927C89">
        <w:rPr>
          <w:rFonts w:eastAsia="標楷體"/>
        </w:rPr>
        <w:t>萬</w:t>
      </w:r>
      <w:r w:rsidR="0068440B" w:rsidRPr="00927C89">
        <w:rPr>
          <w:rFonts w:eastAsia="標楷體" w:hint="eastAsia"/>
        </w:rPr>
        <w:t>4</w:t>
      </w:r>
      <w:r w:rsidR="0068440B" w:rsidRPr="00927C89">
        <w:rPr>
          <w:rFonts w:eastAsia="標楷體"/>
        </w:rPr>
        <w:t>,000</w:t>
      </w:r>
      <w:r w:rsidR="0068440B" w:rsidRPr="00927C89">
        <w:rPr>
          <w:rFonts w:eastAsia="標楷體"/>
        </w:rPr>
        <w:t>元</w:t>
      </w:r>
      <w:r w:rsidRPr="00927C89">
        <w:rPr>
          <w:rFonts w:eastAsia="標楷體"/>
        </w:rPr>
        <w:t>，</w:t>
      </w:r>
      <w:proofErr w:type="gramStart"/>
      <w:r w:rsidRPr="00927C89">
        <w:rPr>
          <w:rFonts w:eastAsia="標楷體"/>
        </w:rPr>
        <w:t>較期初</w:t>
      </w:r>
      <w:proofErr w:type="gramEnd"/>
      <w:r w:rsidRPr="00927C89">
        <w:rPr>
          <w:rFonts w:eastAsia="標楷體"/>
        </w:rPr>
        <w:t>現金</w:t>
      </w:r>
      <w:r w:rsidR="0068440B" w:rsidRPr="00927C89">
        <w:rPr>
          <w:rFonts w:eastAsia="標楷體"/>
        </w:rPr>
        <w:t>8</w:t>
      </w:r>
      <w:r w:rsidR="0068440B" w:rsidRPr="00927C89">
        <w:rPr>
          <w:rFonts w:eastAsia="標楷體" w:hint="eastAsia"/>
        </w:rPr>
        <w:t>,599</w:t>
      </w:r>
      <w:r w:rsidR="0068440B" w:rsidRPr="00927C89">
        <w:rPr>
          <w:rFonts w:eastAsia="標楷體"/>
        </w:rPr>
        <w:t>萬</w:t>
      </w:r>
      <w:r w:rsidR="0068440B" w:rsidRPr="00927C89">
        <w:rPr>
          <w:rFonts w:eastAsia="標楷體" w:hint="eastAsia"/>
        </w:rPr>
        <w:t>7</w:t>
      </w:r>
      <w:r w:rsidR="0068440B" w:rsidRPr="00927C89">
        <w:rPr>
          <w:rFonts w:eastAsia="標楷體"/>
        </w:rPr>
        <w:t>,000</w:t>
      </w:r>
      <w:r w:rsidR="0068440B" w:rsidRPr="00927C89">
        <w:rPr>
          <w:rFonts w:eastAsia="標楷體"/>
        </w:rPr>
        <w:t>元</w:t>
      </w:r>
      <w:r w:rsidRPr="00927C89">
        <w:rPr>
          <w:rFonts w:eastAsia="標楷體"/>
        </w:rPr>
        <w:t>增加之數。</w:t>
      </w:r>
    </w:p>
    <w:p w:rsidR="00584C31" w:rsidRPr="00927C89" w:rsidRDefault="00584C31">
      <w:pPr>
        <w:pStyle w:val="11"/>
        <w:spacing w:line="500" w:lineRule="exact"/>
        <w:ind w:left="1820" w:hanging="366"/>
        <w:rPr>
          <w:rFonts w:eastAsia="標楷體"/>
        </w:rPr>
      </w:pPr>
    </w:p>
    <w:sectPr w:rsidR="00584C31" w:rsidRPr="00927C89" w:rsidSect="00D660E3">
      <w:pgSz w:w="11907" w:h="16840" w:code="9"/>
      <w:pgMar w:top="1134" w:right="1134" w:bottom="1134" w:left="1134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41A" w:rsidRDefault="00A3341A">
      <w:r>
        <w:separator/>
      </w:r>
    </w:p>
  </w:endnote>
  <w:endnote w:type="continuationSeparator" w:id="0">
    <w:p w:rsidR="00A3341A" w:rsidRDefault="00A3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41A" w:rsidRDefault="00A3341A">
      <w:r>
        <w:separator/>
      </w:r>
    </w:p>
  </w:footnote>
  <w:footnote w:type="continuationSeparator" w:id="0">
    <w:p w:rsidR="00A3341A" w:rsidRDefault="00A33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7449A"/>
    <w:multiLevelType w:val="singleLevel"/>
    <w:tmpl w:val="FEDCF3D4"/>
    <w:lvl w:ilvl="0">
      <w:start w:val="1"/>
      <w:numFmt w:val="decimal"/>
      <w:lvlText w:val="（%1）"/>
      <w:lvlJc w:val="left"/>
      <w:pPr>
        <w:tabs>
          <w:tab w:val="num" w:pos="2150"/>
        </w:tabs>
        <w:ind w:left="2150" w:hanging="7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F7"/>
    <w:rsid w:val="00001E66"/>
    <w:rsid w:val="00013E9B"/>
    <w:rsid w:val="000172E3"/>
    <w:rsid w:val="00024E02"/>
    <w:rsid w:val="00071AEF"/>
    <w:rsid w:val="00074561"/>
    <w:rsid w:val="00075120"/>
    <w:rsid w:val="000B573E"/>
    <w:rsid w:val="000D1AD6"/>
    <w:rsid w:val="00110CA7"/>
    <w:rsid w:val="00111645"/>
    <w:rsid w:val="001436F8"/>
    <w:rsid w:val="00161A00"/>
    <w:rsid w:val="00182051"/>
    <w:rsid w:val="0018287E"/>
    <w:rsid w:val="001838E6"/>
    <w:rsid w:val="00185962"/>
    <w:rsid w:val="00192B2B"/>
    <w:rsid w:val="00193CB4"/>
    <w:rsid w:val="001B4894"/>
    <w:rsid w:val="001C3537"/>
    <w:rsid w:val="001D057F"/>
    <w:rsid w:val="001E02F1"/>
    <w:rsid w:val="001F688B"/>
    <w:rsid w:val="001F71EE"/>
    <w:rsid w:val="00235E84"/>
    <w:rsid w:val="00243602"/>
    <w:rsid w:val="0024478E"/>
    <w:rsid w:val="002503E1"/>
    <w:rsid w:val="00272C39"/>
    <w:rsid w:val="002A53BC"/>
    <w:rsid w:val="00317E76"/>
    <w:rsid w:val="00330A1D"/>
    <w:rsid w:val="00331DF7"/>
    <w:rsid w:val="00337AEC"/>
    <w:rsid w:val="00354BEF"/>
    <w:rsid w:val="00360AF8"/>
    <w:rsid w:val="003673EC"/>
    <w:rsid w:val="00371651"/>
    <w:rsid w:val="0037595E"/>
    <w:rsid w:val="00383D01"/>
    <w:rsid w:val="003A4391"/>
    <w:rsid w:val="003A6950"/>
    <w:rsid w:val="003D2D64"/>
    <w:rsid w:val="003F043F"/>
    <w:rsid w:val="004027EB"/>
    <w:rsid w:val="00402DE5"/>
    <w:rsid w:val="00441F4D"/>
    <w:rsid w:val="0044607E"/>
    <w:rsid w:val="004715BA"/>
    <w:rsid w:val="00475A14"/>
    <w:rsid w:val="004B1556"/>
    <w:rsid w:val="004C3108"/>
    <w:rsid w:val="004E5B60"/>
    <w:rsid w:val="004E6028"/>
    <w:rsid w:val="004E62CA"/>
    <w:rsid w:val="005153D5"/>
    <w:rsid w:val="00534A9B"/>
    <w:rsid w:val="00534C3A"/>
    <w:rsid w:val="00543E7D"/>
    <w:rsid w:val="0054585D"/>
    <w:rsid w:val="00572490"/>
    <w:rsid w:val="00581825"/>
    <w:rsid w:val="00581AC1"/>
    <w:rsid w:val="00584C31"/>
    <w:rsid w:val="005A5C12"/>
    <w:rsid w:val="005B0624"/>
    <w:rsid w:val="005B4CDB"/>
    <w:rsid w:val="00602002"/>
    <w:rsid w:val="00605C48"/>
    <w:rsid w:val="00627E2E"/>
    <w:rsid w:val="00637FEF"/>
    <w:rsid w:val="006505C5"/>
    <w:rsid w:val="006606CC"/>
    <w:rsid w:val="0068440B"/>
    <w:rsid w:val="006A32DB"/>
    <w:rsid w:val="006E2FE1"/>
    <w:rsid w:val="006E60F7"/>
    <w:rsid w:val="006F12CD"/>
    <w:rsid w:val="006F73B5"/>
    <w:rsid w:val="00702382"/>
    <w:rsid w:val="0070278C"/>
    <w:rsid w:val="007867F2"/>
    <w:rsid w:val="007C1D32"/>
    <w:rsid w:val="007D0122"/>
    <w:rsid w:val="008311DE"/>
    <w:rsid w:val="00832323"/>
    <w:rsid w:val="00852F07"/>
    <w:rsid w:val="00872C81"/>
    <w:rsid w:val="00875363"/>
    <w:rsid w:val="00877E17"/>
    <w:rsid w:val="0089321A"/>
    <w:rsid w:val="008D0A8F"/>
    <w:rsid w:val="008D64ED"/>
    <w:rsid w:val="008E4B2A"/>
    <w:rsid w:val="008F3EC4"/>
    <w:rsid w:val="008F7C85"/>
    <w:rsid w:val="009127B4"/>
    <w:rsid w:val="0092005A"/>
    <w:rsid w:val="00927C89"/>
    <w:rsid w:val="00942261"/>
    <w:rsid w:val="009815AE"/>
    <w:rsid w:val="00983243"/>
    <w:rsid w:val="00997B9D"/>
    <w:rsid w:val="009A41A4"/>
    <w:rsid w:val="009A6D0E"/>
    <w:rsid w:val="009A6ED9"/>
    <w:rsid w:val="009C4AEB"/>
    <w:rsid w:val="009C4E8C"/>
    <w:rsid w:val="009D1E10"/>
    <w:rsid w:val="009D414B"/>
    <w:rsid w:val="009E427C"/>
    <w:rsid w:val="00A23434"/>
    <w:rsid w:val="00A26607"/>
    <w:rsid w:val="00A27D68"/>
    <w:rsid w:val="00A3341A"/>
    <w:rsid w:val="00A36587"/>
    <w:rsid w:val="00A46CAC"/>
    <w:rsid w:val="00A63738"/>
    <w:rsid w:val="00A70733"/>
    <w:rsid w:val="00A75467"/>
    <w:rsid w:val="00A85C8A"/>
    <w:rsid w:val="00A97505"/>
    <w:rsid w:val="00AE7BBF"/>
    <w:rsid w:val="00B15F38"/>
    <w:rsid w:val="00B2116C"/>
    <w:rsid w:val="00B21B4B"/>
    <w:rsid w:val="00B27168"/>
    <w:rsid w:val="00B51209"/>
    <w:rsid w:val="00B538F2"/>
    <w:rsid w:val="00BB1AB1"/>
    <w:rsid w:val="00BC342F"/>
    <w:rsid w:val="00BD6D81"/>
    <w:rsid w:val="00C00031"/>
    <w:rsid w:val="00C167F4"/>
    <w:rsid w:val="00C32C2A"/>
    <w:rsid w:val="00C407AB"/>
    <w:rsid w:val="00C42FFD"/>
    <w:rsid w:val="00C43A1E"/>
    <w:rsid w:val="00C5423D"/>
    <w:rsid w:val="00C60BCA"/>
    <w:rsid w:val="00C64D4B"/>
    <w:rsid w:val="00C717CB"/>
    <w:rsid w:val="00C87E53"/>
    <w:rsid w:val="00CB258A"/>
    <w:rsid w:val="00CC76A2"/>
    <w:rsid w:val="00CF1B9B"/>
    <w:rsid w:val="00D000BF"/>
    <w:rsid w:val="00D056D8"/>
    <w:rsid w:val="00D1671A"/>
    <w:rsid w:val="00D174F9"/>
    <w:rsid w:val="00D52242"/>
    <w:rsid w:val="00D52970"/>
    <w:rsid w:val="00D603C2"/>
    <w:rsid w:val="00D660E3"/>
    <w:rsid w:val="00D85E73"/>
    <w:rsid w:val="00DB2BD2"/>
    <w:rsid w:val="00DB5044"/>
    <w:rsid w:val="00DC58CC"/>
    <w:rsid w:val="00DC646A"/>
    <w:rsid w:val="00DC73BA"/>
    <w:rsid w:val="00DD5045"/>
    <w:rsid w:val="00DE05C8"/>
    <w:rsid w:val="00DE2414"/>
    <w:rsid w:val="00DE2D7D"/>
    <w:rsid w:val="00DE7723"/>
    <w:rsid w:val="00E05CA2"/>
    <w:rsid w:val="00E06312"/>
    <w:rsid w:val="00E204F3"/>
    <w:rsid w:val="00E735E3"/>
    <w:rsid w:val="00E84EB0"/>
    <w:rsid w:val="00E8675E"/>
    <w:rsid w:val="00E94D37"/>
    <w:rsid w:val="00EA4FFB"/>
    <w:rsid w:val="00ED08DD"/>
    <w:rsid w:val="00ED6432"/>
    <w:rsid w:val="00EE7754"/>
    <w:rsid w:val="00EF7B2C"/>
    <w:rsid w:val="00F47522"/>
    <w:rsid w:val="00F57BF7"/>
    <w:rsid w:val="00F607F0"/>
    <w:rsid w:val="00F65932"/>
    <w:rsid w:val="00F817FA"/>
    <w:rsid w:val="00F86246"/>
    <w:rsid w:val="00FB5258"/>
    <w:rsid w:val="00FE4D44"/>
    <w:rsid w:val="00FE4ED1"/>
    <w:rsid w:val="00FF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C6FC04-0004-42FE-A791-0EED53DA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基金名稱"/>
    <w:basedOn w:val="a4"/>
    <w:pPr>
      <w:spacing w:before="240" w:after="240"/>
      <w:jc w:val="center"/>
    </w:pPr>
    <w:rPr>
      <w:rFonts w:ascii="華康中黑體" w:eastAsia="華康中黑體"/>
      <w:spacing w:val="20"/>
      <w:sz w:val="44"/>
    </w:rPr>
  </w:style>
  <w:style w:type="paragraph" w:customStyle="1" w:styleId="a5">
    <w:name w:val="標題一、"/>
    <w:basedOn w:val="a4"/>
    <w:pPr>
      <w:spacing w:before="120" w:after="120"/>
      <w:jc w:val="both"/>
    </w:pPr>
    <w:rPr>
      <w:rFonts w:ascii="Times New Roman" w:eastAsia="華康粗明體" w:hAnsi="Times New Roman"/>
      <w:b/>
      <w:spacing w:val="20"/>
      <w:sz w:val="32"/>
    </w:rPr>
  </w:style>
  <w:style w:type="paragraph" w:styleId="a4">
    <w:name w:val="Plain Text"/>
    <w:basedOn w:val="a"/>
    <w:rPr>
      <w:rFonts w:ascii="細明體" w:eastAsia="細明體" w:hAnsi="Courier New"/>
    </w:rPr>
  </w:style>
  <w:style w:type="paragraph" w:customStyle="1" w:styleId="a6">
    <w:name w:val="一、說明（首行縮排）"/>
    <w:basedOn w:val="a4"/>
    <w:pPr>
      <w:spacing w:line="480" w:lineRule="exact"/>
      <w:ind w:left="737" w:firstLine="624"/>
      <w:jc w:val="both"/>
    </w:pPr>
    <w:rPr>
      <w:rFonts w:ascii="Times New Roman" w:eastAsia="華康楷書體W5" w:hAnsi="Times New Roman"/>
      <w:spacing w:val="10"/>
      <w:sz w:val="28"/>
    </w:rPr>
  </w:style>
  <w:style w:type="paragraph" w:customStyle="1" w:styleId="1">
    <w:name w:val="分析1."/>
    <w:basedOn w:val="a"/>
    <w:pPr>
      <w:spacing w:line="440" w:lineRule="exact"/>
      <w:ind w:left="1531" w:firstLine="624"/>
      <w:jc w:val="both"/>
    </w:pPr>
    <w:rPr>
      <w:rFonts w:eastAsia="華康楷書體W5"/>
      <w:spacing w:val="10"/>
      <w:sz w:val="28"/>
    </w:rPr>
  </w:style>
  <w:style w:type="paragraph" w:customStyle="1" w:styleId="10">
    <w:name w:val="標題1."/>
    <w:basedOn w:val="a7"/>
    <w:pPr>
      <w:ind w:left="1111"/>
    </w:pPr>
  </w:style>
  <w:style w:type="paragraph" w:customStyle="1" w:styleId="a7">
    <w:name w:val="標題(一)"/>
    <w:basedOn w:val="a6"/>
    <w:pPr>
      <w:spacing w:before="60" w:after="60"/>
      <w:ind w:firstLine="0"/>
    </w:pPr>
  </w:style>
  <w:style w:type="paragraph" w:customStyle="1" w:styleId="11">
    <w:name w:val="分析(1)"/>
    <w:basedOn w:val="10"/>
    <w:pPr>
      <w:spacing w:before="0" w:after="0"/>
      <w:ind w:left="1712" w:hanging="306"/>
    </w:pPr>
  </w:style>
  <w:style w:type="paragraph" w:customStyle="1" w:styleId="a8">
    <w:name w:val="(一)內容"/>
    <w:basedOn w:val="a6"/>
    <w:pPr>
      <w:ind w:left="1111" w:firstLine="595"/>
    </w:pPr>
  </w:style>
  <w:style w:type="paragraph" w:customStyle="1" w:styleId="12">
    <w:name w:val="分析1.首行縮排"/>
    <w:basedOn w:val="a8"/>
    <w:pPr>
      <w:ind w:left="1418"/>
    </w:pPr>
  </w:style>
  <w:style w:type="paragraph" w:customStyle="1" w:styleId="13">
    <w:name w:val="分析1.凸排"/>
    <w:basedOn w:val="a"/>
    <w:pPr>
      <w:spacing w:line="480" w:lineRule="exact"/>
      <w:ind w:left="1423" w:hanging="312"/>
      <w:jc w:val="both"/>
    </w:pPr>
    <w:rPr>
      <w:rFonts w:eastAsia="華康楷書體W5"/>
      <w:spacing w:val="10"/>
      <w:sz w:val="28"/>
    </w:rPr>
  </w:style>
  <w:style w:type="paragraph" w:customStyle="1" w:styleId="a9">
    <w:name w:val="補辦預算一、"/>
    <w:basedOn w:val="a4"/>
    <w:pPr>
      <w:ind w:left="113" w:right="113"/>
    </w:pPr>
    <w:rPr>
      <w:rFonts w:ascii="Times New Roman" w:eastAsia="華康楷書體W5" w:hAnsi="Times New Roman"/>
    </w:rPr>
  </w:style>
  <w:style w:type="paragraph" w:customStyle="1" w:styleId="aa">
    <w:name w:val="附註"/>
    <w:basedOn w:val="a6"/>
    <w:pPr>
      <w:spacing w:line="400" w:lineRule="exact"/>
      <w:ind w:left="816" w:hanging="136"/>
    </w:pPr>
    <w:rPr>
      <w:sz w:val="22"/>
    </w:rPr>
  </w:style>
  <w:style w:type="paragraph" w:customStyle="1" w:styleId="o1">
    <w:name w:val="分析o1"/>
    <w:basedOn w:val="11"/>
    <w:pPr>
      <w:ind w:left="2007"/>
    </w:p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d">
    <w:name w:val="Document Map"/>
    <w:basedOn w:val="a"/>
    <w:semiHidden/>
    <w:rsid w:val="006E60F7"/>
    <w:pPr>
      <w:shd w:val="clear" w:color="auto" w:fill="000080"/>
    </w:pPr>
    <w:rPr>
      <w:rFonts w:ascii="Arial" w:hAnsi="Arial"/>
    </w:rPr>
  </w:style>
  <w:style w:type="paragraph" w:styleId="ae">
    <w:name w:val="Balloon Text"/>
    <w:basedOn w:val="a"/>
    <w:link w:val="af"/>
    <w:rsid w:val="00872C81"/>
    <w:rPr>
      <w:rFonts w:ascii="Cambria" w:hAnsi="Cambria"/>
      <w:sz w:val="18"/>
      <w:szCs w:val="18"/>
    </w:rPr>
  </w:style>
  <w:style w:type="character" w:customStyle="1" w:styleId="af">
    <w:name w:val="註解方塊文字 字元"/>
    <w:link w:val="ae"/>
    <w:rsid w:val="00872C8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EEDAA-9937-4010-8F49-22F5BDF26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>行政院主計處第二局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101年度預算案-政事基金分析說明</dc:title>
  <dc:subject>債務基金分析說明</dc:subject>
  <dc:creator>第2局</dc:creator>
  <cp:keywords>預算資訊</cp:keywords>
  <cp:lastModifiedBy>tsaimeo</cp:lastModifiedBy>
  <cp:revision>2</cp:revision>
  <cp:lastPrinted>2018-08-17T01:14:00Z</cp:lastPrinted>
  <dcterms:created xsi:type="dcterms:W3CDTF">2019-08-29T11:21:00Z</dcterms:created>
  <dcterms:modified xsi:type="dcterms:W3CDTF">2019-08-29T11:21:00Z</dcterms:modified>
  <cp:category>I13</cp:category>
</cp:coreProperties>
</file>